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57016" w14:textId="4D3BC550" w:rsidR="009C3AAC" w:rsidRDefault="00A36D6E">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Pr="00A36D6E">
        <w:rPr>
          <w:rFonts w:ascii="Calibri" w:hAnsi="Calibri"/>
        </w:rPr>
        <w:t>DTEC1-5.1.3.7</w:t>
      </w:r>
    </w:p>
    <w:p w14:paraId="01A9B804" w14:textId="77777777" w:rsidR="009C3AAC" w:rsidRDefault="009C3AAC">
      <w:pPr>
        <w:pStyle w:val="BodyText"/>
        <w:tabs>
          <w:tab w:val="left" w:pos="2835"/>
        </w:tabs>
        <w:rPr>
          <w:rFonts w:ascii="Calibri" w:hAnsi="Calibri"/>
        </w:rPr>
      </w:pPr>
    </w:p>
    <w:p w14:paraId="67051185" w14:textId="77777777" w:rsidR="009C3AAC" w:rsidRDefault="009C3AAC">
      <w:pPr>
        <w:pStyle w:val="BodyText"/>
        <w:tabs>
          <w:tab w:val="left" w:pos="2835"/>
        </w:tabs>
        <w:rPr>
          <w:rFonts w:ascii="Calibri" w:hAnsi="Calibri"/>
        </w:rPr>
      </w:pPr>
    </w:p>
    <w:p w14:paraId="487E11A1" w14:textId="77777777" w:rsidR="009C3AAC" w:rsidRDefault="00A36D6E">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27772B86" w14:textId="01C570D3" w:rsidR="009C3AAC" w:rsidRDefault="00A36D6E">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2B4012">
        <w:rPr>
          <w:rFonts w:ascii="Calibri" w:hAnsi="Calibri" w:cs="Arial"/>
          <w:b/>
          <w:sz w:val="24"/>
          <w:szCs w:val="24"/>
        </w:rPr>
        <w:t>X</w:t>
      </w:r>
      <w:r>
        <w:rPr>
          <w:rFonts w:ascii="Calibri" w:hAnsi="Calibri" w:cs="Arial"/>
          <w:sz w:val="24"/>
          <w:szCs w:val="24"/>
        </w:rPr>
        <w:t xml:space="preserve">  Input</w:t>
      </w:r>
    </w:p>
    <w:p w14:paraId="21CD8BF3" w14:textId="77777777" w:rsidR="009C3AAC" w:rsidRDefault="00A36D6E">
      <w:pPr>
        <w:pStyle w:val="BodyText"/>
        <w:tabs>
          <w:tab w:val="left" w:pos="1843"/>
        </w:tabs>
        <w:rPr>
          <w:rFonts w:ascii="Calibri" w:hAnsi="Calibri"/>
        </w:rPr>
      </w:pPr>
      <w:proofErr w:type="gramStart"/>
      <w:r>
        <w:rPr>
          <w:rFonts w:ascii="Calibri" w:hAnsi="Calibri" w:cs="Arial"/>
        </w:rPr>
        <w:t>X</w:t>
      </w:r>
      <w:r>
        <w:rPr>
          <w:rFonts w:ascii="Calibri" w:hAnsi="Calibri" w:cs="Arial"/>
          <w:sz w:val="24"/>
          <w:szCs w:val="24"/>
        </w:rPr>
        <w:t xml:space="preserve">  </w:t>
      </w:r>
      <w:r>
        <w:rPr>
          <w:rFonts w:ascii="Calibri" w:hAnsi="Calibri" w:cs="Arial"/>
        </w:rPr>
        <w:t>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657E9BB4" w14:textId="77777777" w:rsidR="009C3AAC" w:rsidRDefault="009C3AAC">
      <w:pPr>
        <w:pStyle w:val="BodyText"/>
        <w:tabs>
          <w:tab w:val="left" w:pos="2835"/>
        </w:tabs>
        <w:rPr>
          <w:rFonts w:ascii="Calibri" w:hAnsi="Calibri"/>
        </w:rPr>
      </w:pPr>
    </w:p>
    <w:p w14:paraId="45282B98" w14:textId="77777777" w:rsidR="009C3AAC" w:rsidRDefault="00A36D6E">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311D52F1" w14:textId="77777777" w:rsidR="009C3AAC" w:rsidRDefault="00A36D6E">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4D03B088" w14:textId="5877645E" w:rsidR="009C3AAC" w:rsidRDefault="00A36D6E">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sidR="005058EE">
        <w:rPr>
          <w:rFonts w:ascii="Calibri" w:hAnsi="Calibri"/>
        </w:rPr>
        <w:t xml:space="preserve">NSONESOFT Co., </w:t>
      </w:r>
      <w:proofErr w:type="gramStart"/>
      <w:r w:rsidR="005058EE">
        <w:rPr>
          <w:rFonts w:ascii="Calibri" w:hAnsi="Calibri"/>
        </w:rPr>
        <w:t>Ltd.(</w:t>
      </w:r>
      <w:proofErr w:type="gramEnd"/>
      <w:r>
        <w:rPr>
          <w:rFonts w:ascii="Calibri" w:hAnsi="Calibri"/>
        </w:rPr>
        <w:t>Republic of Korea</w:t>
      </w:r>
      <w:r w:rsidR="005058EE">
        <w:rPr>
          <w:rFonts w:ascii="Calibri" w:hAnsi="Calibri"/>
        </w:rPr>
        <w:t>)</w:t>
      </w:r>
    </w:p>
    <w:p w14:paraId="2198281A" w14:textId="77777777" w:rsidR="009C3AAC" w:rsidRDefault="009C3AAC">
      <w:pPr>
        <w:pStyle w:val="BodyText"/>
        <w:tabs>
          <w:tab w:val="left" w:pos="2835"/>
        </w:tabs>
        <w:rPr>
          <w:rFonts w:ascii="Calibri" w:hAnsi="Calibri"/>
        </w:rPr>
      </w:pPr>
    </w:p>
    <w:p w14:paraId="474C09A5" w14:textId="6AE54E6D" w:rsidR="00E271F3" w:rsidRDefault="00E271F3">
      <w:pPr>
        <w:pStyle w:val="Title"/>
        <w:spacing w:after="120"/>
        <w:rPr>
          <w:rFonts w:ascii="Malgun Gothic" w:eastAsia="Malgun Gothic" w:hAnsi="Malgun Gothic" w:cs="Malgun Gothic"/>
          <w:color w:val="0070C0"/>
          <w:lang w:eastAsia="ko-KR"/>
        </w:rPr>
      </w:pPr>
      <w:r>
        <w:rPr>
          <w:rFonts w:ascii="Malgun Gothic" w:eastAsia="Malgun Gothic" w:hAnsi="Malgun Gothic" w:cs="Malgun Gothic"/>
          <w:color w:val="0070C0"/>
          <w:lang w:eastAsia="ko-KR"/>
        </w:rPr>
        <w:t>The proposal on integrated management and coordination of TDMA slot resource sharing between VDE-TER shore station</w:t>
      </w:r>
      <w:r w:rsidR="00E67EF0">
        <w:rPr>
          <w:rFonts w:ascii="Malgun Gothic" w:eastAsia="Malgun Gothic" w:hAnsi="Malgun Gothic" w:cs="Malgun Gothic" w:hint="eastAsia"/>
          <w:color w:val="0070C0"/>
          <w:lang w:eastAsia="ko-KR"/>
        </w:rPr>
        <w:t>s</w:t>
      </w:r>
    </w:p>
    <w:p w14:paraId="75AFA4EE" w14:textId="77777777" w:rsidR="009C3AAC" w:rsidRDefault="009C3AAC">
      <w:pPr>
        <w:pStyle w:val="Title"/>
        <w:spacing w:after="120"/>
        <w:rPr>
          <w:rFonts w:ascii="Malgun Gothic" w:eastAsia="Malgun Gothic" w:hAnsi="Malgun Gothic" w:cs="Malgun Gothic"/>
          <w:color w:val="0070C0"/>
          <w:lang w:eastAsia="ko-KR"/>
        </w:rPr>
      </w:pPr>
    </w:p>
    <w:p w14:paraId="6E572350" w14:textId="77777777" w:rsidR="009C3AAC" w:rsidRDefault="00A36D6E">
      <w:pPr>
        <w:pStyle w:val="Heading1"/>
      </w:pPr>
      <w:r>
        <w:t>Summary</w:t>
      </w:r>
    </w:p>
    <w:p w14:paraId="627E4B22" w14:textId="55AD0808" w:rsidR="00E271F3" w:rsidRPr="009D3BAD" w:rsidRDefault="00E271F3">
      <w:pPr>
        <w:pStyle w:val="BodyText"/>
        <w:rPr>
          <w:rFonts w:ascii="Calibri" w:hAnsi="Calibri"/>
        </w:rPr>
      </w:pPr>
      <w:r w:rsidRPr="009D3BAD">
        <w:rPr>
          <w:rFonts w:ascii="Calibri" w:hAnsi="Calibri"/>
        </w:rPr>
        <w:t xml:space="preserve">IALA started new work in 2021 per Japan’s proposal, ENAV28-5.1.3.3 Proposal of initiating discussion on the VDES resource sharing. The purpose of this work is to establish international cooperation and resource sharing and management for VDES terrestrial and satellite. In this regard, the China MSA proposed the resource sharing and coordination issues </w:t>
      </w:r>
      <w:r w:rsidR="00FA615C" w:rsidRPr="009D3BAD">
        <w:rPr>
          <w:rFonts w:ascii="Calibri" w:hAnsi="Calibri"/>
        </w:rPr>
        <w:t>among VDE-TER stations, VDE-TER and VDE-SAT stations, and VDE-SAT stations</w:t>
      </w:r>
      <w:r w:rsidRPr="009D3BAD">
        <w:rPr>
          <w:rFonts w:ascii="Calibri" w:hAnsi="Calibri"/>
        </w:rPr>
        <w:t xml:space="preserve"> on EM1-5.1.3.4 Proposals on VDES communication resource coordination</w:t>
      </w:r>
      <w:r w:rsidR="00633FA9" w:rsidRPr="009D3BAD">
        <w:rPr>
          <w:rFonts w:ascii="Calibri" w:hAnsi="Calibri"/>
        </w:rPr>
        <w:t>.</w:t>
      </w:r>
    </w:p>
    <w:p w14:paraId="186C5591" w14:textId="35A39AE5" w:rsidR="00E271F3" w:rsidRPr="009D3BAD" w:rsidRDefault="00E271F3">
      <w:pPr>
        <w:pStyle w:val="BodyText"/>
        <w:rPr>
          <w:rFonts w:ascii="Calibri" w:hAnsi="Calibri"/>
        </w:rPr>
      </w:pPr>
      <w:r w:rsidRPr="009D3BAD">
        <w:rPr>
          <w:rFonts w:ascii="Calibri" w:hAnsi="Calibri"/>
        </w:rPr>
        <w:t xml:space="preserve">VDES resource sharing and coordination require proper system configuration and operation plans to ensure VDES communication efficiency and reduce the impact of interference and collision. Korea is conducting research on system configuration and operation plans for sharing and coordinating VDES resources in a government-sponsored R&amp;D project since April 2023. In this proposal, we first propose key considerations for resource sharing and coordination </w:t>
      </w:r>
      <w:r w:rsidR="00633FA9" w:rsidRPr="009D3BAD">
        <w:rPr>
          <w:rFonts w:ascii="Calibri" w:hAnsi="Calibri"/>
        </w:rPr>
        <w:t>between</w:t>
      </w:r>
      <w:r w:rsidRPr="009D3BAD">
        <w:rPr>
          <w:rFonts w:ascii="Calibri" w:hAnsi="Calibri"/>
        </w:rPr>
        <w:t xml:space="preserve"> VDE-TER shore stations.</w:t>
      </w:r>
    </w:p>
    <w:p w14:paraId="6DB59E8F" w14:textId="77777777" w:rsidR="009C3AAC" w:rsidRDefault="009C3AAC">
      <w:pPr>
        <w:pStyle w:val="BodyText"/>
        <w:rPr>
          <w:rFonts w:ascii="Calibri" w:eastAsia="SimSun" w:hAnsi="Calibri"/>
          <w:lang w:eastAsia="zh-CN"/>
        </w:rPr>
      </w:pPr>
    </w:p>
    <w:p w14:paraId="6B90D619" w14:textId="77777777" w:rsidR="009C3AAC" w:rsidRDefault="00A36D6E">
      <w:pPr>
        <w:pStyle w:val="Heading2"/>
      </w:pPr>
      <w:r>
        <w:t>Purpose of the document</w:t>
      </w:r>
    </w:p>
    <w:p w14:paraId="766E8B98" w14:textId="3F86508B" w:rsidR="009C3AAC" w:rsidRDefault="00E271F3">
      <w:pPr>
        <w:shd w:val="clear" w:color="auto" w:fill="FAFBFC"/>
        <w:spacing w:line="420" w:lineRule="atLeast"/>
        <w:jc w:val="both"/>
        <w:textAlignment w:val="top"/>
        <w:rPr>
          <w:rFonts w:ascii="Malgun Gothic" w:eastAsia="Malgun Gothic" w:hAnsi="Malgun Gothic" w:cs="Gulim"/>
          <w:color w:val="0000FF"/>
          <w:lang w:val="en-US" w:eastAsia="ko-KR"/>
        </w:rPr>
      </w:pPr>
      <w:r w:rsidRPr="009D3BAD">
        <w:rPr>
          <w:rFonts w:ascii="Calibri" w:hAnsi="Calibri"/>
        </w:rPr>
        <w:t>When considering detailed plans for resource sharing and coordination between VDE-TER shore stations in the guidelines for VDES resource sharing and coordination/cooperation, it is requested to review the contents proposed in this proposal.</w:t>
      </w:r>
    </w:p>
    <w:p w14:paraId="09EE4766" w14:textId="77777777" w:rsidR="009C3AAC" w:rsidRDefault="00A36D6E">
      <w:pPr>
        <w:pStyle w:val="Heading2"/>
      </w:pPr>
      <w:r>
        <w:t>Related documents</w:t>
      </w:r>
    </w:p>
    <w:p w14:paraId="1535CD3A" w14:textId="77777777" w:rsidR="009C3AAC" w:rsidRPr="009D3BAD" w:rsidRDefault="00A36D6E">
      <w:pPr>
        <w:pStyle w:val="References"/>
        <w:numPr>
          <w:ilvl w:val="0"/>
          <w:numId w:val="3"/>
        </w:numPr>
        <w:tabs>
          <w:tab w:val="clear" w:pos="567"/>
          <w:tab w:val="left" w:pos="0"/>
        </w:tabs>
        <w:spacing w:line="216" w:lineRule="atLeast"/>
        <w:jc w:val="both"/>
        <w:rPr>
          <w:rFonts w:ascii="Calibri" w:hAnsi="Calibri"/>
          <w:i/>
          <w:iCs/>
          <w:szCs w:val="22"/>
          <w:lang w:val="en-US" w:eastAsia="zh-CN"/>
        </w:rPr>
      </w:pPr>
      <w:r w:rsidRPr="009D3BAD">
        <w:rPr>
          <w:rFonts w:ascii="Calibri" w:hAnsi="Calibri"/>
          <w:szCs w:val="22"/>
          <w:lang w:val="en-US" w:eastAsia="zh-CN"/>
        </w:rPr>
        <w:t xml:space="preserve">ITU-R M.2092-1, </w:t>
      </w:r>
      <w:r w:rsidRPr="009D3BAD">
        <w:rPr>
          <w:rFonts w:ascii="Calibri" w:hAnsi="Calibri"/>
          <w:i/>
          <w:iCs/>
          <w:szCs w:val="22"/>
          <w:lang w:val="en-US" w:eastAsia="zh-CN"/>
        </w:rPr>
        <w:t>Technical characteristics for a VHF data exchange system in the VHF maritime mobile band, February 2022</w:t>
      </w:r>
    </w:p>
    <w:p w14:paraId="4C0EF440" w14:textId="77777777" w:rsidR="009C3AAC" w:rsidRPr="009D3BAD" w:rsidRDefault="00A36D6E">
      <w:pPr>
        <w:pStyle w:val="References"/>
        <w:numPr>
          <w:ilvl w:val="0"/>
          <w:numId w:val="3"/>
        </w:numPr>
        <w:tabs>
          <w:tab w:val="clear" w:pos="567"/>
          <w:tab w:val="left" w:pos="0"/>
        </w:tabs>
        <w:spacing w:line="340" w:lineRule="exact"/>
        <w:jc w:val="both"/>
        <w:rPr>
          <w:rFonts w:ascii="Calibri" w:hAnsi="Calibri"/>
          <w:szCs w:val="22"/>
          <w:lang w:val="en-US" w:eastAsia="zh-CN"/>
        </w:rPr>
      </w:pPr>
      <w:r w:rsidRPr="009D3BAD">
        <w:rPr>
          <w:rFonts w:ascii="Calibri" w:hAnsi="Calibri"/>
          <w:szCs w:val="22"/>
          <w:lang w:val="en-US" w:eastAsia="zh-CN"/>
        </w:rPr>
        <w:t xml:space="preserve">IALA G1117, </w:t>
      </w:r>
      <w:r w:rsidRPr="009D3BAD">
        <w:rPr>
          <w:rFonts w:ascii="Calibri" w:hAnsi="Calibri"/>
          <w:i/>
          <w:iCs/>
          <w:szCs w:val="22"/>
          <w:lang w:val="en-US" w:eastAsia="zh-CN"/>
        </w:rPr>
        <w:t xml:space="preserve">VHF Data Exchange </w:t>
      </w:r>
      <w:proofErr w:type="gramStart"/>
      <w:r w:rsidRPr="009D3BAD">
        <w:rPr>
          <w:rFonts w:ascii="Calibri" w:hAnsi="Calibri"/>
          <w:i/>
          <w:iCs/>
          <w:szCs w:val="22"/>
          <w:lang w:val="en-US" w:eastAsia="zh-CN"/>
        </w:rPr>
        <w:t>System(</w:t>
      </w:r>
      <w:proofErr w:type="gramEnd"/>
      <w:r w:rsidRPr="009D3BAD">
        <w:rPr>
          <w:rFonts w:ascii="Calibri" w:hAnsi="Calibri"/>
          <w:i/>
          <w:iCs/>
          <w:szCs w:val="22"/>
          <w:lang w:val="en-US" w:eastAsia="zh-CN"/>
        </w:rPr>
        <w:t>VDES) Overview, December 2022</w:t>
      </w:r>
    </w:p>
    <w:p w14:paraId="74BD0E58" w14:textId="77777777" w:rsidR="009C3AAC" w:rsidRDefault="009C3AAC">
      <w:pPr>
        <w:pStyle w:val="References"/>
        <w:numPr>
          <w:ilvl w:val="0"/>
          <w:numId w:val="0"/>
        </w:numPr>
        <w:tabs>
          <w:tab w:val="left" w:pos="0"/>
        </w:tabs>
        <w:spacing w:line="340" w:lineRule="exact"/>
        <w:ind w:left="567" w:hanging="567"/>
        <w:jc w:val="both"/>
        <w:rPr>
          <w:rFonts w:ascii="Calibri" w:hAnsi="Calibri"/>
          <w:color w:val="0000FF"/>
          <w:szCs w:val="22"/>
          <w:lang w:val="en-US" w:eastAsia="zh-CN"/>
        </w:rPr>
      </w:pPr>
    </w:p>
    <w:p w14:paraId="13DC30AB" w14:textId="77777777" w:rsidR="009C3AAC" w:rsidRDefault="00A36D6E">
      <w:pPr>
        <w:pStyle w:val="Heading1"/>
      </w:pPr>
      <w:r>
        <w:t>Background</w:t>
      </w:r>
    </w:p>
    <w:p w14:paraId="4034CD1A" w14:textId="039A2099" w:rsidR="00E271F3" w:rsidRPr="009D3BAD" w:rsidRDefault="00E271F3">
      <w:pPr>
        <w:pStyle w:val="BodyText"/>
        <w:rPr>
          <w:rFonts w:ascii="Calibri" w:hAnsi="Calibri"/>
        </w:rPr>
      </w:pPr>
      <w:r w:rsidRPr="009D3BAD">
        <w:rPr>
          <w:rFonts w:ascii="Calibri" w:hAnsi="Calibri"/>
        </w:rPr>
        <w:t xml:space="preserve">According to ITU-R M.2092-1, </w:t>
      </w:r>
      <w:r w:rsidR="00467010" w:rsidRPr="009D3BAD">
        <w:rPr>
          <w:rFonts w:ascii="Calibri" w:hAnsi="Calibri"/>
        </w:rPr>
        <w:t>radio</w:t>
      </w:r>
      <w:r w:rsidRPr="009D3BAD">
        <w:rPr>
          <w:rFonts w:ascii="Calibri" w:hAnsi="Calibri"/>
        </w:rPr>
        <w:t xml:space="preserve"> interface resources must be coordinated and </w:t>
      </w:r>
      <w:proofErr w:type="gramStart"/>
      <w:r w:rsidRPr="009D3BAD">
        <w:rPr>
          <w:rFonts w:ascii="Calibri" w:hAnsi="Calibri"/>
        </w:rPr>
        <w:t xml:space="preserve">shared </w:t>
      </w:r>
      <w:r w:rsidR="00633FA9" w:rsidRPr="009D3BAD">
        <w:rPr>
          <w:rFonts w:ascii="Calibri" w:hAnsi="Calibri"/>
        </w:rPr>
        <w:t xml:space="preserve"> among</w:t>
      </w:r>
      <w:proofErr w:type="gramEnd"/>
      <w:r w:rsidR="00633FA9" w:rsidRPr="009D3BAD">
        <w:rPr>
          <w:rFonts w:ascii="Calibri" w:hAnsi="Calibri"/>
        </w:rPr>
        <w:t xml:space="preserve"> VDE-TER stations, VDE-TER and VDE-SAT stations, and VDE-SAT stations</w:t>
      </w:r>
      <w:r w:rsidRPr="009D3BAD">
        <w:rPr>
          <w:rFonts w:ascii="Calibri" w:hAnsi="Calibri"/>
        </w:rPr>
        <w:t>.</w:t>
      </w:r>
      <w:r w:rsidR="00467010" w:rsidRPr="009D3BAD">
        <w:rPr>
          <w:rFonts w:ascii="Calibri" w:hAnsi="Calibri"/>
        </w:rPr>
        <w:t xml:space="preserve"> In addition, </w:t>
      </w:r>
      <w:proofErr w:type="gramStart"/>
      <w:r w:rsidR="00467010" w:rsidRPr="009D3BAD">
        <w:rPr>
          <w:rFonts w:ascii="Calibri" w:hAnsi="Calibri"/>
        </w:rPr>
        <w:t>in order to</w:t>
      </w:r>
      <w:proofErr w:type="gramEnd"/>
      <w:r w:rsidR="00467010" w:rsidRPr="009D3BAD">
        <w:rPr>
          <w:rFonts w:ascii="Calibri" w:hAnsi="Calibri"/>
        </w:rPr>
        <w:t xml:space="preserve"> improve the efficiency of VDES applications and provide the full capacity of VDES services globally, the VDES community agreed that application resources should be shared and coordinated between VDE-TER and VDE-SAT. Therefore,</w:t>
      </w:r>
      <w:r w:rsidR="00EC26EE" w:rsidRPr="009D3BAD">
        <w:rPr>
          <w:rFonts w:ascii="Calibri" w:hAnsi="Calibri"/>
        </w:rPr>
        <w:t xml:space="preserve"> the VDES community</w:t>
      </w:r>
      <w:r w:rsidR="00FA615C" w:rsidRPr="009D3BAD">
        <w:rPr>
          <w:rFonts w:ascii="Calibri" w:hAnsi="Calibri"/>
        </w:rPr>
        <w:t xml:space="preserve"> began</w:t>
      </w:r>
      <w:r w:rsidR="00467010" w:rsidRPr="009D3BAD">
        <w:rPr>
          <w:rFonts w:ascii="Calibri" w:hAnsi="Calibri"/>
        </w:rPr>
        <w:t xml:space="preserve"> discussions on drafting guidelines for resource sharing and coordination/cooperation by October 2024. </w:t>
      </w:r>
    </w:p>
    <w:p w14:paraId="23796ACD" w14:textId="77777777" w:rsidR="009C3AAC" w:rsidRDefault="009C3AAC">
      <w:pPr>
        <w:pStyle w:val="BodyText"/>
        <w:rPr>
          <w:rFonts w:ascii="Malgun Gothic" w:eastAsia="Malgun Gothic" w:hAnsi="Malgun Gothic"/>
          <w:color w:val="0000FF"/>
          <w:shd w:val="clear" w:color="auto" w:fill="FAFBFC"/>
          <w:lang w:eastAsia="ko-KR"/>
        </w:rPr>
      </w:pPr>
    </w:p>
    <w:p w14:paraId="04031045" w14:textId="77777777" w:rsidR="009C3AAC" w:rsidRDefault="00A36D6E">
      <w:pPr>
        <w:pStyle w:val="Heading1"/>
      </w:pPr>
      <w:r>
        <w:t>Discussion</w:t>
      </w:r>
    </w:p>
    <w:p w14:paraId="0493E539" w14:textId="22623527" w:rsidR="009C3AAC" w:rsidRDefault="00A36D6E">
      <w:pPr>
        <w:pStyle w:val="Heading2"/>
      </w:pPr>
      <w:r>
        <w:rPr>
          <w:rFonts w:eastAsia="SimSun" w:hint="eastAsia"/>
          <w:lang w:val="en-US" w:eastAsia="zh-CN"/>
        </w:rPr>
        <w:t>I</w:t>
      </w:r>
      <w:r w:rsidR="00467010">
        <w:rPr>
          <w:rFonts w:eastAsia="SimSun"/>
          <w:lang w:val="en-US" w:eastAsia="zh-CN"/>
        </w:rPr>
        <w:t>ssues</w:t>
      </w:r>
      <w:r>
        <w:rPr>
          <w:rFonts w:eastAsia="SimSun" w:hint="eastAsia"/>
          <w:lang w:val="en-US" w:eastAsia="zh-CN"/>
        </w:rPr>
        <w:t xml:space="preserve"> to be </w:t>
      </w:r>
      <w:proofErr w:type="gramStart"/>
      <w:r>
        <w:rPr>
          <w:rFonts w:eastAsia="SimSun" w:hint="eastAsia"/>
          <w:lang w:val="en-US" w:eastAsia="zh-CN"/>
        </w:rPr>
        <w:t>coordinated</w:t>
      </w:r>
      <w:proofErr w:type="gramEnd"/>
    </w:p>
    <w:p w14:paraId="31FE4E15" w14:textId="54E0A872" w:rsidR="00467010" w:rsidRDefault="00467010">
      <w:pPr>
        <w:pStyle w:val="BodyText"/>
        <w:rPr>
          <w:rFonts w:ascii="Calibri" w:hAnsi="Calibri"/>
        </w:rPr>
      </w:pPr>
      <w:r w:rsidRPr="009D3BAD">
        <w:rPr>
          <w:rFonts w:ascii="Calibri" w:hAnsi="Calibri"/>
        </w:rPr>
        <w:t>The terrestrial control station is responsible for resource control and management for information service (</w:t>
      </w:r>
      <w:proofErr w:type="gramStart"/>
      <w:r w:rsidRPr="009D3BAD">
        <w:rPr>
          <w:rFonts w:ascii="Calibri" w:hAnsi="Calibri"/>
        </w:rPr>
        <w:t>e.g.</w:t>
      </w:r>
      <w:proofErr w:type="gramEnd"/>
      <w:r w:rsidRPr="009D3BAD">
        <w:rPr>
          <w:rFonts w:ascii="Calibri" w:hAnsi="Calibri"/>
        </w:rPr>
        <w:t xml:space="preserve"> maritime safety information service) using VDE for one or more groups of VDE-TER shore stations with overlapping coverage, and shares resources with the VDE-SAT system. To do so,</w:t>
      </w:r>
      <w:r w:rsidR="00CC303C" w:rsidRPr="009D3BAD">
        <w:rPr>
          <w:rFonts w:ascii="Calibri" w:hAnsi="Calibri"/>
        </w:rPr>
        <w:t xml:space="preserve"> </w:t>
      </w:r>
      <w:proofErr w:type="gramStart"/>
      <w:r w:rsidR="00CC303C" w:rsidRPr="009D3BAD">
        <w:rPr>
          <w:rFonts w:ascii="Calibri" w:hAnsi="Calibri"/>
        </w:rPr>
        <w:t>It</w:t>
      </w:r>
      <w:proofErr w:type="gramEnd"/>
      <w:r w:rsidR="00CC303C" w:rsidRPr="009D3BAD">
        <w:rPr>
          <w:rFonts w:ascii="Calibri" w:hAnsi="Calibri"/>
        </w:rPr>
        <w:t xml:space="preserve"> should be considered the proper distribution of roles and operation plans about elements composing the system for resource sharing and coordination between VDE-TER shore stations</w:t>
      </w:r>
      <w:r w:rsidRPr="009D3BAD">
        <w:rPr>
          <w:rFonts w:ascii="Calibri" w:hAnsi="Calibri"/>
        </w:rPr>
        <w:t xml:space="preserve">. </w:t>
      </w:r>
    </w:p>
    <w:p w14:paraId="188D0086" w14:textId="77777777" w:rsidR="00107EF9" w:rsidRDefault="00107EF9">
      <w:pPr>
        <w:pStyle w:val="BodyText"/>
        <w:rPr>
          <w:rFonts w:ascii="Calibri" w:hAnsi="Calibri"/>
        </w:rPr>
      </w:pPr>
    </w:p>
    <w:p w14:paraId="499E3426" w14:textId="5CE774C0" w:rsidR="00107EF9" w:rsidRPr="007A395D" w:rsidRDefault="00107EF9" w:rsidP="00107EF9">
      <w:pPr>
        <w:pStyle w:val="Heading3"/>
        <w:rPr>
          <w:rFonts w:ascii="Calibri" w:hAnsi="Calibri"/>
        </w:rPr>
      </w:pPr>
      <w:r>
        <w:rPr>
          <w:rFonts w:ascii="Calibri" w:hAnsi="Calibri" w:hint="eastAsia"/>
          <w:lang w:eastAsia="ko-KR"/>
        </w:rPr>
        <w:t>S</w:t>
      </w:r>
      <w:r>
        <w:rPr>
          <w:rFonts w:ascii="Calibri" w:hAnsi="Calibri"/>
          <w:lang w:eastAsia="ko-KR"/>
        </w:rPr>
        <w:t>ystem composition and role for resource sharing and coordination of terrestrial control stations</w:t>
      </w:r>
    </w:p>
    <w:p w14:paraId="1C48CD37" w14:textId="066177CA" w:rsidR="004C4F8B" w:rsidRPr="009D3BAD" w:rsidRDefault="004C4F8B">
      <w:pPr>
        <w:pStyle w:val="BodyText"/>
        <w:rPr>
          <w:rFonts w:ascii="Calibri" w:hAnsi="Calibri"/>
        </w:rPr>
      </w:pPr>
      <w:r w:rsidRPr="009D3BAD">
        <w:rPr>
          <w:rFonts w:ascii="Calibri" w:hAnsi="Calibri"/>
        </w:rPr>
        <w:t xml:space="preserve">The system configuration for resource sharing and coordination of VDE-TER can be composed of three representative elements: a ship station, a </w:t>
      </w:r>
      <w:r w:rsidR="00FA615C" w:rsidRPr="009D3BAD">
        <w:rPr>
          <w:rFonts w:ascii="Calibri" w:hAnsi="Calibri"/>
        </w:rPr>
        <w:t>Coastal</w:t>
      </w:r>
      <w:r w:rsidRPr="009D3BAD">
        <w:rPr>
          <w:rFonts w:ascii="Calibri" w:hAnsi="Calibri"/>
        </w:rPr>
        <w:t xml:space="preserve"> station, and a terrestrial control station.</w:t>
      </w:r>
    </w:p>
    <w:p w14:paraId="763F8358" w14:textId="59B5FAC3" w:rsidR="004C4F8B" w:rsidRPr="009D3BAD" w:rsidRDefault="00A36D6E" w:rsidP="009D3BAD">
      <w:pPr>
        <w:pStyle w:val="BodyText"/>
        <w:ind w:left="720" w:hanging="720"/>
        <w:rPr>
          <w:rFonts w:ascii="Calibri" w:eastAsia="MS Mincho" w:hAnsi="Calibri"/>
          <w:lang w:eastAsia="ja-JP"/>
        </w:rPr>
      </w:pPr>
      <w:r w:rsidRPr="009D3BAD">
        <w:rPr>
          <w:rFonts w:ascii="Malgun Gothic" w:eastAsia="Malgun Gothic" w:hAnsi="Malgun Gothic"/>
          <w:lang w:eastAsia="ko-KR"/>
        </w:rPr>
        <w:t>1</w:t>
      </w:r>
      <w:r w:rsidR="00C87EAD">
        <w:rPr>
          <w:rFonts w:ascii="Malgun Gothic" w:eastAsia="Malgun Gothic" w:hAnsi="Malgun Gothic"/>
          <w:lang w:eastAsia="ko-KR"/>
        </w:rPr>
        <w:tab/>
      </w:r>
      <w:r w:rsidRPr="009D3BAD">
        <w:rPr>
          <w:rFonts w:ascii="Calibri" w:eastAsia="MS Mincho" w:hAnsi="Calibri"/>
          <w:lang w:eastAsia="ja-JP"/>
        </w:rPr>
        <w:t xml:space="preserve">Ship station: </w:t>
      </w:r>
      <w:r w:rsidR="004C4F8B" w:rsidRPr="009D3BAD">
        <w:rPr>
          <w:rFonts w:ascii="Calibri" w:eastAsia="MS Mincho" w:hAnsi="Calibri"/>
          <w:lang w:eastAsia="ja-JP"/>
        </w:rPr>
        <w:t xml:space="preserve">It transmits AIS dynamic/static/voyage-related information messages and ASM messages within the service area of </w:t>
      </w:r>
      <w:r w:rsidR="00FA615C" w:rsidRPr="009D3BAD">
        <w:rPr>
          <w:rFonts w:ascii="Calibri" w:eastAsia="MS Mincho" w:hAnsi="Calibri"/>
          <w:lang w:eastAsia="ja-JP"/>
        </w:rPr>
        <w:t>Coastal</w:t>
      </w:r>
      <w:r w:rsidR="004C4F8B" w:rsidRPr="009D3BAD">
        <w:rPr>
          <w:rFonts w:ascii="Calibri" w:eastAsia="MS Mincho" w:hAnsi="Calibri"/>
          <w:lang w:eastAsia="ja-JP"/>
        </w:rPr>
        <w:t xml:space="preserve"> </w:t>
      </w:r>
      <w:proofErr w:type="gramStart"/>
      <w:r w:rsidR="004C4F8B" w:rsidRPr="009D3BAD">
        <w:rPr>
          <w:rFonts w:ascii="Calibri" w:eastAsia="MS Mincho" w:hAnsi="Calibri"/>
          <w:lang w:eastAsia="ja-JP"/>
        </w:rPr>
        <w:t>stations, and</w:t>
      </w:r>
      <w:proofErr w:type="gramEnd"/>
      <w:r w:rsidR="004C4F8B" w:rsidRPr="009D3BAD">
        <w:rPr>
          <w:rFonts w:ascii="Calibri" w:eastAsia="MS Mincho" w:hAnsi="Calibri"/>
          <w:lang w:eastAsia="ja-JP"/>
        </w:rPr>
        <w:t xml:space="preserve"> uses resources to transmit digital information messages and resource requests required for VDE digital information transmission.</w:t>
      </w:r>
    </w:p>
    <w:p w14:paraId="25915AEA" w14:textId="3561DDC9" w:rsidR="004C4F8B" w:rsidRPr="009D3BAD" w:rsidRDefault="00A36D6E" w:rsidP="009D3BAD">
      <w:pPr>
        <w:pStyle w:val="BodyText"/>
        <w:ind w:left="720" w:hanging="720"/>
        <w:rPr>
          <w:rFonts w:ascii="Malgun Gothic" w:eastAsia="Malgun Gothic" w:hAnsi="Malgun Gothic"/>
          <w:lang w:eastAsia="ko-KR"/>
        </w:rPr>
      </w:pPr>
      <w:r w:rsidRPr="009D3BAD">
        <w:rPr>
          <w:rFonts w:ascii="Malgun Gothic" w:eastAsia="Malgun Gothic" w:hAnsi="Malgun Gothic"/>
          <w:lang w:eastAsia="ko-KR"/>
        </w:rPr>
        <w:t>2</w:t>
      </w:r>
      <w:r w:rsidR="00C87EAD">
        <w:rPr>
          <w:rFonts w:ascii="Malgun Gothic" w:eastAsia="Malgun Gothic" w:hAnsi="Malgun Gothic"/>
          <w:lang w:eastAsia="ko-KR"/>
        </w:rPr>
        <w:tab/>
      </w:r>
      <w:r w:rsidRPr="009D3BAD">
        <w:rPr>
          <w:rFonts w:ascii="Calibri" w:eastAsia="MS Mincho" w:hAnsi="Calibri"/>
          <w:lang w:eastAsia="ja-JP"/>
        </w:rPr>
        <w:t xml:space="preserve">Shore station: </w:t>
      </w:r>
      <w:r w:rsidR="004C4F8B" w:rsidRPr="009D3BAD">
        <w:rPr>
          <w:rFonts w:ascii="Calibri" w:eastAsia="MS Mincho" w:hAnsi="Calibri"/>
          <w:lang w:eastAsia="ja-JP"/>
        </w:rPr>
        <w:t xml:space="preserve">It takes on the role of supplying and using resources to receive various messages from ship stations within the service area or to transmit service messages from </w:t>
      </w:r>
      <w:r w:rsidR="00FA615C" w:rsidRPr="009D3BAD">
        <w:rPr>
          <w:rFonts w:ascii="Calibri" w:eastAsia="MS Mincho" w:hAnsi="Calibri"/>
          <w:lang w:eastAsia="ja-JP"/>
        </w:rPr>
        <w:t>Coastal</w:t>
      </w:r>
      <w:r w:rsidR="004C4F8B" w:rsidRPr="009D3BAD">
        <w:rPr>
          <w:rFonts w:ascii="Calibri" w:eastAsia="MS Mincho" w:hAnsi="Calibri"/>
          <w:lang w:eastAsia="ja-JP"/>
        </w:rPr>
        <w:t xml:space="preserve"> stations according to a planned schedule.</w:t>
      </w:r>
    </w:p>
    <w:p w14:paraId="76C9CEDA" w14:textId="068644C9" w:rsidR="004C4F8B" w:rsidRPr="009D3BAD" w:rsidRDefault="00A36D6E" w:rsidP="009D3BAD">
      <w:pPr>
        <w:pStyle w:val="BodyText"/>
        <w:ind w:left="720" w:hanging="720"/>
        <w:rPr>
          <w:rFonts w:ascii="Calibri" w:eastAsia="MS Mincho" w:hAnsi="Calibri"/>
          <w:lang w:eastAsia="ja-JP"/>
        </w:rPr>
      </w:pPr>
      <w:r w:rsidRPr="009D3BAD">
        <w:rPr>
          <w:rFonts w:ascii="Malgun Gothic" w:eastAsia="Malgun Gothic" w:hAnsi="Malgun Gothic"/>
          <w:lang w:eastAsia="ko-KR"/>
        </w:rPr>
        <w:t>3</w:t>
      </w:r>
      <w:r w:rsidR="00C87EAD">
        <w:rPr>
          <w:rFonts w:ascii="Malgun Gothic" w:eastAsia="Malgun Gothic" w:hAnsi="Malgun Gothic"/>
          <w:lang w:eastAsia="ko-KR"/>
        </w:rPr>
        <w:tab/>
      </w:r>
      <w:r w:rsidRPr="009D3BAD">
        <w:rPr>
          <w:rFonts w:ascii="Calibri" w:eastAsia="MS Mincho" w:hAnsi="Calibri"/>
          <w:lang w:eastAsia="ja-JP"/>
        </w:rPr>
        <w:t xml:space="preserve">Terrestrial control station: </w:t>
      </w:r>
      <w:r w:rsidR="004C4F8B" w:rsidRPr="009D3BAD">
        <w:rPr>
          <w:rFonts w:ascii="Calibri" w:eastAsia="MS Mincho" w:hAnsi="Calibri"/>
          <w:lang w:eastAsia="ja-JP"/>
        </w:rPr>
        <w:t xml:space="preserve">It plays a role in allocating appropriate resources to ship stations and </w:t>
      </w:r>
      <w:r w:rsidR="00FA615C" w:rsidRPr="009D3BAD">
        <w:rPr>
          <w:rFonts w:ascii="Calibri" w:eastAsia="MS Mincho" w:hAnsi="Calibri"/>
          <w:lang w:eastAsia="ja-JP"/>
        </w:rPr>
        <w:t>Coastal</w:t>
      </w:r>
      <w:r w:rsidR="004C4F8B" w:rsidRPr="009D3BAD">
        <w:rPr>
          <w:rFonts w:ascii="Calibri" w:eastAsia="MS Mincho" w:hAnsi="Calibri"/>
          <w:lang w:eastAsia="ja-JP"/>
        </w:rPr>
        <w:t xml:space="preserve"> stations through a resource sharing and coordination system that has a resource information map synchronized with each </w:t>
      </w:r>
      <w:r w:rsidR="00FA615C" w:rsidRPr="009D3BAD">
        <w:rPr>
          <w:rFonts w:ascii="Calibri" w:eastAsia="MS Mincho" w:hAnsi="Calibri"/>
          <w:lang w:eastAsia="ja-JP"/>
        </w:rPr>
        <w:t>Coastal</w:t>
      </w:r>
      <w:r w:rsidR="004C4F8B" w:rsidRPr="009D3BAD">
        <w:rPr>
          <w:rFonts w:ascii="Calibri" w:eastAsia="MS Mincho" w:hAnsi="Calibri"/>
          <w:lang w:eastAsia="ja-JP"/>
        </w:rPr>
        <w:t xml:space="preserve"> station according to messages received from multiple </w:t>
      </w:r>
      <w:r w:rsidR="00FA615C" w:rsidRPr="009D3BAD">
        <w:rPr>
          <w:rFonts w:ascii="Calibri" w:eastAsia="MS Mincho" w:hAnsi="Calibri"/>
          <w:lang w:eastAsia="ja-JP"/>
        </w:rPr>
        <w:t>Coastal</w:t>
      </w:r>
      <w:r w:rsidR="004C4F8B" w:rsidRPr="009D3BAD">
        <w:rPr>
          <w:rFonts w:ascii="Calibri" w:eastAsia="MS Mincho" w:hAnsi="Calibri"/>
          <w:lang w:eastAsia="ja-JP"/>
        </w:rPr>
        <w:t xml:space="preserve"> stations and </w:t>
      </w:r>
      <w:r w:rsidR="00FA615C" w:rsidRPr="009D3BAD">
        <w:rPr>
          <w:rFonts w:ascii="Calibri" w:eastAsia="MS Mincho" w:hAnsi="Calibri"/>
          <w:lang w:eastAsia="ja-JP"/>
        </w:rPr>
        <w:t>Coastal</w:t>
      </w:r>
      <w:r w:rsidR="004C4F8B" w:rsidRPr="009D3BAD">
        <w:rPr>
          <w:rFonts w:ascii="Calibri" w:eastAsia="MS Mincho" w:hAnsi="Calibri"/>
          <w:lang w:eastAsia="ja-JP"/>
        </w:rPr>
        <w:t xml:space="preserve"> station service schedules. Terrestrial control stations do not use TDMA slot resources.</w:t>
      </w:r>
    </w:p>
    <w:p w14:paraId="6B9A8437" w14:textId="711669E1" w:rsidR="009C3AAC" w:rsidRDefault="004C4F8B">
      <w:pPr>
        <w:pStyle w:val="BodyText"/>
        <w:rPr>
          <w:rFonts w:ascii="Calibri" w:hAnsi="Calibri"/>
        </w:rPr>
      </w:pPr>
      <w:r w:rsidRPr="009D3BAD">
        <w:rPr>
          <w:rFonts w:ascii="Calibri" w:hAnsi="Calibri"/>
        </w:rPr>
        <w:t xml:space="preserve">In the case of a </w:t>
      </w:r>
      <w:r w:rsidR="00FA615C" w:rsidRPr="009D3BAD">
        <w:rPr>
          <w:rFonts w:ascii="Calibri" w:hAnsi="Calibri"/>
        </w:rPr>
        <w:t>Coastal</w:t>
      </w:r>
      <w:r w:rsidRPr="009D3BAD">
        <w:rPr>
          <w:rFonts w:ascii="Calibri" w:hAnsi="Calibri"/>
        </w:rPr>
        <w:t xml:space="preserve"> station operating alone without overlapping coverage with other </w:t>
      </w:r>
      <w:r w:rsidR="00FA615C" w:rsidRPr="009D3BAD">
        <w:rPr>
          <w:rFonts w:ascii="Calibri" w:hAnsi="Calibri"/>
        </w:rPr>
        <w:t>Coastal</w:t>
      </w:r>
      <w:r w:rsidRPr="009D3BAD">
        <w:rPr>
          <w:rFonts w:ascii="Calibri" w:hAnsi="Calibri"/>
        </w:rPr>
        <w:t xml:space="preserve"> stations, it must be able to allocate resources on its own without the intervention of a terrestrial control station.</w:t>
      </w:r>
    </w:p>
    <w:p w14:paraId="5EEA5C3D" w14:textId="77777777" w:rsidR="00107EF9" w:rsidRDefault="00107EF9">
      <w:pPr>
        <w:pStyle w:val="BodyText"/>
        <w:rPr>
          <w:rFonts w:ascii="Calibri" w:hAnsi="Calibri"/>
        </w:rPr>
      </w:pPr>
    </w:p>
    <w:p w14:paraId="2E1975CD" w14:textId="60743BD6" w:rsidR="00107EF9" w:rsidRPr="007A395D" w:rsidRDefault="00107EF9" w:rsidP="00107EF9">
      <w:pPr>
        <w:pStyle w:val="Heading3"/>
        <w:rPr>
          <w:rFonts w:ascii="Calibri" w:hAnsi="Calibri"/>
        </w:rPr>
      </w:pPr>
      <w:r>
        <w:rPr>
          <w:rFonts w:ascii="Calibri" w:hAnsi="Calibri"/>
          <w:lang w:eastAsia="ko-KR"/>
        </w:rPr>
        <w:t>Resource information map synchronization method of a terrestrial control station</w:t>
      </w:r>
    </w:p>
    <w:p w14:paraId="5E0C042A" w14:textId="77777777" w:rsidR="00107EF9" w:rsidRPr="009D3BAD" w:rsidRDefault="00107EF9">
      <w:pPr>
        <w:pStyle w:val="BodyText"/>
        <w:rPr>
          <w:rFonts w:ascii="Calibri" w:hAnsi="Calibri"/>
        </w:rPr>
      </w:pPr>
    </w:p>
    <w:p w14:paraId="1B379135" w14:textId="3F231FCA" w:rsidR="004C4F8B" w:rsidRPr="009D3BAD" w:rsidRDefault="00107EF9">
      <w:pPr>
        <w:pStyle w:val="List1"/>
        <w:numPr>
          <w:ilvl w:val="0"/>
          <w:numId w:val="0"/>
        </w:numPr>
        <w:rPr>
          <w:rFonts w:ascii="Calibri" w:eastAsia="Batang" w:hAnsi="Calibri"/>
          <w:lang w:eastAsia="en-GB"/>
        </w:rPr>
      </w:pPr>
      <w:r>
        <w:rPr>
          <w:rFonts w:ascii="Calibri" w:eastAsia="Batang" w:hAnsi="Calibri"/>
          <w:lang w:eastAsia="en-GB"/>
        </w:rPr>
        <w:t>The</w:t>
      </w:r>
      <w:r w:rsidR="003E5FDD" w:rsidRPr="009D3BAD">
        <w:rPr>
          <w:rFonts w:ascii="Calibri" w:eastAsia="Batang" w:hAnsi="Calibri"/>
          <w:lang w:eastAsia="en-GB"/>
        </w:rPr>
        <w:t xml:space="preserve"> terrestrial control station must be synchronized </w:t>
      </w:r>
      <w:r>
        <w:rPr>
          <w:rFonts w:ascii="Calibri" w:eastAsia="Batang" w:hAnsi="Calibri"/>
          <w:lang w:eastAsia="en-GB"/>
        </w:rPr>
        <w:t xml:space="preserve">with </w:t>
      </w:r>
      <w:r w:rsidR="003E5FDD" w:rsidRPr="009D3BAD">
        <w:rPr>
          <w:rFonts w:ascii="Calibri" w:eastAsia="Batang" w:hAnsi="Calibri"/>
          <w:lang w:eastAsia="en-GB"/>
        </w:rPr>
        <w:t xml:space="preserve">the resource information map of the system for resource sharing and coordination with Coastal </w:t>
      </w:r>
      <w:proofErr w:type="gramStart"/>
      <w:r w:rsidR="003E5FDD" w:rsidRPr="009D3BAD">
        <w:rPr>
          <w:rFonts w:ascii="Calibri" w:eastAsia="Batang" w:hAnsi="Calibri"/>
          <w:lang w:eastAsia="en-GB"/>
        </w:rPr>
        <w:t>stations’</w:t>
      </w:r>
      <w:proofErr w:type="gramEnd"/>
      <w:r w:rsidR="004C4F8B" w:rsidRPr="009D3BAD">
        <w:rPr>
          <w:rFonts w:ascii="Calibri" w:eastAsia="Batang" w:hAnsi="Calibri"/>
          <w:lang w:eastAsia="en-GB"/>
        </w:rPr>
        <w:t>.</w:t>
      </w:r>
      <w:r w:rsidR="003E5FDD" w:rsidRPr="009D3BAD">
        <w:rPr>
          <w:rFonts w:ascii="Calibri" w:eastAsia="Batang" w:hAnsi="Calibri"/>
          <w:lang w:eastAsia="en-GB"/>
        </w:rPr>
        <w:t xml:space="preserve"> It should be considered the use of NMEA formatted </w:t>
      </w:r>
      <w:r>
        <w:rPr>
          <w:rFonts w:ascii="Calibri" w:eastAsia="Batang" w:hAnsi="Calibri"/>
          <w:lang w:eastAsia="en-GB"/>
        </w:rPr>
        <w:t>sentence</w:t>
      </w:r>
      <w:r w:rsidR="003E5FDD" w:rsidRPr="009D3BAD">
        <w:rPr>
          <w:rFonts w:ascii="Calibri" w:eastAsia="Batang" w:hAnsi="Calibri"/>
          <w:lang w:eastAsia="en-GB"/>
        </w:rPr>
        <w:t xml:space="preserve"> output through the presentation interface of the Coastal station.</w:t>
      </w:r>
    </w:p>
    <w:p w14:paraId="79587394" w14:textId="22894A72" w:rsidR="00C87EAD" w:rsidRPr="009D3BAD" w:rsidRDefault="00335B9F">
      <w:pPr>
        <w:pStyle w:val="List1"/>
        <w:numPr>
          <w:ilvl w:val="0"/>
          <w:numId w:val="0"/>
        </w:numPr>
        <w:rPr>
          <w:rFonts w:ascii="Calibri" w:eastAsia="Batang" w:hAnsi="Calibri"/>
          <w:lang w:eastAsia="en-GB"/>
        </w:rPr>
      </w:pPr>
      <w:r w:rsidRPr="009D3BAD">
        <w:rPr>
          <w:rFonts w:ascii="Calibri" w:eastAsia="Batang" w:hAnsi="Calibri"/>
          <w:lang w:eastAsia="en-GB"/>
        </w:rPr>
        <w:t>M</w:t>
      </w:r>
      <w:r w:rsidR="00107EF9">
        <w:rPr>
          <w:rFonts w:ascii="Calibri" w:eastAsia="Batang" w:hAnsi="Calibri"/>
          <w:lang w:eastAsia="en-GB"/>
        </w:rPr>
        <w:t>ethods</w:t>
      </w:r>
      <w:r w:rsidRPr="009D3BAD">
        <w:rPr>
          <w:rFonts w:ascii="Calibri" w:eastAsia="Batang" w:hAnsi="Calibri"/>
          <w:lang w:eastAsia="en-GB"/>
        </w:rPr>
        <w:t xml:space="preserve"> for constructing a synchronized resource information map may include:</w:t>
      </w:r>
    </w:p>
    <w:p w14:paraId="299CD9A8" w14:textId="07F9B83B" w:rsidR="00335B9F" w:rsidRPr="009D3BAD" w:rsidRDefault="00335B9F" w:rsidP="009D3BAD">
      <w:pPr>
        <w:pStyle w:val="List1"/>
        <w:numPr>
          <w:ilvl w:val="0"/>
          <w:numId w:val="0"/>
        </w:numPr>
        <w:ind w:left="720" w:hanging="720"/>
        <w:rPr>
          <w:rFonts w:ascii="Calibri" w:hAnsi="Calibri"/>
        </w:rPr>
      </w:pPr>
      <w:r w:rsidRPr="009D3BAD">
        <w:rPr>
          <w:rFonts w:ascii="Malgun Gothic" w:eastAsia="Malgun Gothic" w:hAnsi="Malgun Gothic"/>
          <w:lang w:val="en-US" w:eastAsia="ko-KR"/>
        </w:rPr>
        <w:lastRenderedPageBreak/>
        <w:t>1</w:t>
      </w:r>
      <w:r w:rsidR="00C87EAD">
        <w:rPr>
          <w:rFonts w:ascii="Malgun Gothic" w:eastAsia="Malgun Gothic" w:hAnsi="Malgun Gothic"/>
          <w:lang w:val="en-US" w:eastAsia="ko-KR"/>
        </w:rPr>
        <w:tab/>
      </w:r>
      <w:r w:rsidRPr="009D3BAD">
        <w:rPr>
          <w:rFonts w:ascii="Calibri" w:hAnsi="Calibri"/>
        </w:rPr>
        <w:t>Analysis of Communication State containing slot occupancy schedule information using ITDMA, SOTDMA, FATDMA, and MITDMA schemes.</w:t>
      </w:r>
    </w:p>
    <w:p w14:paraId="6B76F534" w14:textId="121D677C" w:rsidR="00335B9F" w:rsidRDefault="00335B9F" w:rsidP="00107EF9">
      <w:pPr>
        <w:pStyle w:val="List1"/>
        <w:numPr>
          <w:ilvl w:val="0"/>
          <w:numId w:val="0"/>
        </w:numPr>
        <w:ind w:left="720" w:hanging="720"/>
        <w:rPr>
          <w:rFonts w:ascii="Calibri" w:hAnsi="Calibri"/>
        </w:rPr>
      </w:pPr>
      <w:r w:rsidRPr="009D3BAD">
        <w:rPr>
          <w:rFonts w:ascii="Malgun Gothic" w:eastAsia="Malgun Gothic" w:hAnsi="Malgun Gothic"/>
          <w:lang w:val="en-US" w:eastAsia="ko-KR"/>
        </w:rPr>
        <w:t>2</w:t>
      </w:r>
      <w:r w:rsidR="00C87EAD">
        <w:rPr>
          <w:rFonts w:ascii="Malgun Gothic" w:eastAsia="Malgun Gothic" w:hAnsi="Malgun Gothic"/>
          <w:lang w:val="en-US" w:eastAsia="ko-KR"/>
        </w:rPr>
        <w:tab/>
      </w:r>
      <w:r w:rsidRPr="009D3BAD">
        <w:rPr>
          <w:rFonts w:ascii="Calibri" w:hAnsi="Calibri"/>
        </w:rPr>
        <w:t>Analysis of the VDL Signal Information sentence containing information such as the coast station's MMSI, message sequence identifier, reception time, and first slot number used for transmission.</w:t>
      </w:r>
    </w:p>
    <w:p w14:paraId="0610853E" w14:textId="77777777" w:rsidR="00107EF9" w:rsidRDefault="00107EF9" w:rsidP="00107EF9">
      <w:pPr>
        <w:pStyle w:val="List1"/>
        <w:numPr>
          <w:ilvl w:val="0"/>
          <w:numId w:val="0"/>
        </w:numPr>
        <w:ind w:left="720" w:hanging="720"/>
        <w:rPr>
          <w:rFonts w:ascii="Calibri" w:hAnsi="Calibri"/>
        </w:rPr>
      </w:pPr>
    </w:p>
    <w:p w14:paraId="3735AED3" w14:textId="2F0642D5" w:rsidR="00107EF9" w:rsidRPr="009D3BAD" w:rsidRDefault="00107EF9" w:rsidP="009D3BAD">
      <w:pPr>
        <w:pStyle w:val="List1"/>
        <w:numPr>
          <w:ilvl w:val="0"/>
          <w:numId w:val="0"/>
        </w:numPr>
        <w:ind w:left="720" w:hanging="720"/>
        <w:rPr>
          <w:rFonts w:ascii="Calibri" w:hAnsi="Calibri"/>
        </w:rPr>
      </w:pPr>
      <w:r w:rsidRPr="00107EF9">
        <w:rPr>
          <w:rFonts w:ascii="Calibri" w:hAnsi="Calibri"/>
        </w:rPr>
        <w:t>3.1.</w:t>
      </w:r>
      <w:r>
        <w:rPr>
          <w:rFonts w:ascii="Calibri" w:hAnsi="Calibri"/>
        </w:rPr>
        <w:t>3</w:t>
      </w:r>
      <w:r w:rsidRPr="00107EF9">
        <w:rPr>
          <w:rFonts w:ascii="Calibri" w:hAnsi="Calibri"/>
        </w:rPr>
        <w:tab/>
      </w:r>
      <w:r>
        <w:rPr>
          <w:rFonts w:ascii="Calibri" w:hAnsi="Calibri"/>
        </w:rPr>
        <w:t xml:space="preserve">Procedures and methods for responding to requests for VDE </w:t>
      </w:r>
      <w:proofErr w:type="gramStart"/>
      <w:r>
        <w:rPr>
          <w:rFonts w:ascii="Calibri" w:hAnsi="Calibri"/>
        </w:rPr>
        <w:t>resources</w:t>
      </w:r>
      <w:proofErr w:type="gramEnd"/>
    </w:p>
    <w:p w14:paraId="4EFBB29E" w14:textId="15C22650" w:rsidR="00020445" w:rsidRPr="009D3BAD" w:rsidRDefault="00020445">
      <w:pPr>
        <w:jc w:val="both"/>
        <w:rPr>
          <w:rFonts w:ascii="Calibri" w:hAnsi="Calibri"/>
        </w:rPr>
      </w:pPr>
      <w:r w:rsidRPr="009D3BAD">
        <w:rPr>
          <w:rFonts w:ascii="Calibri" w:hAnsi="Calibri"/>
        </w:rPr>
        <w:t xml:space="preserve">When a ship within the service area of the terrestrial control station transmits information to other ships or shores within communication coverage using VDE, the following procedures and procedures are should be considered between each system configuration to request resources necessary for transmission and to be allocated available resources. </w:t>
      </w:r>
    </w:p>
    <w:p w14:paraId="018CE6CA" w14:textId="5570DD78" w:rsidR="00335B9F" w:rsidRPr="009D3BAD" w:rsidRDefault="00645A72">
      <w:pPr>
        <w:jc w:val="both"/>
        <w:rPr>
          <w:rFonts w:ascii="Calibri" w:hAnsi="Calibri"/>
        </w:rPr>
      </w:pPr>
      <w:r w:rsidRPr="009D3BAD">
        <w:rPr>
          <w:rFonts w:ascii="Malgun Gothic" w:eastAsia="Malgun Gothic" w:hAnsi="Malgun Gothic"/>
          <w:lang w:eastAsia="ko-KR"/>
        </w:rPr>
        <w:t>1</w:t>
      </w:r>
      <w:r w:rsidR="00C87EAD">
        <w:rPr>
          <w:rFonts w:ascii="Malgun Gothic" w:eastAsia="Malgun Gothic" w:hAnsi="Malgun Gothic"/>
          <w:lang w:eastAsia="ko-KR"/>
        </w:rPr>
        <w:tab/>
      </w:r>
      <w:r w:rsidR="00020445" w:rsidRPr="009D3BAD">
        <w:rPr>
          <w:rFonts w:ascii="Calibri" w:hAnsi="Calibri"/>
        </w:rPr>
        <w:t xml:space="preserve">Resource request (Ship to Shore): The ship station transmits the resource request message including the unique </w:t>
      </w:r>
      <w:r w:rsidR="00335B9F" w:rsidRPr="009D3BAD">
        <w:rPr>
          <w:rFonts w:ascii="Calibri" w:hAnsi="Calibri"/>
        </w:rPr>
        <w:t>identifier</w:t>
      </w:r>
      <w:r w:rsidR="00020445" w:rsidRPr="009D3BAD">
        <w:rPr>
          <w:rFonts w:ascii="Calibri" w:hAnsi="Calibri"/>
        </w:rPr>
        <w:t xml:space="preserve"> (</w:t>
      </w:r>
      <w:r w:rsidR="00335B9F" w:rsidRPr="009D3BAD">
        <w:rPr>
          <w:rFonts w:ascii="Calibri" w:hAnsi="Calibri"/>
        </w:rPr>
        <w:t>Dest. ID</w:t>
      </w:r>
      <w:r w:rsidR="00020445" w:rsidRPr="009D3BAD">
        <w:rPr>
          <w:rFonts w:ascii="Calibri" w:hAnsi="Calibri"/>
        </w:rPr>
        <w:t xml:space="preserve">) of the </w:t>
      </w:r>
      <w:r w:rsidR="00FA615C" w:rsidRPr="009D3BAD">
        <w:rPr>
          <w:rFonts w:ascii="Calibri" w:hAnsi="Calibri"/>
        </w:rPr>
        <w:t>Coastal</w:t>
      </w:r>
      <w:r w:rsidR="00020445" w:rsidRPr="009D3BAD">
        <w:rPr>
          <w:rFonts w:ascii="Calibri" w:hAnsi="Calibri"/>
        </w:rPr>
        <w:t xml:space="preserve"> station that is the target of the resource request through the RAC designated in the </w:t>
      </w:r>
      <w:r w:rsidR="00FA615C" w:rsidRPr="009D3BAD">
        <w:rPr>
          <w:rFonts w:ascii="Calibri" w:hAnsi="Calibri"/>
        </w:rPr>
        <w:t>Coastal</w:t>
      </w:r>
      <w:r w:rsidR="00020445" w:rsidRPr="009D3BAD">
        <w:rPr>
          <w:rFonts w:ascii="Calibri" w:hAnsi="Calibri"/>
        </w:rPr>
        <w:t xml:space="preserve"> station bulletin board message.</w:t>
      </w:r>
    </w:p>
    <w:p w14:paraId="01532E5B" w14:textId="4C6AD93F" w:rsidR="00020445" w:rsidRPr="009D3BAD" w:rsidRDefault="00645A72">
      <w:pPr>
        <w:jc w:val="both"/>
        <w:rPr>
          <w:rFonts w:ascii="Calibri" w:hAnsi="Calibri"/>
        </w:rPr>
      </w:pPr>
      <w:r w:rsidRPr="009D3BAD">
        <w:rPr>
          <w:rFonts w:ascii="Malgun Gothic" w:eastAsia="Malgun Gothic" w:hAnsi="Malgun Gothic"/>
          <w:lang w:eastAsia="ko-KR"/>
        </w:rPr>
        <w:t>2</w:t>
      </w:r>
      <w:r w:rsidR="00C87EAD">
        <w:rPr>
          <w:rFonts w:ascii="Malgun Gothic" w:eastAsia="Malgun Gothic" w:hAnsi="Malgun Gothic"/>
          <w:lang w:eastAsia="ko-KR"/>
        </w:rPr>
        <w:tab/>
      </w:r>
      <w:r w:rsidR="00020445" w:rsidRPr="009D3BAD">
        <w:rPr>
          <w:rFonts w:ascii="Calibri" w:hAnsi="Calibri"/>
        </w:rPr>
        <w:t xml:space="preserve">Request </w:t>
      </w:r>
      <w:r w:rsidR="0031606B" w:rsidRPr="009D3BAD">
        <w:rPr>
          <w:rFonts w:ascii="Calibri" w:hAnsi="Calibri"/>
        </w:rPr>
        <w:t>Forwar</w:t>
      </w:r>
      <w:r w:rsidR="004A5956" w:rsidRPr="009D3BAD">
        <w:rPr>
          <w:rFonts w:ascii="Calibri" w:hAnsi="Calibri"/>
        </w:rPr>
        <w:t>ding</w:t>
      </w:r>
      <w:r w:rsidR="0031606B" w:rsidRPr="009D3BAD">
        <w:rPr>
          <w:rFonts w:ascii="Calibri" w:hAnsi="Calibri"/>
        </w:rPr>
        <w:t xml:space="preserve"> </w:t>
      </w:r>
      <w:r w:rsidR="00020445" w:rsidRPr="009D3BAD">
        <w:rPr>
          <w:rFonts w:ascii="Calibri" w:hAnsi="Calibri"/>
        </w:rPr>
        <w:t>(Shore to T.C.S.): When the destination matches its unique</w:t>
      </w:r>
      <w:r w:rsidRPr="009D3BAD">
        <w:rPr>
          <w:rFonts w:ascii="Calibri" w:hAnsi="Calibri"/>
        </w:rPr>
        <w:t xml:space="preserve"> </w:t>
      </w:r>
      <w:r w:rsidR="0031606B" w:rsidRPr="009D3BAD">
        <w:rPr>
          <w:rFonts w:ascii="Calibri" w:hAnsi="Calibri"/>
        </w:rPr>
        <w:t>identifier</w:t>
      </w:r>
      <w:r w:rsidR="00020445" w:rsidRPr="009D3BAD">
        <w:rPr>
          <w:rFonts w:ascii="Calibri" w:hAnsi="Calibri"/>
        </w:rPr>
        <w:t xml:space="preserve">, the </w:t>
      </w:r>
      <w:r w:rsidR="00FA615C" w:rsidRPr="009D3BAD">
        <w:rPr>
          <w:rFonts w:ascii="Calibri" w:hAnsi="Calibri"/>
        </w:rPr>
        <w:t>Coastal</w:t>
      </w:r>
      <w:r w:rsidR="00020445" w:rsidRPr="009D3BAD">
        <w:rPr>
          <w:rFonts w:ascii="Calibri" w:hAnsi="Calibri"/>
        </w:rPr>
        <w:t xml:space="preserve"> station delivers the resource request message received from the ship to the terrestrial control station through the message gateway.</w:t>
      </w:r>
    </w:p>
    <w:p w14:paraId="7BDA1042" w14:textId="59F939DF" w:rsidR="00020445" w:rsidRPr="009D3BAD" w:rsidRDefault="00645A72" w:rsidP="009B72D5">
      <w:pPr>
        <w:jc w:val="both"/>
        <w:rPr>
          <w:rFonts w:ascii="Malgun Gothic" w:eastAsia="Malgun Gothic" w:hAnsi="Malgun Gothic"/>
          <w:lang w:eastAsia="ko-KR"/>
        </w:rPr>
      </w:pPr>
      <w:r w:rsidRPr="009D3BAD">
        <w:rPr>
          <w:rFonts w:ascii="Malgun Gothic" w:eastAsia="Malgun Gothic" w:hAnsi="Malgun Gothic"/>
          <w:lang w:eastAsia="ko-KR"/>
        </w:rPr>
        <w:t>3</w:t>
      </w:r>
      <w:r w:rsidR="00C87EAD">
        <w:rPr>
          <w:rFonts w:ascii="Malgun Gothic" w:eastAsia="Malgun Gothic" w:hAnsi="Malgun Gothic"/>
          <w:lang w:eastAsia="ko-KR"/>
        </w:rPr>
        <w:tab/>
      </w:r>
      <w:r w:rsidR="004A5956" w:rsidRPr="009D3BAD">
        <w:rPr>
          <w:rFonts w:ascii="Calibri" w:hAnsi="Calibri"/>
        </w:rPr>
        <w:t xml:space="preserve">Analysis </w:t>
      </w:r>
      <w:r w:rsidR="003F774E" w:rsidRPr="009D3BAD">
        <w:rPr>
          <w:rFonts w:ascii="Calibri" w:hAnsi="Calibri"/>
        </w:rPr>
        <w:t xml:space="preserve">and determination </w:t>
      </w:r>
      <w:r w:rsidR="004A5956" w:rsidRPr="009D3BAD">
        <w:rPr>
          <w:rFonts w:ascii="Calibri" w:hAnsi="Calibri"/>
        </w:rPr>
        <w:t>of a</w:t>
      </w:r>
      <w:r w:rsidR="004A0866" w:rsidRPr="009D3BAD">
        <w:rPr>
          <w:rFonts w:ascii="Calibri" w:hAnsi="Calibri"/>
        </w:rPr>
        <w:t xml:space="preserve">vailable </w:t>
      </w:r>
      <w:r w:rsidR="00107EF9">
        <w:rPr>
          <w:rFonts w:ascii="Calibri" w:hAnsi="Calibri"/>
        </w:rPr>
        <w:t>resources</w:t>
      </w:r>
      <w:r w:rsidR="004A0866" w:rsidRPr="009D3BAD">
        <w:rPr>
          <w:rFonts w:ascii="Calibri" w:hAnsi="Calibri"/>
        </w:rPr>
        <w:t xml:space="preserve"> (T.C.S.): The system for resource sharing and coordination of terrestrial control stations compares and </w:t>
      </w:r>
      <w:r w:rsidR="00107EF9" w:rsidRPr="00107EF9">
        <w:rPr>
          <w:rFonts w:ascii="Calibri" w:hAnsi="Calibri"/>
        </w:rPr>
        <w:t>analyses</w:t>
      </w:r>
      <w:r w:rsidR="004A0866" w:rsidRPr="009D3BAD">
        <w:rPr>
          <w:rFonts w:ascii="Calibri" w:hAnsi="Calibri"/>
        </w:rPr>
        <w:t xml:space="preserve"> the resource information maps of </w:t>
      </w:r>
      <w:proofErr w:type="spellStart"/>
      <w:r w:rsidR="004A0866" w:rsidRPr="009D3BAD">
        <w:rPr>
          <w:rFonts w:ascii="Calibri" w:hAnsi="Calibri"/>
        </w:rPr>
        <w:t>neighboring</w:t>
      </w:r>
      <w:proofErr w:type="spellEnd"/>
      <w:r w:rsidR="004A0866" w:rsidRPr="009D3BAD">
        <w:rPr>
          <w:rFonts w:ascii="Calibri" w:hAnsi="Calibri"/>
        </w:rPr>
        <w:t xml:space="preserve"> </w:t>
      </w:r>
      <w:r w:rsidR="00FA615C" w:rsidRPr="009D3BAD">
        <w:rPr>
          <w:rFonts w:ascii="Calibri" w:hAnsi="Calibri"/>
        </w:rPr>
        <w:t>Coastal</w:t>
      </w:r>
      <w:r w:rsidR="004A0866" w:rsidRPr="009D3BAD">
        <w:rPr>
          <w:rFonts w:ascii="Calibri" w:hAnsi="Calibri"/>
        </w:rPr>
        <w:t xml:space="preserve"> stations that have overlapping communication coverage areas within the communication coverage area</w:t>
      </w:r>
      <w:r w:rsidR="0031606B" w:rsidRPr="009D3BAD">
        <w:rPr>
          <w:rFonts w:ascii="Calibri" w:hAnsi="Calibri"/>
        </w:rPr>
        <w:t>.</w:t>
      </w:r>
      <w:r w:rsidR="004A0866" w:rsidRPr="009D3BAD">
        <w:rPr>
          <w:rFonts w:ascii="Calibri" w:hAnsi="Calibri"/>
        </w:rPr>
        <w:t xml:space="preserve"> </w:t>
      </w:r>
      <w:r w:rsidR="004A5956" w:rsidRPr="009D3BAD">
        <w:rPr>
          <w:rFonts w:ascii="Calibri" w:hAnsi="Calibri"/>
        </w:rPr>
        <w:t xml:space="preserve"> Then, </w:t>
      </w:r>
      <w:proofErr w:type="gramStart"/>
      <w:r w:rsidR="004A5956" w:rsidRPr="009D3BAD">
        <w:rPr>
          <w:rFonts w:ascii="Calibri" w:hAnsi="Calibri"/>
        </w:rPr>
        <w:t>It</w:t>
      </w:r>
      <w:proofErr w:type="gramEnd"/>
      <w:r w:rsidR="004A5956" w:rsidRPr="009D3BAD">
        <w:rPr>
          <w:rFonts w:ascii="Calibri" w:hAnsi="Calibri"/>
        </w:rPr>
        <w:t xml:space="preserve"> determines available resources to minimize </w:t>
      </w:r>
      <w:r w:rsidR="00107EF9">
        <w:rPr>
          <w:rFonts w:ascii="Calibri" w:hAnsi="Calibri"/>
        </w:rPr>
        <w:t xml:space="preserve">the </w:t>
      </w:r>
      <w:r w:rsidR="004A5956" w:rsidRPr="009D3BAD">
        <w:rPr>
          <w:rFonts w:ascii="Calibri" w:hAnsi="Calibri"/>
        </w:rPr>
        <w:t xml:space="preserve">impact on AIS/ASM transmission and </w:t>
      </w:r>
      <w:proofErr w:type="spellStart"/>
      <w:r w:rsidR="004A5956" w:rsidRPr="009D3BAD">
        <w:rPr>
          <w:rFonts w:ascii="Calibri" w:hAnsi="Calibri"/>
        </w:rPr>
        <w:t>neighboring</w:t>
      </w:r>
      <w:proofErr w:type="spellEnd"/>
      <w:r w:rsidR="004A5956" w:rsidRPr="009D3BAD">
        <w:rPr>
          <w:rFonts w:ascii="Calibri" w:hAnsi="Calibri"/>
        </w:rPr>
        <w:t xml:space="preserve"> Coastal stations' VDE transmission</w:t>
      </w:r>
      <w:r w:rsidR="004A0866" w:rsidRPr="009D3BAD">
        <w:rPr>
          <w:rFonts w:ascii="Calibri" w:hAnsi="Calibri"/>
        </w:rPr>
        <w:t>.</w:t>
      </w:r>
    </w:p>
    <w:p w14:paraId="39B69F0B" w14:textId="0316438F" w:rsidR="004A0866" w:rsidRPr="009D3BAD" w:rsidRDefault="00645A72">
      <w:pPr>
        <w:jc w:val="both"/>
        <w:rPr>
          <w:rFonts w:ascii="Calibri" w:hAnsi="Calibri"/>
        </w:rPr>
      </w:pPr>
      <w:r w:rsidRPr="009D3BAD">
        <w:rPr>
          <w:rFonts w:ascii="Malgun Gothic" w:eastAsia="Malgun Gothic" w:hAnsi="Malgun Gothic"/>
          <w:lang w:eastAsia="ko-KR"/>
        </w:rPr>
        <w:t>4</w:t>
      </w:r>
      <w:r w:rsidR="00C87EAD">
        <w:rPr>
          <w:rFonts w:ascii="Malgun Gothic" w:eastAsia="Malgun Gothic" w:hAnsi="Malgun Gothic"/>
          <w:lang w:eastAsia="ko-KR"/>
        </w:rPr>
        <w:tab/>
      </w:r>
      <w:r w:rsidR="004A0866" w:rsidRPr="009D3BAD">
        <w:rPr>
          <w:rFonts w:ascii="Calibri" w:hAnsi="Calibri"/>
        </w:rPr>
        <w:t>Distributing</w:t>
      </w:r>
      <w:r w:rsidR="00107EF9">
        <w:rPr>
          <w:rFonts w:ascii="Calibri" w:hAnsi="Calibri"/>
        </w:rPr>
        <w:t xml:space="preserve"> </w:t>
      </w:r>
      <w:r w:rsidR="004A5956" w:rsidRPr="009D3BAD">
        <w:rPr>
          <w:rFonts w:ascii="Calibri" w:hAnsi="Calibri"/>
        </w:rPr>
        <w:t xml:space="preserve">determined resource </w:t>
      </w:r>
      <w:r w:rsidR="004A0866" w:rsidRPr="009D3BAD">
        <w:rPr>
          <w:rFonts w:ascii="Calibri" w:hAnsi="Calibri"/>
        </w:rPr>
        <w:t xml:space="preserve">(T.C.S. to Shore): The terrestrial control station distributes allocation information about the resource request of the ship station through a message gateway to all adjacent </w:t>
      </w:r>
      <w:r w:rsidR="00FA615C" w:rsidRPr="009D3BAD">
        <w:rPr>
          <w:rFonts w:ascii="Calibri" w:hAnsi="Calibri"/>
        </w:rPr>
        <w:t>Coastal</w:t>
      </w:r>
      <w:r w:rsidR="004A0866" w:rsidRPr="009D3BAD">
        <w:rPr>
          <w:rFonts w:ascii="Calibri" w:hAnsi="Calibri"/>
        </w:rPr>
        <w:t xml:space="preserve"> stations used to determine available resources.</w:t>
      </w:r>
    </w:p>
    <w:p w14:paraId="7884A33F" w14:textId="53681216" w:rsidR="00584177" w:rsidRPr="009D3BAD" w:rsidRDefault="00645A72">
      <w:pPr>
        <w:jc w:val="both"/>
        <w:rPr>
          <w:rFonts w:ascii="Calibri" w:hAnsi="Calibri"/>
        </w:rPr>
      </w:pPr>
      <w:r w:rsidRPr="009D3BAD">
        <w:rPr>
          <w:rFonts w:ascii="Malgun Gothic" w:eastAsia="Malgun Gothic" w:hAnsi="Malgun Gothic"/>
          <w:lang w:eastAsia="ko-KR"/>
        </w:rPr>
        <w:t>5</w:t>
      </w:r>
      <w:r w:rsidR="00C87EAD">
        <w:rPr>
          <w:rFonts w:ascii="Malgun Gothic" w:eastAsia="Malgun Gothic" w:hAnsi="Malgun Gothic"/>
          <w:lang w:eastAsia="ko-KR"/>
        </w:rPr>
        <w:tab/>
      </w:r>
      <w:r w:rsidR="003F774E" w:rsidRPr="009D3BAD">
        <w:rPr>
          <w:rFonts w:ascii="Calibri" w:hAnsi="Calibri"/>
        </w:rPr>
        <w:t>R</w:t>
      </w:r>
      <w:r w:rsidR="00584177" w:rsidRPr="009D3BAD">
        <w:rPr>
          <w:rFonts w:ascii="Calibri" w:hAnsi="Calibri"/>
        </w:rPr>
        <w:t>esponse</w:t>
      </w:r>
      <w:r w:rsidR="003F774E" w:rsidRPr="009D3BAD">
        <w:rPr>
          <w:rFonts w:ascii="Calibri" w:hAnsi="Calibri"/>
        </w:rPr>
        <w:t xml:space="preserve"> for request</w:t>
      </w:r>
      <w:r w:rsidR="00584177" w:rsidRPr="009D3BAD">
        <w:rPr>
          <w:rFonts w:ascii="Calibri" w:hAnsi="Calibri"/>
        </w:rPr>
        <w:t xml:space="preserve"> (Shore to Ship): The </w:t>
      </w:r>
      <w:r w:rsidR="00FA615C" w:rsidRPr="009D3BAD">
        <w:rPr>
          <w:rFonts w:ascii="Calibri" w:hAnsi="Calibri"/>
        </w:rPr>
        <w:t>Coastal</w:t>
      </w:r>
      <w:r w:rsidR="00584177" w:rsidRPr="009D3BAD">
        <w:rPr>
          <w:rFonts w:ascii="Calibri" w:hAnsi="Calibri"/>
        </w:rPr>
        <w:t xml:space="preserve"> station adds and updates the newly allocated resource information distributed by the terrestrial control station to its resource information </w:t>
      </w:r>
      <w:proofErr w:type="gramStart"/>
      <w:r w:rsidR="00584177" w:rsidRPr="009D3BAD">
        <w:rPr>
          <w:rFonts w:ascii="Calibri" w:hAnsi="Calibri"/>
        </w:rPr>
        <w:t>map, and</w:t>
      </w:r>
      <w:proofErr w:type="gramEnd"/>
      <w:r w:rsidR="00584177" w:rsidRPr="009D3BAD">
        <w:rPr>
          <w:rFonts w:ascii="Calibri" w:hAnsi="Calibri"/>
        </w:rPr>
        <w:t xml:space="preserve"> transmits an allocation response to the resource request through the ASC.</w:t>
      </w:r>
    </w:p>
    <w:p w14:paraId="331AD55F" w14:textId="77777777" w:rsidR="00107EF9" w:rsidRPr="009D3BAD" w:rsidRDefault="00107EF9">
      <w:pPr>
        <w:jc w:val="both"/>
        <w:rPr>
          <w:rFonts w:ascii="Calibri" w:hAnsi="Calibri"/>
        </w:rPr>
      </w:pPr>
    </w:p>
    <w:p w14:paraId="5E540B97" w14:textId="08E2809D" w:rsidR="00584177" w:rsidRPr="009D3BAD" w:rsidRDefault="00584177">
      <w:pPr>
        <w:jc w:val="both"/>
        <w:rPr>
          <w:rFonts w:ascii="Calibri" w:hAnsi="Calibri"/>
        </w:rPr>
      </w:pPr>
      <w:r w:rsidRPr="009D3BAD">
        <w:rPr>
          <w:rFonts w:ascii="Calibri" w:hAnsi="Calibri"/>
        </w:rPr>
        <w:t>R</w:t>
      </w:r>
      <w:r w:rsidR="00107EF9">
        <w:rPr>
          <w:rFonts w:ascii="Calibri" w:hAnsi="Calibri"/>
        </w:rPr>
        <w:t>equesting</w:t>
      </w:r>
      <w:r w:rsidRPr="009D3BAD">
        <w:rPr>
          <w:rFonts w:ascii="Calibri" w:hAnsi="Calibri"/>
        </w:rPr>
        <w:t xml:space="preserve"> and allocating resources for information services (</w:t>
      </w:r>
      <w:proofErr w:type="gramStart"/>
      <w:r w:rsidRPr="009D3BAD">
        <w:rPr>
          <w:rFonts w:ascii="Calibri" w:hAnsi="Calibri"/>
        </w:rPr>
        <w:t>e.g.</w:t>
      </w:r>
      <w:proofErr w:type="gramEnd"/>
      <w:r w:rsidRPr="009D3BAD">
        <w:rPr>
          <w:rFonts w:ascii="Calibri" w:hAnsi="Calibri"/>
        </w:rPr>
        <w:t xml:space="preserve"> MSI Service) using VDE follows this same process. However, short data messages using a single timeslot in RAC can transmit information without the procedures required for requesting and allocating resources.</w:t>
      </w:r>
    </w:p>
    <w:p w14:paraId="4034257D" w14:textId="77777777" w:rsidR="009C3AAC" w:rsidRDefault="009C3AAC">
      <w:pPr>
        <w:jc w:val="both"/>
        <w:rPr>
          <w:rFonts w:ascii="Malgun Gothic" w:eastAsia="Malgun Gothic" w:hAnsi="Malgun Gothic"/>
          <w:color w:val="0000FF"/>
          <w:lang w:eastAsia="ko-KR"/>
        </w:rPr>
      </w:pPr>
    </w:p>
    <w:p w14:paraId="2B8F1277" w14:textId="6B1C8FDE" w:rsidR="009C3AAC" w:rsidRDefault="005A323D">
      <w:pPr>
        <w:pStyle w:val="BodyText"/>
        <w:jc w:val="center"/>
        <w:rPr>
          <w:rFonts w:ascii="Calibri" w:hAnsi="Calibri"/>
        </w:rPr>
      </w:pPr>
      <w:r w:rsidRPr="005A323D">
        <w:rPr>
          <w:rFonts w:ascii="Calibri" w:hAnsi="Calibri"/>
          <w:noProof/>
        </w:rPr>
        <w:lastRenderedPageBreak/>
        <w:drawing>
          <wp:inline distT="0" distB="0" distL="0" distR="0" wp14:anchorId="41C83035" wp14:editId="760C4D3B">
            <wp:extent cx="6120130" cy="3980180"/>
            <wp:effectExtent l="0" t="0" r="0" b="1270"/>
            <wp:docPr id="286" name="그림 285">
              <a:extLst xmlns:a="http://schemas.openxmlformats.org/drawingml/2006/main">
                <a:ext uri="{FF2B5EF4-FFF2-40B4-BE49-F238E27FC236}">
                  <a16:creationId xmlns:a16="http://schemas.microsoft.com/office/drawing/2014/main" id="{41DD8EF0-E29A-2334-E9C8-7824F39B67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그림 285">
                      <a:extLst>
                        <a:ext uri="{FF2B5EF4-FFF2-40B4-BE49-F238E27FC236}">
                          <a16:creationId xmlns:a16="http://schemas.microsoft.com/office/drawing/2014/main" id="{41DD8EF0-E29A-2334-E9C8-7824F39B671A}"/>
                        </a:ext>
                      </a:extLst>
                    </pic:cNvPr>
                    <pic:cNvPicPr>
                      <a:picLocks noChangeAspect="1"/>
                    </pic:cNvPicPr>
                  </pic:nvPicPr>
                  <pic:blipFill>
                    <a:blip r:embed="rId10"/>
                    <a:stretch>
                      <a:fillRect/>
                    </a:stretch>
                  </pic:blipFill>
                  <pic:spPr>
                    <a:xfrm>
                      <a:off x="0" y="0"/>
                      <a:ext cx="6120130" cy="3980180"/>
                    </a:xfrm>
                    <a:prstGeom prst="rect">
                      <a:avLst/>
                    </a:prstGeom>
                  </pic:spPr>
                </pic:pic>
              </a:graphicData>
            </a:graphic>
          </wp:inline>
        </w:drawing>
      </w:r>
    </w:p>
    <w:p w14:paraId="2AC421D8" w14:textId="201CC2B6" w:rsidR="009C3AAC" w:rsidRDefault="005A323D">
      <w:pPr>
        <w:pStyle w:val="Figure"/>
        <w:rPr>
          <w:rFonts w:ascii="Malgun Gothic" w:eastAsia="Malgun Gothic" w:hAnsi="Malgun Gothic"/>
          <w:lang w:eastAsia="ko-KR"/>
        </w:rPr>
      </w:pPr>
      <w:r>
        <w:rPr>
          <w:rFonts w:ascii="Malgun Gothic" w:eastAsia="Malgun Gothic" w:hAnsi="Malgun Gothic"/>
          <w:lang w:eastAsia="ko-KR"/>
        </w:rPr>
        <w:t xml:space="preserve">Multi-Channel TDMA Slot Resource Management for VDES </w:t>
      </w:r>
    </w:p>
    <w:p w14:paraId="4153214D" w14:textId="77777777" w:rsidR="009C3AAC" w:rsidRDefault="009C3AAC">
      <w:pPr>
        <w:rPr>
          <w:rFonts w:ascii="Calibri" w:hAnsi="Calibri"/>
          <w:lang w:eastAsia="ko-KR"/>
        </w:rPr>
      </w:pPr>
    </w:p>
    <w:p w14:paraId="286F042E" w14:textId="780BB22B" w:rsidR="00107EF9" w:rsidRDefault="00107EF9">
      <w:pPr>
        <w:rPr>
          <w:rFonts w:ascii="Calibri" w:hAnsi="Calibri"/>
          <w:lang w:eastAsia="ko-KR"/>
        </w:rPr>
      </w:pPr>
      <w:r w:rsidRPr="00107EF9">
        <w:rPr>
          <w:rFonts w:ascii="Calibri" w:hAnsi="Calibri"/>
        </w:rPr>
        <w:t>3.1.</w:t>
      </w:r>
      <w:r>
        <w:rPr>
          <w:rFonts w:ascii="Calibri" w:hAnsi="Calibri"/>
        </w:rPr>
        <w:t>4</w:t>
      </w:r>
      <w:r w:rsidRPr="00107EF9">
        <w:rPr>
          <w:rFonts w:ascii="Calibri" w:hAnsi="Calibri"/>
        </w:rPr>
        <w:tab/>
      </w:r>
      <w:r>
        <w:rPr>
          <w:rFonts w:ascii="Calibri" w:hAnsi="Calibri"/>
        </w:rPr>
        <w:t>Available resource analysis through VDES resource information map initialization and real-time resource status update</w:t>
      </w:r>
    </w:p>
    <w:p w14:paraId="1F0F1D84" w14:textId="77777777" w:rsidR="00107EF9" w:rsidRDefault="00107EF9">
      <w:pPr>
        <w:rPr>
          <w:rFonts w:ascii="Calibri" w:hAnsi="Calibri"/>
          <w:lang w:eastAsia="ko-KR"/>
        </w:rPr>
      </w:pPr>
    </w:p>
    <w:p w14:paraId="46529D04" w14:textId="6BCF1F12" w:rsidR="0057128C" w:rsidRPr="009D3BAD" w:rsidRDefault="0057128C" w:rsidP="0057128C">
      <w:pPr>
        <w:jc w:val="both"/>
        <w:rPr>
          <w:rFonts w:ascii="Calibri" w:hAnsi="Calibri"/>
        </w:rPr>
      </w:pPr>
      <w:r w:rsidRPr="009D3BAD">
        <w:rPr>
          <w:rFonts w:ascii="Calibri" w:hAnsi="Calibri"/>
        </w:rPr>
        <w:t xml:space="preserve">A system for resource sharing and coordination of terrestrial control stations must be able to </w:t>
      </w:r>
      <w:proofErr w:type="spellStart"/>
      <w:r w:rsidRPr="009D3BAD">
        <w:rPr>
          <w:rFonts w:ascii="Calibri" w:hAnsi="Calibri"/>
        </w:rPr>
        <w:t>analyze</w:t>
      </w:r>
      <w:proofErr w:type="spellEnd"/>
      <w:r w:rsidRPr="009D3BAD">
        <w:rPr>
          <w:rFonts w:ascii="Calibri" w:hAnsi="Calibri"/>
        </w:rPr>
        <w:t xml:space="preserve"> available resources for resource allocation. It is necessary to construct a resource information map that is synchronized with the resource information map that the competent </w:t>
      </w:r>
      <w:r w:rsidR="00FA615C" w:rsidRPr="009D3BAD">
        <w:rPr>
          <w:rFonts w:ascii="Calibri" w:hAnsi="Calibri"/>
        </w:rPr>
        <w:t>Coastal</w:t>
      </w:r>
      <w:r w:rsidRPr="009D3BAD">
        <w:rPr>
          <w:rFonts w:ascii="Calibri" w:hAnsi="Calibri"/>
        </w:rPr>
        <w:t xml:space="preserve"> station has on its own. In addition, available resource candidates, that is, selectable logical channels, must be considered as search conditions for free slots according to the priority of the communication system.</w:t>
      </w:r>
    </w:p>
    <w:p w14:paraId="16D47082" w14:textId="77777777" w:rsidR="00C87EAD" w:rsidRDefault="00C87EAD">
      <w:pPr>
        <w:jc w:val="both"/>
        <w:rPr>
          <w:rFonts w:ascii="Malgun Gothic" w:eastAsia="Malgun Gothic" w:hAnsi="Malgun Gothic"/>
          <w:color w:val="0000FF"/>
          <w:lang w:val="en-US" w:eastAsia="ko-KR"/>
        </w:rPr>
      </w:pPr>
    </w:p>
    <w:p w14:paraId="68ED4729" w14:textId="4785B3B2" w:rsidR="009C3AAC" w:rsidRDefault="00EC26EE">
      <w:pPr>
        <w:pStyle w:val="BodyText"/>
        <w:keepNext/>
        <w:jc w:val="center"/>
      </w:pPr>
      <w:r w:rsidRPr="00EC26EE">
        <w:rPr>
          <w:noProof/>
        </w:rPr>
        <w:lastRenderedPageBreak/>
        <w:drawing>
          <wp:inline distT="0" distB="0" distL="0" distR="0" wp14:anchorId="6F4B9DC3" wp14:editId="1EFC3099">
            <wp:extent cx="6119617" cy="7021002"/>
            <wp:effectExtent l="0" t="0" r="0" b="8890"/>
            <wp:docPr id="65868" name="그림 65867">
              <a:extLst xmlns:a="http://schemas.openxmlformats.org/drawingml/2006/main">
                <a:ext uri="{FF2B5EF4-FFF2-40B4-BE49-F238E27FC236}">
                  <a16:creationId xmlns:a16="http://schemas.microsoft.com/office/drawing/2014/main" id="{F0B4B9CD-424F-6EC9-B7FA-89313FE50B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68" name="그림 65867">
                      <a:extLst>
                        <a:ext uri="{FF2B5EF4-FFF2-40B4-BE49-F238E27FC236}">
                          <a16:creationId xmlns:a16="http://schemas.microsoft.com/office/drawing/2014/main" id="{F0B4B9CD-424F-6EC9-B7FA-89313FE50B51}"/>
                        </a:ext>
                      </a:extLst>
                    </pic:cNvPr>
                    <pic:cNvPicPr>
                      <a:picLocks noChangeAspect="1"/>
                    </pic:cNvPicPr>
                  </pic:nvPicPr>
                  <pic:blipFill>
                    <a:blip r:embed="rId11"/>
                    <a:stretch>
                      <a:fillRect/>
                    </a:stretch>
                  </pic:blipFill>
                  <pic:spPr>
                    <a:xfrm>
                      <a:off x="0" y="0"/>
                      <a:ext cx="6123168" cy="7025076"/>
                    </a:xfrm>
                    <a:prstGeom prst="rect">
                      <a:avLst/>
                    </a:prstGeom>
                  </pic:spPr>
                </pic:pic>
              </a:graphicData>
            </a:graphic>
          </wp:inline>
        </w:drawing>
      </w:r>
    </w:p>
    <w:p w14:paraId="71CFE12F" w14:textId="51C006AC" w:rsidR="009C3AAC" w:rsidRDefault="00C41573" w:rsidP="00C41573">
      <w:pPr>
        <w:pStyle w:val="Figure"/>
        <w:jc w:val="left"/>
        <w:rPr>
          <w:lang w:eastAsia="ko-KR"/>
        </w:rPr>
      </w:pPr>
      <w:r w:rsidRPr="00C41573">
        <w:rPr>
          <w:lang w:eastAsia="ko-KR"/>
        </w:rPr>
        <w:t xml:space="preserve">Analysis method of available resources between VDES communication systems of adjacent </w:t>
      </w:r>
      <w:r w:rsidR="00FA615C">
        <w:rPr>
          <w:lang w:eastAsia="ko-KR"/>
        </w:rPr>
        <w:t>Coastal</w:t>
      </w:r>
      <w:r w:rsidRPr="00C41573">
        <w:rPr>
          <w:lang w:eastAsia="ko-KR"/>
        </w:rPr>
        <w:t xml:space="preserve"> stations with overlapping communication areas</w:t>
      </w:r>
    </w:p>
    <w:p w14:paraId="0E816D8E" w14:textId="77777777" w:rsidR="00E1511A" w:rsidRDefault="00E1511A" w:rsidP="00E1511A">
      <w:pPr>
        <w:rPr>
          <w:lang w:eastAsia="ko-KR"/>
        </w:rPr>
      </w:pPr>
    </w:p>
    <w:p w14:paraId="6F05920A" w14:textId="77777777" w:rsidR="00E1511A" w:rsidRPr="009D3BAD" w:rsidRDefault="00E1511A" w:rsidP="00E1511A">
      <w:pPr>
        <w:jc w:val="both"/>
        <w:rPr>
          <w:rFonts w:ascii="Calibri" w:hAnsi="Calibri"/>
        </w:rPr>
      </w:pPr>
      <w:r w:rsidRPr="009D3BAD">
        <w:rPr>
          <w:rFonts w:ascii="Calibri" w:hAnsi="Calibri"/>
        </w:rPr>
        <w:t>A slot state can be one of the following: free slot, internally allocated, externally allocated, available, or unavailable. In order to speed up the search for available resource candidates, a method of deriving available resource candidates from empty slots may be efficient.</w:t>
      </w:r>
    </w:p>
    <w:p w14:paraId="3D180018" w14:textId="1D9FF0EE" w:rsidR="00E1511A" w:rsidRPr="009D3BAD" w:rsidRDefault="00E1511A" w:rsidP="009D3BAD">
      <w:pPr>
        <w:jc w:val="both"/>
        <w:rPr>
          <w:rFonts w:ascii="Calibri" w:hAnsi="Calibri"/>
        </w:rPr>
      </w:pPr>
      <w:r w:rsidRPr="009D3BAD">
        <w:rPr>
          <w:rFonts w:ascii="Calibri" w:hAnsi="Calibri"/>
        </w:rPr>
        <w:t>Resources required for allocation can be selected from the TDMA frame with selectable logical channels following the current TDMA frame in which the resource request is received, and the earliest selectable logical channel is allocated to the resource request received first.</w:t>
      </w:r>
    </w:p>
    <w:p w14:paraId="4EFEBA7D" w14:textId="2F1CC7B7" w:rsidR="009C3AAC" w:rsidRDefault="00FA615C">
      <w:pPr>
        <w:rPr>
          <w:lang w:eastAsia="ko-KR"/>
        </w:rPr>
      </w:pPr>
      <w:r>
        <w:rPr>
          <w:noProof/>
          <w:lang w:eastAsia="ko-KR"/>
        </w:rPr>
        <w:lastRenderedPageBreak/>
        <w:drawing>
          <wp:inline distT="0" distB="0" distL="0" distR="0" wp14:anchorId="4C35EEC0" wp14:editId="68D0D8DF">
            <wp:extent cx="6401435" cy="6553835"/>
            <wp:effectExtent l="0" t="0" r="0" b="0"/>
            <wp:docPr id="80765331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1435" cy="6553835"/>
                    </a:xfrm>
                    <a:prstGeom prst="rect">
                      <a:avLst/>
                    </a:prstGeom>
                    <a:noFill/>
                  </pic:spPr>
                </pic:pic>
              </a:graphicData>
            </a:graphic>
          </wp:inline>
        </w:drawing>
      </w:r>
    </w:p>
    <w:p w14:paraId="1D453557" w14:textId="38E17A45" w:rsidR="009C3AAC" w:rsidRDefault="00C41573">
      <w:pPr>
        <w:pStyle w:val="Figure"/>
        <w:rPr>
          <w:lang w:eastAsia="ko-KR"/>
        </w:rPr>
      </w:pPr>
      <w:r w:rsidRPr="00C41573">
        <w:rPr>
          <w:lang w:eastAsia="ko-KR"/>
        </w:rPr>
        <w:t xml:space="preserve">Example of analysis of available resources </w:t>
      </w:r>
      <w:r w:rsidR="00FA615C">
        <w:rPr>
          <w:lang w:eastAsia="ko-KR"/>
        </w:rPr>
        <w:t>focused</w:t>
      </w:r>
      <w:r w:rsidRPr="00C41573">
        <w:rPr>
          <w:lang w:eastAsia="ko-KR"/>
        </w:rPr>
        <w:t xml:space="preserve"> on empty slots according to the priority of the communication system</w:t>
      </w:r>
    </w:p>
    <w:p w14:paraId="031BFB9D" w14:textId="77777777" w:rsidR="009C3AAC" w:rsidRDefault="009C3AAC">
      <w:pPr>
        <w:rPr>
          <w:lang w:eastAsia="ko-KR"/>
        </w:rPr>
      </w:pPr>
    </w:p>
    <w:p w14:paraId="63906191" w14:textId="77777777" w:rsidR="009C3AAC" w:rsidRDefault="00A36D6E">
      <w:pPr>
        <w:pStyle w:val="Heading1"/>
      </w:pPr>
      <w:r>
        <w:t>References</w:t>
      </w:r>
    </w:p>
    <w:p w14:paraId="34FBE5F9" w14:textId="77777777" w:rsidR="009C3AAC" w:rsidRPr="009D3BAD" w:rsidRDefault="00A36D6E">
      <w:pPr>
        <w:pStyle w:val="References"/>
        <w:numPr>
          <w:ilvl w:val="0"/>
          <w:numId w:val="6"/>
        </w:numPr>
        <w:jc w:val="both"/>
        <w:rPr>
          <w:rFonts w:asciiTheme="minorHAnsi" w:eastAsia="Malgun Gothic" w:hAnsiTheme="minorHAnsi" w:cstheme="minorHAnsi"/>
          <w:lang w:eastAsia="de-DE"/>
        </w:rPr>
      </w:pPr>
      <w:r w:rsidRPr="009D3BAD">
        <w:rPr>
          <w:rFonts w:asciiTheme="minorHAnsi" w:eastAsia="Malgun Gothic" w:hAnsiTheme="minorHAnsi" w:cstheme="minorHAnsi"/>
          <w:lang w:eastAsia="de-DE"/>
        </w:rPr>
        <w:t>E-NAV 31</w:t>
      </w:r>
      <w:r w:rsidRPr="009D3BAD">
        <w:rPr>
          <w:rFonts w:asciiTheme="minorHAnsi" w:eastAsia="Malgun Gothic" w:hAnsiTheme="minorHAnsi" w:cstheme="minorHAnsi"/>
          <w:vertAlign w:val="superscript"/>
          <w:lang w:eastAsia="de-DE"/>
        </w:rPr>
        <w:t>ST</w:t>
      </w:r>
      <w:r w:rsidRPr="009D3BAD">
        <w:rPr>
          <w:rFonts w:asciiTheme="minorHAnsi" w:eastAsia="Malgun Gothic" w:hAnsiTheme="minorHAnsi" w:cstheme="minorHAnsi"/>
          <w:lang w:eastAsia="de-DE"/>
        </w:rPr>
        <w:t xml:space="preserve"> Extraordinary Meeting Input Document – EM1-5.1.3.1 Development of Guideline on VDES resource sharing and coordination cooperation</w:t>
      </w:r>
    </w:p>
    <w:p w14:paraId="3EB25A53" w14:textId="77777777" w:rsidR="009C3AAC" w:rsidRPr="009D3BAD" w:rsidRDefault="00A36D6E">
      <w:pPr>
        <w:pStyle w:val="References"/>
        <w:numPr>
          <w:ilvl w:val="0"/>
          <w:numId w:val="3"/>
        </w:numPr>
        <w:jc w:val="both"/>
        <w:rPr>
          <w:rFonts w:asciiTheme="minorHAnsi" w:eastAsia="Malgun Gothic" w:hAnsiTheme="minorHAnsi" w:cstheme="minorHAnsi"/>
          <w:lang w:eastAsia="de-DE"/>
        </w:rPr>
      </w:pPr>
      <w:r w:rsidRPr="009D3BAD">
        <w:rPr>
          <w:rFonts w:asciiTheme="minorHAnsi" w:eastAsia="Malgun Gothic" w:hAnsiTheme="minorHAnsi" w:cstheme="minorHAnsi"/>
        </w:rPr>
        <w:t>E-NAV 31</w:t>
      </w:r>
      <w:r w:rsidRPr="009D3BAD">
        <w:rPr>
          <w:rFonts w:asciiTheme="minorHAnsi" w:eastAsia="Malgun Gothic" w:hAnsiTheme="minorHAnsi" w:cstheme="minorHAnsi"/>
          <w:vertAlign w:val="superscript"/>
          <w:lang w:eastAsia="ko-KR"/>
        </w:rPr>
        <w:t>ST</w:t>
      </w:r>
      <w:r w:rsidRPr="009D3BAD">
        <w:rPr>
          <w:rFonts w:asciiTheme="minorHAnsi" w:eastAsia="Malgun Gothic" w:hAnsiTheme="minorHAnsi" w:cstheme="minorHAnsi"/>
        </w:rPr>
        <w:t xml:space="preserve"> Extraordinary meeting Input Document - EM1-5.1.3.4 Proposals on VDES Communication Resource Coordination</w:t>
      </w:r>
    </w:p>
    <w:p w14:paraId="5B3FE5F6" w14:textId="77777777" w:rsidR="009C3AAC" w:rsidRDefault="009C3AAC">
      <w:pPr>
        <w:pStyle w:val="References"/>
        <w:numPr>
          <w:ilvl w:val="0"/>
          <w:numId w:val="0"/>
        </w:numPr>
        <w:ind w:left="567" w:hanging="567"/>
        <w:jc w:val="both"/>
        <w:rPr>
          <w:rFonts w:asciiTheme="minorHAnsi" w:eastAsia="Malgun Gothic" w:hAnsiTheme="minorHAnsi" w:cstheme="minorHAnsi"/>
          <w:color w:val="0000FF"/>
          <w:lang w:eastAsia="de-DE"/>
        </w:rPr>
      </w:pPr>
    </w:p>
    <w:p w14:paraId="3D65F6F8" w14:textId="77777777" w:rsidR="009C3AAC" w:rsidRDefault="00A36D6E">
      <w:pPr>
        <w:pStyle w:val="Heading1"/>
      </w:pPr>
      <w:r>
        <w:lastRenderedPageBreak/>
        <w:t>Action requested of the Committee</w:t>
      </w:r>
    </w:p>
    <w:p w14:paraId="509E4013" w14:textId="69636EFD" w:rsidR="00C41573" w:rsidRPr="00C41573" w:rsidRDefault="00C41573" w:rsidP="00C41573">
      <w:pPr>
        <w:pStyle w:val="List1"/>
        <w:numPr>
          <w:ilvl w:val="0"/>
          <w:numId w:val="0"/>
        </w:numPr>
        <w:rPr>
          <w:lang w:eastAsia="ko-KR"/>
        </w:rPr>
      </w:pPr>
      <w:r>
        <w:rPr>
          <w:rFonts w:ascii="Malgun Gothic" w:eastAsia="Malgun Gothic" w:hAnsi="Malgun Gothic" w:cs="Malgun Gothic" w:hint="eastAsia"/>
          <w:lang w:eastAsia="ko-KR"/>
        </w:rPr>
        <w:t>T</w:t>
      </w:r>
      <w:r>
        <w:rPr>
          <w:rFonts w:ascii="Malgun Gothic" w:eastAsia="Malgun Gothic" w:hAnsi="Malgun Gothic" w:cs="Malgun Gothic"/>
          <w:lang w:eastAsia="ko-KR"/>
        </w:rPr>
        <w:t>he committee is requested to:</w:t>
      </w:r>
    </w:p>
    <w:p w14:paraId="0BC05174" w14:textId="5AA664C4" w:rsidR="009C3AAC" w:rsidRPr="00C87EAD" w:rsidRDefault="00C87EAD" w:rsidP="009D3BAD">
      <w:pPr>
        <w:pStyle w:val="List1"/>
        <w:numPr>
          <w:ilvl w:val="0"/>
          <w:numId w:val="0"/>
        </w:numPr>
        <w:ind w:left="567" w:hanging="567"/>
        <w:rPr>
          <w:lang w:eastAsia="ko-KR"/>
        </w:rPr>
      </w:pPr>
      <w:r>
        <w:rPr>
          <w:rFonts w:ascii="Malgun Gothic" w:eastAsia="Malgun Gothic" w:hAnsi="Malgun Gothic" w:cs="BatangChe"/>
          <w:lang w:eastAsia="ko-KR"/>
        </w:rPr>
        <w:t>1</w:t>
      </w:r>
      <w:r>
        <w:rPr>
          <w:rFonts w:ascii="Malgun Gothic" w:eastAsia="Malgun Gothic" w:hAnsi="Malgun Gothic" w:cs="BatangChe"/>
          <w:lang w:eastAsia="ko-KR"/>
        </w:rPr>
        <w:tab/>
      </w:r>
      <w:r w:rsidR="00C41573" w:rsidRPr="009D3BAD">
        <w:rPr>
          <w:rFonts w:ascii="Malgun Gothic" w:eastAsia="Malgun Gothic" w:hAnsi="Malgun Gothic" w:cs="BatangChe"/>
          <w:lang w:eastAsia="ko-KR"/>
        </w:rPr>
        <w:t xml:space="preserve">Engage in the discussion regarding VDES resource sharing and coordination between VDE-TER shore stations. </w:t>
      </w:r>
    </w:p>
    <w:sectPr w:rsidR="009C3AAC" w:rsidRPr="00C87EAD">
      <w:headerReference w:type="even" r:id="rId13"/>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7FBC5" w14:textId="77777777" w:rsidR="00906E5C" w:rsidRDefault="00906E5C">
      <w:r>
        <w:separator/>
      </w:r>
    </w:p>
  </w:endnote>
  <w:endnote w:type="continuationSeparator" w:id="0">
    <w:p w14:paraId="61D0ABA9" w14:textId="77777777" w:rsidR="00906E5C" w:rsidRDefault="00906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C3E19" w14:textId="77777777" w:rsidR="009C3AAC" w:rsidRDefault="00A36D6E">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392E5" w14:textId="77777777" w:rsidR="00906E5C" w:rsidRDefault="00906E5C">
      <w:r>
        <w:separator/>
      </w:r>
    </w:p>
  </w:footnote>
  <w:footnote w:type="continuationSeparator" w:id="0">
    <w:p w14:paraId="3E1AEBA5" w14:textId="77777777" w:rsidR="00906E5C" w:rsidRDefault="00906E5C">
      <w:r>
        <w:continuationSeparator/>
      </w:r>
    </w:p>
  </w:footnote>
  <w:footnote w:id="1">
    <w:p w14:paraId="33B004D4" w14:textId="77777777" w:rsidR="009C3AAC" w:rsidRDefault="00A36D6E">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2B60B4A" w14:textId="77777777" w:rsidR="009C3AAC" w:rsidRDefault="00A36D6E">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26DB" w14:textId="77777777" w:rsidR="009C3AAC" w:rsidRDefault="00836312">
    <w:pPr>
      <w:pStyle w:val="Header"/>
    </w:pPr>
    <w:r>
      <w:rPr>
        <w:noProof/>
      </w:rPr>
      <w:pict w14:anchorId="77A30B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56704;visibility:hidden">
          <v:path textpathok="f" o:connecttype="segments"/>
          <v:textpath on="f" fitshape="f"/>
          <o:lock v:ext="edit" selection="t" text="f" shapetype="f"/>
        </v:shape>
      </w:pict>
    </w:r>
    <w:r>
      <w:rPr>
        <w:noProof/>
      </w:rPr>
      <w:pict w14:anchorId="4502C7E8">
        <v:shape id="PowerPlusWaterMarkObject" o:spid="_x0000_s1027"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405B" w14:textId="77777777" w:rsidR="009C3AAC" w:rsidRDefault="00A36D6E">
    <w:pPr>
      <w:pStyle w:val="Header"/>
      <w:jc w:val="right"/>
    </w:pPr>
    <w:r>
      <w:rPr>
        <w:noProof/>
      </w:rPr>
      <w:drawing>
        <wp:anchor distT="0" distB="0" distL="114300" distR="114300" simplePos="0" relativeHeight="251655680" behindDoc="0" locked="0" layoutInCell="1" hidden="0" allowOverlap="1" wp14:anchorId="16BBD8A4" wp14:editId="3F72B863">
          <wp:simplePos x="0" y="0"/>
          <wp:positionH relativeFrom="column">
            <wp:posOffset>5447030</wp:posOffset>
          </wp:positionH>
          <wp:positionV relativeFrom="paragraph">
            <wp:posOffset>-427990</wp:posOffset>
          </wp:positionV>
          <wp:extent cx="574675" cy="560070"/>
          <wp:effectExtent l="0" t="0" r="0" b="0"/>
          <wp:wrapSquare wrapText="bothSides"/>
          <wp:docPr id="2050" name="shape20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이미지"/>
                  <pic:cNvPicPr>
                    <a:picLocks/>
                  </pic:cNvPicPr>
                </pic:nvPicPr>
                <pic:blipFill>
                  <a:blip r:embed="rId1">
                    <a:extLst>
                      <a:ext uri="{28A0092B-C50C-407E-A947-70E740481C1C}">
                        <a14:useLocalDpi xmlns:a14="http://schemas.microsoft.com/office/drawing/2010/main" val="0"/>
                      </a:ext>
                    </a:extLst>
                  </a:blip>
                  <a:srcRect/>
                  <a:stretch>
                    <a:fillRect/>
                  </a:stretch>
                </pic:blipFill>
                <pic:spPr>
                  <a:xfrm>
                    <a:off x="0" y="0"/>
                    <a:ext cx="574675" cy="560070"/>
                  </a:xfrm>
                  <a:prstGeom prst="rect">
                    <a:avLst/>
                  </a:prstGeom>
                </pic:spPr>
              </pic:pic>
            </a:graphicData>
          </a:graphic>
        </wp:anchor>
      </w:drawing>
    </w:r>
    <w:r w:rsidR="00836312">
      <w:rPr>
        <w:noProof/>
      </w:rPr>
      <w:pict w14:anchorId="2F1879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50pt;height:50pt;z-index:251657728;visibility:hidden;mso-position-horizontal-relative:text;mso-position-vertical-relative:text">
          <v:path textpathok="f" o:connecttype="segments"/>
          <v:textpath on="f" fitshape="f"/>
          <o:lock v:ext="edit" selection="t" text="f" shapetype="f"/>
        </v:shape>
      </w:pict>
    </w:r>
    <w:r w:rsidR="00836312">
      <w:rPr>
        <w:noProof/>
      </w:rPr>
      <w:pict w14:anchorId="58F11499">
        <v:shape id="_x0000_s1025"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effect w:val="none"/>
        <w:bdr w:val="none" w:sz="0" w:space="0" w:color="auto"/>
        <w:shd w:val="clear" w:color="000000" w:fill="000000"/>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65955159">
    <w:abstractNumId w:val="3"/>
  </w:num>
  <w:num w:numId="2" w16cid:durableId="563834584">
    <w:abstractNumId w:val="4"/>
  </w:num>
  <w:num w:numId="3" w16cid:durableId="897401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7985858">
    <w:abstractNumId w:val="8"/>
  </w:num>
  <w:num w:numId="5" w16cid:durableId="1035808188">
    <w:abstractNumId w:val="15"/>
  </w:num>
  <w:num w:numId="6" w16cid:durableId="14473156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36611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8250652">
    <w:abstractNumId w:val="14"/>
  </w:num>
  <w:num w:numId="9" w16cid:durableId="1066535748">
    <w:abstractNumId w:val="10"/>
  </w:num>
  <w:num w:numId="10" w16cid:durableId="652758786">
    <w:abstractNumId w:val="2"/>
  </w:num>
  <w:num w:numId="11" w16cid:durableId="606617500">
    <w:abstractNumId w:val="16"/>
  </w:num>
  <w:num w:numId="12" w16cid:durableId="358556503">
    <w:abstractNumId w:val="12"/>
  </w:num>
  <w:num w:numId="13" w16cid:durableId="590511586">
    <w:abstractNumId w:val="11"/>
  </w:num>
  <w:num w:numId="14" w16cid:durableId="255600081">
    <w:abstractNumId w:val="9"/>
  </w:num>
  <w:num w:numId="15" w16cid:durableId="1266037594">
    <w:abstractNumId w:val="13"/>
  </w:num>
  <w:num w:numId="16" w16cid:durableId="1662998919">
    <w:abstractNumId w:val="5"/>
  </w:num>
  <w:num w:numId="17" w16cid:durableId="1282613585">
    <w:abstractNumId w:val="6"/>
  </w:num>
  <w:num w:numId="18" w16cid:durableId="1414007014">
    <w:abstractNumId w:val="7"/>
  </w:num>
  <w:num w:numId="19" w16cid:durableId="1759668671">
    <w:abstractNumId w:val="1"/>
  </w:num>
  <w:num w:numId="20" w16cid:durableId="2146509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oNotDisplayPageBoundaries/>
  <w:displayBackgroundShape/>
  <w:bordersDoNotSurroundHeader/>
  <w:bordersDoNotSurroundFooter/>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AAC"/>
    <w:rsid w:val="00020445"/>
    <w:rsid w:val="00086134"/>
    <w:rsid w:val="000E0323"/>
    <w:rsid w:val="00107EF9"/>
    <w:rsid w:val="001B3A39"/>
    <w:rsid w:val="001D0363"/>
    <w:rsid w:val="0024273C"/>
    <w:rsid w:val="002B4012"/>
    <w:rsid w:val="002C3A57"/>
    <w:rsid w:val="0031606B"/>
    <w:rsid w:val="00326BA6"/>
    <w:rsid w:val="00335B9F"/>
    <w:rsid w:val="003E5FDD"/>
    <w:rsid w:val="003F774E"/>
    <w:rsid w:val="00467010"/>
    <w:rsid w:val="004A0866"/>
    <w:rsid w:val="004A5956"/>
    <w:rsid w:val="004C4F8B"/>
    <w:rsid w:val="005058EE"/>
    <w:rsid w:val="005613E4"/>
    <w:rsid w:val="0057128C"/>
    <w:rsid w:val="00584177"/>
    <w:rsid w:val="005A323D"/>
    <w:rsid w:val="00630EDD"/>
    <w:rsid w:val="00633FA9"/>
    <w:rsid w:val="00645A72"/>
    <w:rsid w:val="007518C2"/>
    <w:rsid w:val="007C0051"/>
    <w:rsid w:val="00836312"/>
    <w:rsid w:val="00906E5C"/>
    <w:rsid w:val="009B29B4"/>
    <w:rsid w:val="009B72D5"/>
    <w:rsid w:val="009C3AAC"/>
    <w:rsid w:val="009D3BAD"/>
    <w:rsid w:val="00A36D6E"/>
    <w:rsid w:val="00A55CBE"/>
    <w:rsid w:val="00AB72F0"/>
    <w:rsid w:val="00AC739E"/>
    <w:rsid w:val="00AD4B57"/>
    <w:rsid w:val="00B04F56"/>
    <w:rsid w:val="00B2777E"/>
    <w:rsid w:val="00B45675"/>
    <w:rsid w:val="00B8771E"/>
    <w:rsid w:val="00BF6E8B"/>
    <w:rsid w:val="00C41573"/>
    <w:rsid w:val="00C87EAD"/>
    <w:rsid w:val="00CC303C"/>
    <w:rsid w:val="00CE7B3B"/>
    <w:rsid w:val="00D34A20"/>
    <w:rsid w:val="00E1511A"/>
    <w:rsid w:val="00E271F3"/>
    <w:rsid w:val="00E67EF0"/>
    <w:rsid w:val="00EC26EE"/>
    <w:rsid w:val="00FA615C"/>
  </w:rsids>
  <m:mathPr>
    <m:mathFont m:val="Cambria Math"/>
    <m:brkBin m:val="before"/>
    <m:brkBinSub m:val="--"/>
    <m:smallFrac m:val="0"/>
    <m:dispDef/>
    <m:lMargin m:val="0"/>
    <m:rMargin m:val="0"/>
    <m:defJc m:val="centerGroup"/>
    <m:wrapIndent m:val="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02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lsdException w:name="Emphasis" w:uiPriority="3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89"/>
    <w:lsdException w:name="Table Theme" w:semiHidden="1" w:unhideWhenUsed="1"/>
    <w:lsdException w:name="Placeholder Text" w:semiHidden="1"/>
    <w:lsdException w:name="No Spacing" w:uiPriority="1"/>
    <w:lsdException w:name="Light Shading" w:uiPriority="96"/>
    <w:lsdException w:name="Light List" w:uiPriority="97"/>
    <w:lsdException w:name="Light Grid" w:uiPriority="98"/>
    <w:lsdException w:name="Medium Shading 1"/>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96"/>
    <w:lsdException w:name="Light List Accent 1" w:uiPriority="97"/>
    <w:lsdException w:name="Light Grid Accent 1" w:uiPriority="98"/>
    <w:lsdException w:name="Medium Shading 1 Accent 1"/>
    <w:lsdException w:name="Medium Shading 2 Accent 1" w:uiPriority="0"/>
    <w:lsdException w:name="Medium List 1 Accent 1" w:uiPriority="0"/>
    <w:lsdException w:name="Revision" w:semiHidden="1"/>
    <w:lsdException w:name="List Paragraph" w:uiPriority="52"/>
    <w:lsdException w:name="Quote" w:uiPriority="0" w:qFormat="1"/>
    <w:lsdException w:name="Intense Quote" w:uiPriority="48"/>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96"/>
    <w:lsdException w:name="Light List Accent 2" w:uiPriority="97"/>
    <w:lsdException w:name="Light Grid Accent 2" w:uiPriority="98"/>
    <w:lsdException w:name="Medium Shading 1 Accent 2"/>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96"/>
    <w:lsdException w:name="Light List Accent 3" w:uiPriority="97"/>
    <w:lsdException w:name="Light Grid Accent 3" w:uiPriority="98"/>
    <w:lsdException w:name="Medium Shading 1 Accent 3"/>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96"/>
    <w:lsdException w:name="Light List Accent 4" w:uiPriority="97"/>
    <w:lsdException w:name="Light Grid Accent 4" w:uiPriority="98"/>
    <w:lsdException w:name="Medium Shading 1 Accent 4"/>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96"/>
    <w:lsdException w:name="Light List Accent 5" w:uiPriority="97"/>
    <w:lsdException w:name="Light Grid Accent 5" w:uiPriority="98"/>
    <w:lsdException w:name="Medium Shading 1 Accent 5"/>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96"/>
    <w:lsdException w:name="Light List Accent 6" w:uiPriority="97"/>
    <w:lsdException w:name="Light Grid Accent 6" w:uiPriority="98"/>
    <w:lsdException w:name="Medium Shading 1 Accent 6"/>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25"/>
    <w:lsdException w:name="Intense Emphasis" w:uiPriority="33"/>
    <w:lsdException w:name="Subtle Reference" w:uiPriority="49"/>
    <w:lsdException w:name="Intense Reference" w:uiPriority="50"/>
    <w:lsdException w:name="Book Title" w:uiPriority="5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Normal"/>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Normal"/>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Normal"/>
    <w:link w:val="Heading3Char"/>
    <w:qFormat/>
    <w:pPr>
      <w:keepNext/>
      <w:numPr>
        <w:ilvl w:val="2"/>
        <w:numId w:val="1"/>
      </w:numPr>
      <w:spacing w:before="120" w:after="120"/>
      <w:outlineLvl w:val="2"/>
    </w:pPr>
    <w:rPr>
      <w:szCs w:val="20"/>
      <w:lang w:eastAsia="de-DE"/>
    </w:rPr>
  </w:style>
  <w:style w:type="paragraph" w:styleId="Heading4">
    <w:name w:val="heading 4"/>
    <w:basedOn w:val="Normal"/>
    <w:next w:val="Normal"/>
    <w:link w:val="Heading4Char"/>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Normal"/>
    <w:link w:val="Heading6Char"/>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Normal"/>
    <w:link w:val="Heading7Char"/>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Normal"/>
    <w:link w:val="Heading8Char"/>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Normal"/>
    <w:link w:val="Heading9Char"/>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cs="Calibri"/>
      <w:b/>
      <w:caps/>
      <w:color w:val="0070C0"/>
      <w:kern w:val="28"/>
      <w:sz w:val="24"/>
      <w:szCs w:val="22"/>
      <w:lang w:eastAsia="de-DE"/>
    </w:rPr>
  </w:style>
  <w:style w:type="character" w:customStyle="1" w:styleId="Heading2Char">
    <w:name w:val="Heading 2 Char"/>
    <w:link w:val="Heading2"/>
    <w:rPr>
      <w:rFonts w:cs="Calibri"/>
      <w:b/>
      <w:color w:val="0070C0"/>
      <w:sz w:val="24"/>
      <w:szCs w:val="24"/>
    </w:rPr>
  </w:style>
  <w:style w:type="paragraph" w:customStyle="1" w:styleId="Annex">
    <w:name w:val="Annex"/>
    <w:basedOn w:val="Heading1"/>
    <w:next w:val="Normal"/>
    <w:qFormat/>
    <w:pPr>
      <w:numPr>
        <w:numId w:val="8"/>
      </w:numPr>
      <w:tabs>
        <w:tab w:val="left" w:pos="1701"/>
      </w:tabs>
      <w:jc w:val="both"/>
    </w:pPr>
    <w:rPr>
      <w:snapToGrid w:val="0"/>
      <w:kern w:val="0"/>
      <w:lang w:eastAsia="en-GB"/>
    </w:rPr>
  </w:style>
  <w:style w:type="paragraph" w:customStyle="1" w:styleId="AnnexFigure">
    <w:name w:val="Annex Figure"/>
    <w:basedOn w:val="Normal"/>
    <w:next w:val="Normal"/>
    <w:pPr>
      <w:numPr>
        <w:numId w:val="9"/>
      </w:numPr>
      <w:spacing w:before="120" w:after="120"/>
      <w:jc w:val="center"/>
    </w:pPr>
    <w:rPr>
      <w:i/>
    </w:rPr>
  </w:style>
  <w:style w:type="paragraph" w:customStyle="1" w:styleId="AnnexHeading1">
    <w:name w:val="Annex Heading 1"/>
    <w:basedOn w:val="Normal"/>
    <w:next w:val="Normal"/>
    <w:pPr>
      <w:numPr>
        <w:numId w:val="10"/>
      </w:numPr>
      <w:spacing w:before="120" w:after="120"/>
    </w:pPr>
    <w:rPr>
      <w:rFonts w:cs="Arial"/>
      <w:b/>
      <w:caps/>
      <w:sz w:val="24"/>
    </w:rPr>
  </w:style>
  <w:style w:type="paragraph" w:customStyle="1" w:styleId="AnnexHeading2">
    <w:name w:val="Annex Heading 2"/>
    <w:basedOn w:val="Normal"/>
    <w:next w:val="Normal"/>
    <w:pPr>
      <w:numPr>
        <w:ilvl w:val="1"/>
        <w:numId w:val="10"/>
      </w:numPr>
      <w:spacing w:before="120" w:after="120"/>
    </w:pPr>
    <w:rPr>
      <w:rFonts w:cs="Arial"/>
      <w:b/>
    </w:rPr>
  </w:style>
  <w:style w:type="paragraph" w:customStyle="1" w:styleId="AnnexHeading3">
    <w:name w:val="Annex Heading 3"/>
    <w:basedOn w:val="Normal"/>
    <w:next w:val="Normal"/>
    <w:pPr>
      <w:numPr>
        <w:ilvl w:val="2"/>
        <w:numId w:val="10"/>
      </w:numPr>
      <w:spacing w:before="120" w:after="120"/>
    </w:pPr>
    <w:rPr>
      <w:rFonts w:cs="Arial"/>
    </w:rPr>
  </w:style>
  <w:style w:type="paragraph" w:customStyle="1" w:styleId="AnnexHeading4">
    <w:name w:val="Annex Heading 4"/>
    <w:basedOn w:val="Normal"/>
    <w:next w:val="Normal"/>
    <w:pPr>
      <w:numPr>
        <w:ilvl w:val="3"/>
        <w:numId w:val="10"/>
      </w:numPr>
      <w:spacing w:before="120" w:after="120"/>
    </w:pPr>
    <w:rPr>
      <w:rFonts w:cs="Arial"/>
    </w:rPr>
  </w:style>
  <w:style w:type="paragraph" w:customStyle="1" w:styleId="AnnexTable">
    <w:name w:val="Annex Table"/>
    <w:basedOn w:val="Normal"/>
    <w:next w:val="Normal"/>
    <w:pPr>
      <w:numPr>
        <w:numId w:val="11"/>
      </w:numPr>
      <w:tabs>
        <w:tab w:val="left" w:pos="1418"/>
      </w:tabs>
      <w:spacing w:before="120" w:after="120"/>
      <w:jc w:val="center"/>
    </w:pPr>
    <w:rPr>
      <w:i/>
    </w:rPr>
  </w:style>
  <w:style w:type="paragraph" w:styleId="BodyText">
    <w:name w:val="Body Text"/>
    <w:basedOn w:val="Normal"/>
    <w:link w:val="BodyTextChar"/>
    <w:qFormat/>
    <w:pPr>
      <w:spacing w:after="120"/>
      <w:jc w:val="both"/>
    </w:pPr>
  </w:style>
  <w:style w:type="character" w:customStyle="1" w:styleId="BodyTextChar">
    <w:name w:val="Body Text Char"/>
    <w:link w:val="BodyText"/>
    <w:rPr>
      <w:rFonts w:ascii="Arial" w:hAnsi="Arial" w:cs="Times New Roman"/>
      <w:szCs w:val="24"/>
    </w:rPr>
  </w:style>
  <w:style w:type="paragraph" w:customStyle="1" w:styleId="Bullet1">
    <w:name w:val="Bullet 1"/>
    <w:basedOn w:val="Normal"/>
    <w:qFormat/>
    <w:pPr>
      <w:numPr>
        <w:numId w:val="12"/>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pPr>
      <w:suppressAutoHyphens/>
      <w:spacing w:after="120"/>
      <w:ind w:left="1134"/>
      <w:jc w:val="both"/>
    </w:pPr>
    <w:rPr>
      <w:rFonts w:cs="Arial"/>
      <w:lang w:val="fr-FR"/>
    </w:rPr>
  </w:style>
  <w:style w:type="paragraph" w:customStyle="1" w:styleId="Bullet2">
    <w:name w:val="Bullet 2"/>
    <w:basedOn w:val="Normal"/>
    <w:qFormat/>
    <w:pPr>
      <w:numPr>
        <w:numId w:val="13"/>
      </w:numPr>
      <w:tabs>
        <w:tab w:val="left" w:pos="1701"/>
      </w:tabs>
      <w:spacing w:after="120"/>
      <w:ind w:left="1701" w:hanging="567"/>
      <w:jc w:val="both"/>
    </w:pPr>
    <w:rPr>
      <w:rFonts w:cs="Arial"/>
    </w:rPr>
  </w:style>
  <w:style w:type="paragraph" w:customStyle="1" w:styleId="Bullet2text">
    <w:name w:val="Bullet 2 text"/>
    <w:basedOn w:val="Normal"/>
    <w:pPr>
      <w:suppressAutoHyphens/>
      <w:spacing w:after="120"/>
      <w:ind w:left="1701"/>
      <w:jc w:val="both"/>
    </w:pPr>
    <w:rPr>
      <w:rFonts w:cs="Arial"/>
    </w:rPr>
  </w:style>
  <w:style w:type="paragraph" w:customStyle="1" w:styleId="Bullet3">
    <w:name w:val="Bullet 3"/>
    <w:basedOn w:val="Normal"/>
    <w:pPr>
      <w:numPr>
        <w:numId w:val="14"/>
      </w:numPr>
      <w:tabs>
        <w:tab w:val="left" w:pos="2268"/>
      </w:tabs>
      <w:spacing w:after="60"/>
      <w:ind w:left="2268" w:hanging="567"/>
      <w:jc w:val="both"/>
    </w:pPr>
    <w:rPr>
      <w:rFonts w:cs="Arial"/>
      <w:sz w:val="20"/>
    </w:rPr>
  </w:style>
  <w:style w:type="paragraph" w:customStyle="1" w:styleId="Bullet3text">
    <w:name w:val="Bullet 3 text"/>
    <w:basedOn w:val="Normal"/>
    <w:pPr>
      <w:suppressAutoHyphens/>
      <w:spacing w:after="60"/>
      <w:ind w:left="2268"/>
    </w:pPr>
    <w:rPr>
      <w:rFonts w:cs="Arial"/>
      <w:sz w:val="20"/>
    </w:rPr>
  </w:style>
  <w:style w:type="paragraph" w:customStyle="1" w:styleId="Figure">
    <w:name w:val="Figure_#"/>
    <w:basedOn w:val="Normal"/>
    <w:next w:val="Normal"/>
    <w:qFormat/>
    <w:pPr>
      <w:numPr>
        <w:numId w:val="5"/>
      </w:numPr>
      <w:spacing w:before="120" w:after="120"/>
      <w:jc w:val="center"/>
    </w:pPr>
    <w:rPr>
      <w:i/>
      <w:szCs w:val="20"/>
    </w:rPr>
  </w:style>
  <w:style w:type="paragraph" w:styleId="Footer">
    <w:name w:val="footer"/>
    <w:basedOn w:val="Normal"/>
    <w:link w:val="FooterChar"/>
    <w:pPr>
      <w:tabs>
        <w:tab w:val="center" w:pos="4820"/>
        <w:tab w:val="right" w:pos="9639"/>
      </w:tabs>
    </w:pPr>
  </w:style>
  <w:style w:type="character" w:customStyle="1" w:styleId="FooterChar">
    <w:name w:val="Footer Char"/>
    <w:link w:val="Footer"/>
    <w:rPr>
      <w:rFonts w:ascii="Arial" w:hAnsi="Arial" w:cs="Times New Roman"/>
      <w:szCs w:val="24"/>
    </w:rPr>
  </w:style>
  <w:style w:type="paragraph" w:styleId="Header">
    <w:name w:val="header"/>
    <w:basedOn w:val="Normal"/>
    <w:link w:val="HeaderChar"/>
    <w:pPr>
      <w:tabs>
        <w:tab w:val="center" w:pos="4820"/>
        <w:tab w:val="right" w:pos="9639"/>
      </w:tabs>
    </w:pPr>
  </w:style>
  <w:style w:type="character" w:customStyle="1" w:styleId="HeaderChar">
    <w:name w:val="Header Char"/>
    <w:link w:val="Header"/>
    <w:rPr>
      <w:rFonts w:ascii="Arial" w:eastAsia="Calibri" w:hAnsi="Arial" w:cs="Times New Roman"/>
      <w:szCs w:val="24"/>
      <w:lang w:eastAsia="en-GB"/>
    </w:rPr>
  </w:style>
  <w:style w:type="character" w:customStyle="1" w:styleId="Heading3Char">
    <w:name w:val="Heading 3 Char"/>
    <w:link w:val="Heading3"/>
    <w:rPr>
      <w:rFonts w:ascii="Arial" w:hAnsi="Arial" w:cs="Calibri"/>
      <w:szCs w:val="20"/>
      <w:lang w:eastAsia="de-DE"/>
    </w:rPr>
  </w:style>
  <w:style w:type="character" w:customStyle="1" w:styleId="Heading4Char">
    <w:name w:val="Heading 4 Char"/>
    <w:link w:val="Heading4"/>
    <w:rPr>
      <w:rFonts w:ascii="Arial" w:hAnsi="Arial" w:cs="Calibri"/>
      <w:szCs w:val="20"/>
      <w:lang w:val="en-US" w:eastAsia="de-DE"/>
    </w:rPr>
  </w:style>
  <w:style w:type="character" w:customStyle="1" w:styleId="Heading5Char">
    <w:name w:val="Heading 5 Char"/>
    <w:link w:val="Heading5"/>
    <w:rPr>
      <w:rFonts w:ascii="Arial" w:eastAsia="Times New Roman" w:hAnsi="Arial" w:cs="Times New Roman"/>
      <w:szCs w:val="20"/>
      <w:lang w:val="de-DE" w:eastAsia="de-DE"/>
    </w:rPr>
  </w:style>
  <w:style w:type="character" w:customStyle="1" w:styleId="Heading6Char">
    <w:name w:val="Heading 6 Char"/>
    <w:link w:val="Heading6"/>
    <w:rPr>
      <w:rFonts w:ascii="Arial" w:hAnsi="Arial" w:cs="Calibri"/>
      <w:szCs w:val="20"/>
      <w:lang w:val="de-DE" w:eastAsia="de-DE"/>
    </w:rPr>
  </w:style>
  <w:style w:type="character" w:customStyle="1" w:styleId="Heading7Char">
    <w:name w:val="Heading 7 Char"/>
    <w:link w:val="Heading7"/>
    <w:rPr>
      <w:rFonts w:ascii="Arial" w:hAnsi="Arial" w:cs="Calibri"/>
      <w:szCs w:val="20"/>
      <w:lang w:val="de-DE" w:eastAsia="de-DE"/>
    </w:rPr>
  </w:style>
  <w:style w:type="character" w:customStyle="1" w:styleId="Heading8Char">
    <w:name w:val="Heading 8 Char"/>
    <w:link w:val="Heading8"/>
    <w:rPr>
      <w:rFonts w:ascii="Arial" w:hAnsi="Arial" w:cs="Calibri"/>
      <w:szCs w:val="20"/>
      <w:lang w:val="de-DE" w:eastAsia="de-DE"/>
    </w:rPr>
  </w:style>
  <w:style w:type="character" w:customStyle="1" w:styleId="Heading9Char">
    <w:name w:val="Heading 9 Char"/>
    <w:link w:val="Heading9"/>
    <w:rPr>
      <w:rFonts w:ascii="Arial" w:hAnsi="Arial" w:cs="Calibri"/>
      <w:szCs w:val="20"/>
      <w:lang w:val="de-DE" w:eastAsia="de-DE"/>
    </w:rPr>
  </w:style>
  <w:style w:type="character" w:styleId="Hyperlink">
    <w:name w:val="Hyperlink"/>
    <w:uiPriority w:val="99"/>
    <w:rPr>
      <w:dstrike w:val="0"/>
      <w:bdr w:val="none" w:sz="0" w:space="0" w:color="auto"/>
      <w:vertAlign w:val="baseline"/>
    </w:rPr>
  </w:style>
  <w:style w:type="paragraph" w:customStyle="1" w:styleId="List1">
    <w:name w:val="List 1"/>
    <w:basedOn w:val="Normal"/>
    <w:qFormat/>
    <w:pPr>
      <w:numPr>
        <w:numId w:val="4"/>
      </w:numPr>
      <w:spacing w:after="120"/>
      <w:jc w:val="both"/>
    </w:pPr>
    <w:rPr>
      <w:rFonts w:eastAsia="MS Mincho"/>
      <w:lang w:eastAsia="ja-JP"/>
    </w:rPr>
  </w:style>
  <w:style w:type="paragraph" w:customStyle="1" w:styleId="List1indent2">
    <w:name w:val="List 1 indent 2"/>
    <w:basedOn w:val="Normal"/>
    <w:pPr>
      <w:widowControl w:val="0"/>
      <w:numPr>
        <w:ilvl w:val="2"/>
        <w:numId w:val="4"/>
      </w:numPr>
      <w:autoSpaceDE w:val="0"/>
      <w:autoSpaceDN w:val="0"/>
      <w:spacing w:after="120"/>
      <w:jc w:val="both"/>
    </w:pPr>
    <w:rPr>
      <w:rFonts w:cs="Arial"/>
      <w:sz w:val="20"/>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character" w:styleId="PageNumber">
    <w:name w:val="page number"/>
    <w:basedOn w:val="DefaultParagraphFont"/>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pPr>
      <w:numPr>
        <w:numId w:val="15"/>
      </w:numPr>
      <w:spacing w:before="120" w:after="120"/>
      <w:jc w:val="center"/>
    </w:pPr>
    <w:rPr>
      <w:i/>
      <w:szCs w:val="20"/>
    </w:r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numbering" w:styleId="ArticleSection">
    <w:name w:val="Outline List 3"/>
    <w:basedOn w:val="NoList"/>
    <w:pPr>
      <w:numPr>
        <w:numId w:val="16"/>
      </w:numPr>
    </w:pPr>
  </w:style>
  <w:style w:type="paragraph" w:styleId="BodyTextIndent">
    <w:name w:val="Body Text Indent"/>
    <w:basedOn w:val="Normal"/>
    <w:link w:val="BodyTextIndentChar"/>
    <w:pPr>
      <w:spacing w:after="120"/>
      <w:ind w:left="567"/>
    </w:pPr>
  </w:style>
  <w:style w:type="character" w:customStyle="1" w:styleId="BodyTextIndentChar">
    <w:name w:val="Body Text Indent Char"/>
    <w:link w:val="BodyTextIndent"/>
    <w:rPr>
      <w:rFonts w:ascii="Arial" w:hAnsi="Arial" w:cs="Times New Roman"/>
      <w:szCs w:val="24"/>
    </w:rPr>
  </w:style>
  <w:style w:type="paragraph" w:styleId="BodyTextIndent2">
    <w:name w:val="Body Text Indent 2"/>
    <w:basedOn w:val="Normal"/>
    <w:link w:val="BodyTextIndent2Char"/>
    <w:pPr>
      <w:spacing w:after="120"/>
      <w:ind w:left="1134"/>
      <w:jc w:val="both"/>
    </w:pPr>
    <w:rPr>
      <w:lang w:eastAsia="de-DE"/>
    </w:rPr>
  </w:style>
  <w:style w:type="character" w:customStyle="1" w:styleId="BodyTextIndent2Char">
    <w:name w:val="Body Text Indent 2 Char"/>
    <w:link w:val="BodyTextIndent2"/>
    <w:rPr>
      <w:rFonts w:ascii="Arial" w:hAnsi="Arial" w:cs="Times New Roman"/>
      <w:szCs w:val="24"/>
      <w:lang w:eastAsia="de-DE"/>
    </w:rPr>
  </w:style>
  <w:style w:type="character" w:styleId="FootnoteReference">
    <w:name w:val="footnote reference"/>
    <w:semiHidden/>
    <w:rPr>
      <w:rFonts w:ascii="Arial" w:hAnsi="Arial"/>
      <w:sz w:val="16"/>
    </w:rPr>
  </w:style>
  <w:style w:type="paragraph" w:styleId="FootnoteText">
    <w:name w:val="footnote text"/>
    <w:basedOn w:val="Normal"/>
    <w:link w:val="FootnoteTextChar"/>
    <w:semiHidden/>
    <w:rPr>
      <w:sz w:val="20"/>
      <w:szCs w:val="20"/>
    </w:rPr>
  </w:style>
  <w:style w:type="character" w:customStyle="1" w:styleId="FootnoteTextChar">
    <w:name w:val="Footnote Text Char"/>
    <w:link w:val="FootnoteText"/>
    <w:semiHidden/>
    <w:rPr>
      <w:rFonts w:ascii="Arial" w:hAnsi="Arial" w:cs="Times New Roman"/>
      <w:sz w:val="20"/>
      <w:szCs w:val="20"/>
    </w:rPr>
  </w:style>
  <w:style w:type="paragraph" w:styleId="Subtitle">
    <w:name w:val="Subtitle"/>
    <w:basedOn w:val="Normal"/>
    <w:link w:val="SubtitleChar"/>
    <w:qFormat/>
    <w:pPr>
      <w:spacing w:after="60"/>
      <w:jc w:val="center"/>
      <w:outlineLvl w:val="1"/>
    </w:pPr>
    <w:rPr>
      <w:rFonts w:cs="Arial"/>
    </w:rPr>
  </w:style>
  <w:style w:type="character" w:customStyle="1" w:styleId="SubtitleChar">
    <w:name w:val="Subtitle Char"/>
    <w:link w:val="Subtitle"/>
    <w:rPr>
      <w:rFonts w:ascii="Arial" w:hAnsi="Arial" w:cs="Arial"/>
      <w:szCs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character" w:customStyle="1" w:styleId="TitleChar">
    <w:name w:val="Title Char"/>
    <w:link w:val="Title"/>
    <w:rPr>
      <w:rFonts w:ascii="Arial" w:hAnsi="Arial" w:cs="Arial"/>
      <w:b/>
      <w:bCs/>
      <w:kern w:val="28"/>
      <w:sz w:val="32"/>
      <w:szCs w:val="32"/>
    </w:rPr>
  </w:style>
  <w:style w:type="paragraph" w:customStyle="1" w:styleId="List1indent1">
    <w:name w:val="List 1 indent 1"/>
    <w:basedOn w:val="Normal"/>
    <w:qFormat/>
    <w:pPr>
      <w:numPr>
        <w:ilvl w:val="1"/>
        <w:numId w:val="4"/>
      </w:numPr>
      <w:spacing w:after="120"/>
      <w:jc w:val="both"/>
    </w:pPr>
    <w:rPr>
      <w:rFonts w:cs="Arial"/>
    </w:rPr>
  </w:style>
  <w:style w:type="paragraph" w:customStyle="1" w:styleId="List1indent1text">
    <w:name w:val="List 1 indent 1 text"/>
    <w:basedOn w:val="Normal"/>
    <w:pPr>
      <w:spacing w:after="120"/>
      <w:ind w:left="1134"/>
      <w:jc w:val="both"/>
    </w:pPr>
    <w:rPr>
      <w:rFonts w:cs="Arial"/>
      <w:lang w:eastAsia="fr-FR"/>
    </w:rPr>
  </w:style>
  <w:style w:type="paragraph" w:customStyle="1" w:styleId="References">
    <w:name w:val="References"/>
    <w:basedOn w:val="Normal"/>
    <w:qFormat/>
    <w:pPr>
      <w:numPr>
        <w:numId w:val="2"/>
      </w:numPr>
      <w:spacing w:after="120"/>
    </w:pPr>
    <w:rPr>
      <w:szCs w:val="20"/>
    </w:rPr>
  </w:style>
  <w:style w:type="paragraph" w:customStyle="1" w:styleId="AppendixHeading1">
    <w:name w:val="Appendix Heading 1"/>
    <w:basedOn w:val="Normal"/>
    <w:next w:val="BodyText"/>
    <w:pPr>
      <w:numPr>
        <w:numId w:val="17"/>
      </w:numPr>
      <w:spacing w:before="120" w:after="120"/>
    </w:pPr>
    <w:rPr>
      <w:rFonts w:cs="Arial"/>
      <w:b/>
      <w:caps/>
      <w:sz w:val="24"/>
    </w:rPr>
  </w:style>
  <w:style w:type="paragraph" w:customStyle="1" w:styleId="AppendixHeading2">
    <w:name w:val="Appendix Heading 2"/>
    <w:basedOn w:val="Normal"/>
    <w:next w:val="BodyText"/>
    <w:pPr>
      <w:numPr>
        <w:ilvl w:val="1"/>
        <w:numId w:val="17"/>
      </w:numPr>
      <w:spacing w:before="120" w:after="120"/>
    </w:pPr>
    <w:rPr>
      <w:rFonts w:cs="Arial"/>
      <w:b/>
    </w:rPr>
  </w:style>
  <w:style w:type="paragraph" w:customStyle="1" w:styleId="AppendixHeading3">
    <w:name w:val="Appendix Heading 3"/>
    <w:basedOn w:val="Normal"/>
    <w:next w:val="Normal"/>
    <w:pPr>
      <w:numPr>
        <w:ilvl w:val="2"/>
        <w:numId w:val="17"/>
      </w:numPr>
      <w:spacing w:before="120" w:after="120"/>
    </w:pPr>
    <w:rPr>
      <w:rFonts w:cs="Arial"/>
    </w:rPr>
  </w:style>
  <w:style w:type="paragraph" w:customStyle="1" w:styleId="AppendixHeading4">
    <w:name w:val="Appendix Heading 4"/>
    <w:basedOn w:val="Normal"/>
    <w:next w:val="BodyText"/>
    <w:pPr>
      <w:numPr>
        <w:ilvl w:val="3"/>
        <w:numId w:val="17"/>
      </w:numPr>
      <w:spacing w:before="120" w:after="120"/>
    </w:pPr>
    <w:rPr>
      <w:rFonts w:cs="Arial"/>
    </w:rPr>
  </w:style>
  <w:style w:type="paragraph" w:customStyle="1" w:styleId="equation">
    <w:name w:val="equation"/>
    <w:basedOn w:val="Normal"/>
    <w:next w:val="BodyText"/>
    <w:qFormat/>
    <w:pPr>
      <w:keepNext/>
      <w:numPr>
        <w:numId w:val="18"/>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Calibri"/>
      <w:b/>
      <w:bCs/>
    </w:rPr>
  </w:style>
  <w:style w:type="paragraph" w:styleId="Caption">
    <w:name w:val="caption"/>
    <w:basedOn w:val="Normal"/>
    <w:next w:val="Normal"/>
    <w:uiPriority w:val="35"/>
    <w:unhideWhenUsed/>
    <w:qFormat/>
    <w:pPr>
      <w:spacing w:after="200"/>
    </w:pPr>
    <w:rPr>
      <w:i/>
      <w:iCs/>
      <w:color w:val="1F497D"/>
      <w:sz w:val="18"/>
      <w:szCs w:val="18"/>
    </w:rPr>
  </w:style>
  <w:style w:type="paragraph" w:styleId="Revision">
    <w:name w:val="Revision"/>
    <w:hidden/>
    <w:uiPriority w:val="99"/>
    <w:semiHidden/>
    <w:rsid w:val="00633FA9"/>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141541">
      <w:bodyDiv w:val="1"/>
      <w:marLeft w:val="0"/>
      <w:marRight w:val="0"/>
      <w:marTop w:val="0"/>
      <w:marBottom w:val="0"/>
      <w:divBdr>
        <w:top w:val="none" w:sz="0" w:space="0" w:color="auto"/>
        <w:left w:val="none" w:sz="0" w:space="0" w:color="auto"/>
        <w:bottom w:val="none" w:sz="0" w:space="0" w:color="auto"/>
        <w:right w:val="none" w:sz="0" w:space="0" w:color="auto"/>
      </w:divBdr>
    </w:div>
    <w:div w:id="1662343654">
      <w:bodyDiv w:val="1"/>
      <w:marLeft w:val="0"/>
      <w:marRight w:val="0"/>
      <w:marTop w:val="0"/>
      <w:marBottom w:val="0"/>
      <w:divBdr>
        <w:top w:val="none" w:sz="0" w:space="0" w:color="auto"/>
        <w:left w:val="none" w:sz="0" w:space="0" w:color="auto"/>
        <w:bottom w:val="none" w:sz="0" w:space="0" w:color="auto"/>
        <w:right w:val="none" w:sz="0" w:space="0" w:color="auto"/>
      </w:divBdr>
    </w:div>
    <w:div w:id="182204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MS Gothic"/>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MS Mincho"/>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60C0E-783A-47AC-AC56-7B4046EFB210}">
  <ds:schemaRefs>
    <ds:schemaRef ds:uri="http://schemas.microsoft.com/sharepoint/v3/contenttype/forms"/>
  </ds:schemaRefs>
</ds:datastoreItem>
</file>

<file path=customXml/itemProps2.xml><?xml version="1.0" encoding="utf-8"?>
<ds:datastoreItem xmlns:ds="http://schemas.openxmlformats.org/officeDocument/2006/customXml" ds:itemID="{34FF6DCB-A2E5-4919-830C-60BF9C764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DCEB1C-E694-4667-A808-BB25BDBDC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1435</Words>
  <Characters>7895</Characters>
  <Application>Microsoft Office Word</Application>
  <DocSecurity>0</DocSecurity>
  <Lines>65</Lines>
  <Paragraphs>18</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2023-08-28T08:59:00Z</dcterms:created>
  <dcterms:modified xsi:type="dcterms:W3CDTF">2023-08-28T15:25:00Z</dcterms:modified>
  <cp:version>1100.0100.01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GrammarlyDocumentId">
    <vt:lpwstr>d2ac8201f5e843b491607116db0ef6ea02e14c053108bd454b25f0f54472dddd</vt:lpwstr>
  </property>
</Properties>
</file>