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F086E" w14:paraId="76160742" w14:textId="77777777" w:rsidTr="00050DA7">
        <w:tc>
          <w:tcPr>
            <w:tcW w:w="4428" w:type="dxa"/>
          </w:tcPr>
          <w:p w14:paraId="76160740" w14:textId="6ED4E52A" w:rsidR="000348ED" w:rsidRPr="007F086E" w:rsidRDefault="005D05AC" w:rsidP="002B0236">
            <w:r w:rsidRPr="007F086E">
              <w:t>From:</w:t>
            </w:r>
            <w:r w:rsidRPr="007F086E">
              <w:tab/>
            </w:r>
            <w:r w:rsidR="00D13615" w:rsidRPr="007F086E">
              <w:t>DTEC</w:t>
            </w:r>
            <w:r w:rsidR="00A72DCC">
              <w:t>1</w:t>
            </w:r>
          </w:p>
        </w:tc>
        <w:tc>
          <w:tcPr>
            <w:tcW w:w="5461" w:type="dxa"/>
          </w:tcPr>
          <w:p w14:paraId="76160741" w14:textId="1132F87C" w:rsidR="000348ED" w:rsidRPr="007F086E" w:rsidRDefault="00030689" w:rsidP="008F4DC3">
            <w:pPr>
              <w:jc w:val="right"/>
              <w:rPr>
                <w:highlight w:val="yellow"/>
              </w:rPr>
            </w:pPr>
            <w:r w:rsidRPr="00030689">
              <w:t>DTEC1-12.3.2.2</w:t>
            </w:r>
          </w:p>
        </w:tc>
      </w:tr>
      <w:tr w:rsidR="000348ED" w:rsidRPr="00030689" w14:paraId="76160745" w14:textId="77777777" w:rsidTr="00050DA7">
        <w:tc>
          <w:tcPr>
            <w:tcW w:w="4428" w:type="dxa"/>
          </w:tcPr>
          <w:p w14:paraId="76160743" w14:textId="3860A634" w:rsidR="000348ED" w:rsidRPr="007F086E" w:rsidRDefault="005D05AC" w:rsidP="002B0236">
            <w:r w:rsidRPr="007F086E">
              <w:t>To:</w:t>
            </w:r>
            <w:r w:rsidRPr="007F086E">
              <w:tab/>
            </w:r>
            <w:r w:rsidR="00D13615" w:rsidRPr="007F086E">
              <w:t>ENG</w:t>
            </w:r>
            <w:r w:rsidR="00A72DCC">
              <w:t xml:space="preserve"> and ARM</w:t>
            </w:r>
          </w:p>
        </w:tc>
        <w:tc>
          <w:tcPr>
            <w:tcW w:w="5461" w:type="dxa"/>
          </w:tcPr>
          <w:p w14:paraId="76160744" w14:textId="27B19CE2" w:rsidR="000348ED" w:rsidRPr="00030689" w:rsidRDefault="00030689" w:rsidP="008F4DC3">
            <w:pPr>
              <w:jc w:val="right"/>
            </w:pPr>
            <w:r w:rsidRPr="00030689">
              <w:t>05 October</w:t>
            </w:r>
            <w:r w:rsidR="005D05AC" w:rsidRPr="00030689">
              <w:t xml:space="preserve"> 20</w:t>
            </w:r>
            <w:r w:rsidRPr="00030689">
              <w:t>23</w:t>
            </w:r>
          </w:p>
        </w:tc>
      </w:tr>
    </w:tbl>
    <w:p w14:paraId="76160746" w14:textId="77777777" w:rsidR="000348ED" w:rsidRPr="007F086E" w:rsidRDefault="00AA2626" w:rsidP="002B0236">
      <w:pPr>
        <w:pStyle w:val="Title"/>
      </w:pPr>
      <w:r w:rsidRPr="007F086E">
        <w:t>LIAISON NOTE</w:t>
      </w:r>
    </w:p>
    <w:p w14:paraId="76160747" w14:textId="3B537399" w:rsidR="000348ED" w:rsidRPr="007F086E" w:rsidRDefault="00032A1C" w:rsidP="002B0236">
      <w:pPr>
        <w:pStyle w:val="Title"/>
      </w:pPr>
      <w:r>
        <w:t>Developments on the Maritime Internet of Things (IoT)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0CE85029" w14:textId="10DD6D4C" w:rsidR="00295037" w:rsidRPr="007F086E" w:rsidRDefault="002B3EC8" w:rsidP="002B0236">
      <w:pPr>
        <w:pStyle w:val="BodyText"/>
      </w:pPr>
      <w:r>
        <w:t>Over the last work period the ENAV Committee</w:t>
      </w:r>
      <w:r w:rsidR="00BA3E89">
        <w:t xml:space="preserve"> WG2</w:t>
      </w:r>
      <w:r>
        <w:t xml:space="preserve"> (now DTEC Committee</w:t>
      </w:r>
      <w:r w:rsidR="00BA3E89">
        <w:t xml:space="preserve"> WG2</w:t>
      </w:r>
      <w:r>
        <w:t xml:space="preserve">) </w:t>
      </w:r>
      <w:r w:rsidR="00363C27">
        <w:t>received presentations on developing technologies that included the maritime internet of things (IoT).  Based on these presentations, and noting the increasing developments of IoT, DTEC</w:t>
      </w:r>
      <w:r w:rsidR="00A165B5">
        <w:t xml:space="preserve"> developed a guideline </w:t>
      </w:r>
      <w:r w:rsidR="00FA0F9C">
        <w:t xml:space="preserve">to </w:t>
      </w:r>
      <w:r w:rsidR="00FA0F9C" w:rsidRPr="00FA0F9C">
        <w:t xml:space="preserve">provide guidance </w:t>
      </w:r>
      <w:r w:rsidR="00FA0F9C">
        <w:t>to t</w:t>
      </w:r>
      <w:r w:rsidR="00FA0F9C" w:rsidRPr="00FA0F9C">
        <w:t xml:space="preserve">hose who may </w:t>
      </w:r>
      <w:r w:rsidR="006C2494">
        <w:t>want to</w:t>
      </w:r>
      <w:r w:rsidR="00FA0F9C" w:rsidRPr="00FA0F9C">
        <w:t xml:space="preserve"> undertak</w:t>
      </w:r>
      <w:r w:rsidR="006C2494">
        <w:t>e</w:t>
      </w:r>
      <w:r w:rsidR="00FA0F9C" w:rsidRPr="00FA0F9C">
        <w:t xml:space="preserve"> testing, trials and/or deployment of IoT systems. </w:t>
      </w:r>
      <w:r w:rsidR="000F677A">
        <w:t>It was noted that this</w:t>
      </w:r>
      <w:r w:rsidR="000F677A" w:rsidRPr="00E852E8">
        <w:t xml:space="preserve"> task was completed at ENAV30, with the publication of IALA G1179 – An introduction to the Internet of Things from an IALA perspective. </w:t>
      </w:r>
      <w:r w:rsidR="000F677A">
        <w:t xml:space="preserve"> </w:t>
      </w:r>
      <w:r w:rsidR="00E04959">
        <w:t>G1179</w:t>
      </w:r>
      <w:r w:rsidR="00FA0F9C" w:rsidRPr="00FA0F9C">
        <w:t xml:space="preserve"> also provides guidance for organizations implementing technical solutions to support the introduction of IoT.</w:t>
      </w:r>
    </w:p>
    <w:p w14:paraId="23865751" w14:textId="49D0EDD7" w:rsidR="009F3C1E" w:rsidRDefault="009F3C1E" w:rsidP="009F3C1E">
      <w:pPr>
        <w:pStyle w:val="BodyText"/>
      </w:pPr>
      <w:r>
        <w:t>The concept of the maritime internet of things (IoT) continues to evolve.  Within the IALA Work Programme this task is identified</w:t>
      </w:r>
      <w:r w:rsidR="00505869">
        <w:t xml:space="preserve"> under different task descriptions.</w:t>
      </w:r>
      <w:r>
        <w:t xml:space="preserve"> </w:t>
      </w:r>
    </w:p>
    <w:tbl>
      <w:tblPr>
        <w:tblStyle w:val="GridTable4-Accent1"/>
        <w:tblpPr w:leftFromText="141" w:rightFromText="141" w:vertAnchor="text" w:tblpY="1"/>
        <w:tblW w:w="10036" w:type="dxa"/>
        <w:tblLayout w:type="fixed"/>
        <w:tblLook w:val="04A0" w:firstRow="1" w:lastRow="0" w:firstColumn="1" w:lastColumn="0" w:noHBand="0" w:noVBand="1"/>
      </w:tblPr>
      <w:tblGrid>
        <w:gridCol w:w="3528"/>
        <w:gridCol w:w="3238"/>
        <w:gridCol w:w="1560"/>
        <w:gridCol w:w="1710"/>
      </w:tblGrid>
      <w:tr w:rsidR="009F3C1E" w:rsidRPr="00654429" w14:paraId="7052363F" w14:textId="77777777" w:rsidTr="009F3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14:paraId="73D08228" w14:textId="77777777" w:rsidR="009F3C1E" w:rsidRPr="009F3C1E" w:rsidRDefault="009F3C1E" w:rsidP="00EF423A">
            <w:pPr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Title</w:t>
            </w:r>
          </w:p>
        </w:tc>
        <w:tc>
          <w:tcPr>
            <w:tcW w:w="3238" w:type="dxa"/>
          </w:tcPr>
          <w:p w14:paraId="211E4087" w14:textId="77777777" w:rsidR="009F3C1E" w:rsidRPr="009F3C1E" w:rsidRDefault="009F3C1E" w:rsidP="00EF4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Description</w:t>
            </w:r>
          </w:p>
        </w:tc>
        <w:tc>
          <w:tcPr>
            <w:tcW w:w="1560" w:type="dxa"/>
          </w:tcPr>
          <w:p w14:paraId="209E4899" w14:textId="77777777" w:rsidR="009F3C1E" w:rsidRPr="009F3C1E" w:rsidRDefault="009F3C1E" w:rsidP="00EF4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Expected outcome</w:t>
            </w:r>
          </w:p>
        </w:tc>
        <w:tc>
          <w:tcPr>
            <w:tcW w:w="1710" w:type="dxa"/>
          </w:tcPr>
          <w:p w14:paraId="7353C8FB" w14:textId="77777777" w:rsidR="009F3C1E" w:rsidRPr="009F3C1E" w:rsidRDefault="009F3C1E" w:rsidP="00EF4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Committee (*leading)</w:t>
            </w:r>
          </w:p>
        </w:tc>
      </w:tr>
      <w:tr w:rsidR="009F3C1E" w:rsidRPr="00654429" w14:paraId="1D5599DD" w14:textId="77777777" w:rsidTr="009F3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14:paraId="1CF812D7" w14:textId="77777777" w:rsidR="009F3C1E" w:rsidRPr="009F3C1E" w:rsidRDefault="009F3C1E" w:rsidP="00EF423A">
            <w:pPr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 xml:space="preserve">S1010, 1.1 </w:t>
            </w:r>
          </w:p>
          <w:p w14:paraId="73F770A2" w14:textId="77777777" w:rsidR="009F3C1E" w:rsidRPr="009F3C1E" w:rsidRDefault="009F3C1E" w:rsidP="00EF423A">
            <w:pPr>
              <w:rPr>
                <w:rFonts w:cs="Calibri"/>
                <w:szCs w:val="18"/>
              </w:rPr>
            </w:pPr>
            <w:r w:rsidRPr="009F3C1E">
              <w:rPr>
                <w:rFonts w:cs="Calibri"/>
                <w:b w:val="0"/>
                <w:bCs w:val="0"/>
                <w:szCs w:val="18"/>
              </w:rPr>
              <w:t>Guidance on the use of simple IOT sensors on physical aids</w:t>
            </w:r>
          </w:p>
        </w:tc>
        <w:tc>
          <w:tcPr>
            <w:tcW w:w="3238" w:type="dxa"/>
          </w:tcPr>
          <w:p w14:paraId="76A8EF55" w14:textId="77777777" w:rsidR="009F3C1E" w:rsidRPr="009F3C1E" w:rsidRDefault="009F3C1E" w:rsidP="00EF42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napToGrid w:val="0"/>
                <w:kern w:val="28"/>
                <w:szCs w:val="18"/>
                <w:lang w:eastAsia="de-DE"/>
              </w:rPr>
              <w:t>Establish requirement for IOT sensors.</w:t>
            </w:r>
          </w:p>
        </w:tc>
        <w:tc>
          <w:tcPr>
            <w:tcW w:w="1560" w:type="dxa"/>
          </w:tcPr>
          <w:p w14:paraId="49F29314" w14:textId="77777777" w:rsidR="009F3C1E" w:rsidRPr="009F3C1E" w:rsidRDefault="009F3C1E" w:rsidP="00EF42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Guideline</w:t>
            </w:r>
          </w:p>
        </w:tc>
        <w:tc>
          <w:tcPr>
            <w:tcW w:w="1710" w:type="dxa"/>
          </w:tcPr>
          <w:p w14:paraId="7A014233" w14:textId="77777777" w:rsidR="009F3C1E" w:rsidRPr="009F3C1E" w:rsidRDefault="009F3C1E" w:rsidP="00EF42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ARM</w:t>
            </w:r>
          </w:p>
        </w:tc>
      </w:tr>
      <w:tr w:rsidR="009F3C1E" w:rsidRPr="00654429" w14:paraId="4F6F0292" w14:textId="77777777" w:rsidTr="009F3C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14:paraId="77FC6629" w14:textId="77777777" w:rsidR="009F3C1E" w:rsidRPr="009F3C1E" w:rsidRDefault="009F3C1E" w:rsidP="00EF423A">
            <w:pPr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S1060, 6.2</w:t>
            </w:r>
          </w:p>
          <w:p w14:paraId="28E8198C" w14:textId="77777777" w:rsidR="009F3C1E" w:rsidRPr="009F3C1E" w:rsidRDefault="009F3C1E" w:rsidP="00EF423A">
            <w:pPr>
              <w:rPr>
                <w:rFonts w:cs="Calibri"/>
                <w:szCs w:val="18"/>
              </w:rPr>
            </w:pPr>
            <w:r w:rsidRPr="009F3C1E">
              <w:rPr>
                <w:rFonts w:cs="Calibri"/>
                <w:b w:val="0"/>
                <w:bCs w:val="0"/>
                <w:szCs w:val="18"/>
              </w:rPr>
              <w:t>Define user requirements for Maritime Connectivity, Maritime Internet of Things (IoT), and MRN addressing (may be three subtasks)</w:t>
            </w:r>
          </w:p>
        </w:tc>
        <w:tc>
          <w:tcPr>
            <w:tcW w:w="3238" w:type="dxa"/>
          </w:tcPr>
          <w:p w14:paraId="6B28E400" w14:textId="77777777" w:rsidR="009F3C1E" w:rsidRPr="009F3C1E" w:rsidRDefault="009F3C1E" w:rsidP="00EF4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 xml:space="preserve">Revised Guideline G1143 to include aspects relevant to </w:t>
            </w:r>
            <w:proofErr w:type="gramStart"/>
            <w:r w:rsidRPr="009F3C1E">
              <w:rPr>
                <w:rFonts w:cs="Calibri"/>
                <w:szCs w:val="18"/>
              </w:rPr>
              <w:t>MRN</w:t>
            </w:r>
            <w:proofErr w:type="gramEnd"/>
          </w:p>
          <w:p w14:paraId="1ABFD388" w14:textId="77777777" w:rsidR="009F3C1E" w:rsidRPr="009F3C1E" w:rsidRDefault="009F3C1E" w:rsidP="00EF423A">
            <w:pPr>
              <w:tabs>
                <w:tab w:val="left" w:pos="21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ab/>
            </w:r>
          </w:p>
        </w:tc>
        <w:tc>
          <w:tcPr>
            <w:tcW w:w="1560" w:type="dxa"/>
          </w:tcPr>
          <w:p w14:paraId="4C22C1E0" w14:textId="77777777" w:rsidR="009F3C1E" w:rsidRPr="009F3C1E" w:rsidRDefault="009F3C1E" w:rsidP="00EF4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Revised guideline</w:t>
            </w:r>
          </w:p>
        </w:tc>
        <w:tc>
          <w:tcPr>
            <w:tcW w:w="1710" w:type="dxa"/>
          </w:tcPr>
          <w:p w14:paraId="6C74946D" w14:textId="77777777" w:rsidR="009F3C1E" w:rsidRPr="009F3C1E" w:rsidRDefault="009F3C1E" w:rsidP="00EF4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Cs w:val="18"/>
              </w:rPr>
            </w:pPr>
            <w:r w:rsidRPr="009F3C1E">
              <w:rPr>
                <w:rFonts w:cs="Calibri"/>
                <w:szCs w:val="18"/>
              </w:rPr>
              <w:t>ARM</w:t>
            </w:r>
          </w:p>
        </w:tc>
      </w:tr>
    </w:tbl>
    <w:p w14:paraId="70C2874F" w14:textId="77777777" w:rsidR="009F3C1E" w:rsidRDefault="009F3C1E" w:rsidP="009F3C1E">
      <w:pPr>
        <w:pStyle w:val="BodyText"/>
      </w:pPr>
    </w:p>
    <w:p w14:paraId="71CDCD98" w14:textId="3EFF58E3" w:rsidR="009F3C1E" w:rsidRDefault="009F3C1E" w:rsidP="009F3C1E">
      <w:pPr>
        <w:pStyle w:val="BodyText"/>
      </w:pPr>
      <w:r>
        <w:t xml:space="preserve">In addition, the report of PAP50 (provided in DTEC-3.1.4) reflected on the paper provided by Jonas Lindberg </w:t>
      </w:r>
      <w:r w:rsidR="00DF404F">
        <w:t>(</w:t>
      </w:r>
      <w:r>
        <w:t>PAP50-6.7.1.1</w:t>
      </w:r>
      <w:r w:rsidR="00DF404F">
        <w:t>)</w:t>
      </w:r>
      <w:r>
        <w:t xml:space="preserve"> regarding IoT technology implementation.  PAP noted that ENG would take the lead on consideration of this document.  </w:t>
      </w:r>
    </w:p>
    <w:p w14:paraId="7616074A" w14:textId="32409E0E" w:rsidR="00902AA4" w:rsidRPr="007F086E" w:rsidRDefault="00E4102E" w:rsidP="002B0236">
      <w:pPr>
        <w:pStyle w:val="Heading1"/>
      </w:pPr>
      <w:r>
        <w:t>DISCUSSION</w:t>
      </w:r>
    </w:p>
    <w:p w14:paraId="21DA3B9E" w14:textId="00B375A8" w:rsidR="00EA07D2" w:rsidRDefault="00EA07D2" w:rsidP="00EA07D2">
      <w:pPr>
        <w:pStyle w:val="BodyText"/>
        <w:rPr>
          <w:szCs w:val="18"/>
        </w:rPr>
      </w:pPr>
      <w:r>
        <w:rPr>
          <w:szCs w:val="18"/>
        </w:rPr>
        <w:t>Related to the past work of the DTEC Committee on IoT, DTEC01 reviewed the paper and received two presentations related to IoT on AtoN:</w:t>
      </w:r>
    </w:p>
    <w:p w14:paraId="69204FCA" w14:textId="133242AC" w:rsidR="00EA07D2" w:rsidRDefault="00EA07D2" w:rsidP="00B63064">
      <w:pPr>
        <w:pStyle w:val="BodyText"/>
        <w:numPr>
          <w:ilvl w:val="0"/>
          <w:numId w:val="25"/>
        </w:numPr>
        <w:rPr>
          <w:szCs w:val="18"/>
        </w:rPr>
      </w:pPr>
      <w:r>
        <w:rPr>
          <w:szCs w:val="18"/>
        </w:rPr>
        <w:t>Scott Beatty (</w:t>
      </w:r>
      <w:proofErr w:type="spellStart"/>
      <w:r>
        <w:rPr>
          <w:szCs w:val="18"/>
        </w:rPr>
        <w:t>MarineLabs</w:t>
      </w:r>
      <w:proofErr w:type="spellEnd"/>
      <w:r>
        <w:rPr>
          <w:szCs w:val="18"/>
        </w:rPr>
        <w:t>)</w:t>
      </w:r>
    </w:p>
    <w:p w14:paraId="1A6B295E" w14:textId="240BB5D6" w:rsidR="00EA07D2" w:rsidRDefault="00EA07D2" w:rsidP="00B63064">
      <w:pPr>
        <w:pStyle w:val="BodyText"/>
        <w:numPr>
          <w:ilvl w:val="0"/>
          <w:numId w:val="25"/>
        </w:numPr>
        <w:rPr>
          <w:szCs w:val="18"/>
        </w:rPr>
      </w:pPr>
      <w:r>
        <w:rPr>
          <w:szCs w:val="18"/>
        </w:rPr>
        <w:t>Jonas Lindberg (SPX)</w:t>
      </w:r>
    </w:p>
    <w:p w14:paraId="5AC51350" w14:textId="481984BF" w:rsidR="00BA3E89" w:rsidRDefault="00D23B27" w:rsidP="00EA07D2">
      <w:pPr>
        <w:pStyle w:val="BodyText"/>
        <w:rPr>
          <w:szCs w:val="18"/>
        </w:rPr>
      </w:pPr>
      <w:r>
        <w:rPr>
          <w:szCs w:val="18"/>
        </w:rPr>
        <w:t>Key points identified for consideration by ARM and ENG in their ongoing work on IoT</w:t>
      </w:r>
      <w:r w:rsidR="00700F0C">
        <w:rPr>
          <w:szCs w:val="18"/>
        </w:rPr>
        <w:t>:</w:t>
      </w:r>
    </w:p>
    <w:p w14:paraId="50A7FD41" w14:textId="12C4A3EC" w:rsidR="00700F0C" w:rsidRDefault="00802691" w:rsidP="00D43D6A">
      <w:pPr>
        <w:pStyle w:val="BodyText"/>
        <w:numPr>
          <w:ilvl w:val="0"/>
          <w:numId w:val="27"/>
        </w:numPr>
        <w:tabs>
          <w:tab w:val="clear" w:pos="851"/>
          <w:tab w:val="left" w:pos="810"/>
        </w:tabs>
        <w:ind w:left="810" w:hanging="450"/>
        <w:rPr>
          <w:szCs w:val="18"/>
        </w:rPr>
      </w:pPr>
      <w:r>
        <w:rPr>
          <w:szCs w:val="18"/>
        </w:rPr>
        <w:lastRenderedPageBreak/>
        <w:t>Within</w:t>
      </w:r>
      <w:r w:rsidR="00700F0C">
        <w:rPr>
          <w:szCs w:val="18"/>
        </w:rPr>
        <w:t xml:space="preserve"> the existing G1179 there </w:t>
      </w:r>
      <w:r w:rsidR="00080802">
        <w:rPr>
          <w:szCs w:val="18"/>
        </w:rPr>
        <w:t>are three basic layers identified</w:t>
      </w:r>
      <w:r w:rsidR="0053005F">
        <w:rPr>
          <w:szCs w:val="18"/>
        </w:rPr>
        <w:t>. It was noted that</w:t>
      </w:r>
      <w:r w:rsidR="00080802">
        <w:rPr>
          <w:szCs w:val="18"/>
        </w:rPr>
        <w:t xml:space="preserve"> there may be scope to expand this to add in a layer between the Transportation Layer and Application Layer. </w:t>
      </w:r>
    </w:p>
    <w:p w14:paraId="638722E9" w14:textId="77777777" w:rsidR="00E221AB" w:rsidRDefault="002A5E5C" w:rsidP="00D43D6A">
      <w:pPr>
        <w:pStyle w:val="BodyText"/>
        <w:numPr>
          <w:ilvl w:val="0"/>
          <w:numId w:val="27"/>
        </w:numPr>
        <w:tabs>
          <w:tab w:val="clear" w:pos="851"/>
          <w:tab w:val="left" w:pos="810"/>
        </w:tabs>
        <w:ind w:left="810" w:hanging="450"/>
        <w:rPr>
          <w:szCs w:val="18"/>
        </w:rPr>
      </w:pPr>
      <w:r>
        <w:rPr>
          <w:szCs w:val="18"/>
        </w:rPr>
        <w:t xml:space="preserve">The messaging protocol MQTT </w:t>
      </w:r>
      <w:r w:rsidR="00454856">
        <w:rPr>
          <w:szCs w:val="18"/>
        </w:rPr>
        <w:t xml:space="preserve">was discussed, noting </w:t>
      </w:r>
      <w:r w:rsidR="00E221AB">
        <w:rPr>
          <w:szCs w:val="18"/>
        </w:rPr>
        <w:t>it is royalty free, hardware agnostic, works on top of TCP/IP and is commonly used (integrated into many existing IoT devices).</w:t>
      </w:r>
    </w:p>
    <w:p w14:paraId="15959A4C" w14:textId="5FC39BC6" w:rsidR="002C5225" w:rsidRDefault="00BF7C15" w:rsidP="00D43D6A">
      <w:pPr>
        <w:pStyle w:val="BodyText"/>
        <w:numPr>
          <w:ilvl w:val="0"/>
          <w:numId w:val="27"/>
        </w:numPr>
        <w:tabs>
          <w:tab w:val="clear" w:pos="851"/>
          <w:tab w:val="left" w:pos="810"/>
        </w:tabs>
        <w:ind w:left="810" w:hanging="450"/>
        <w:rPr>
          <w:szCs w:val="18"/>
        </w:rPr>
      </w:pPr>
      <w:r>
        <w:rPr>
          <w:szCs w:val="18"/>
        </w:rPr>
        <w:t xml:space="preserve">There would </w:t>
      </w:r>
      <w:r w:rsidR="00D72C0F">
        <w:rPr>
          <w:szCs w:val="18"/>
        </w:rPr>
        <w:t>benefit in preparing a comparison table that look</w:t>
      </w:r>
      <w:r w:rsidR="0006588B">
        <w:rPr>
          <w:szCs w:val="18"/>
        </w:rPr>
        <w:t>s at:</w:t>
      </w:r>
      <w:r w:rsidR="00D72C0F">
        <w:rPr>
          <w:szCs w:val="18"/>
        </w:rPr>
        <w:t xml:space="preserve"> the IoT typical use case; size of message; </w:t>
      </w:r>
      <w:r w:rsidR="00E82FB0">
        <w:rPr>
          <w:szCs w:val="18"/>
        </w:rPr>
        <w:t>latency; frequency; availability of network; existing standards; IP (or royalty free); efficiency of protocol</w:t>
      </w:r>
      <w:r w:rsidR="002C5225">
        <w:rPr>
          <w:szCs w:val="18"/>
        </w:rPr>
        <w:t>; reliability of information throughput</w:t>
      </w:r>
      <w:r w:rsidR="0053005F">
        <w:rPr>
          <w:szCs w:val="18"/>
        </w:rPr>
        <w:t>.</w:t>
      </w:r>
      <w:r w:rsidR="002C5225">
        <w:rPr>
          <w:szCs w:val="18"/>
        </w:rPr>
        <w:t xml:space="preserve"> </w:t>
      </w:r>
    </w:p>
    <w:p w14:paraId="602C2A45" w14:textId="1827892E" w:rsidR="006715C7" w:rsidRDefault="002C5225" w:rsidP="00D43D6A">
      <w:pPr>
        <w:pStyle w:val="BodyText"/>
        <w:numPr>
          <w:ilvl w:val="0"/>
          <w:numId w:val="27"/>
        </w:numPr>
        <w:tabs>
          <w:tab w:val="clear" w:pos="851"/>
          <w:tab w:val="left" w:pos="810"/>
        </w:tabs>
        <w:ind w:left="810" w:hanging="450"/>
        <w:rPr>
          <w:szCs w:val="18"/>
        </w:rPr>
      </w:pPr>
      <w:r>
        <w:rPr>
          <w:szCs w:val="18"/>
        </w:rPr>
        <w:t xml:space="preserve">When looking to implement IoT in the IALA perspective, the </w:t>
      </w:r>
      <w:r w:rsidR="006715C7">
        <w:rPr>
          <w:szCs w:val="18"/>
        </w:rPr>
        <w:t xml:space="preserve">availability and reliability of information were discussed, noting possible liability </w:t>
      </w:r>
      <w:r w:rsidR="005112D8">
        <w:rPr>
          <w:szCs w:val="18"/>
        </w:rPr>
        <w:t>issues.</w:t>
      </w:r>
    </w:p>
    <w:p w14:paraId="596DC58D" w14:textId="631677B6" w:rsidR="00806F68" w:rsidRDefault="003D76FD" w:rsidP="00D43D6A">
      <w:pPr>
        <w:pStyle w:val="BodyText"/>
        <w:numPr>
          <w:ilvl w:val="0"/>
          <w:numId w:val="27"/>
        </w:numPr>
        <w:tabs>
          <w:tab w:val="clear" w:pos="851"/>
          <w:tab w:val="left" w:pos="810"/>
        </w:tabs>
        <w:ind w:left="810" w:hanging="450"/>
        <w:rPr>
          <w:szCs w:val="18"/>
        </w:rPr>
      </w:pPr>
      <w:r>
        <w:rPr>
          <w:szCs w:val="18"/>
        </w:rPr>
        <w:t>Guiding principles on implementing IoT could include: efficient</w:t>
      </w:r>
      <w:r w:rsidR="005C0345">
        <w:rPr>
          <w:szCs w:val="18"/>
        </w:rPr>
        <w:t>;</w:t>
      </w:r>
      <w:r>
        <w:rPr>
          <w:szCs w:val="18"/>
        </w:rPr>
        <w:t xml:space="preserve"> affordable</w:t>
      </w:r>
      <w:r w:rsidR="005C0345">
        <w:rPr>
          <w:szCs w:val="18"/>
        </w:rPr>
        <w:t>;</w:t>
      </w:r>
      <w:r>
        <w:rPr>
          <w:szCs w:val="18"/>
        </w:rPr>
        <w:t xml:space="preserve"> scalable</w:t>
      </w:r>
      <w:r w:rsidR="005C0345">
        <w:rPr>
          <w:szCs w:val="18"/>
        </w:rPr>
        <w:t>;</w:t>
      </w:r>
      <w:r w:rsidR="00763398">
        <w:rPr>
          <w:szCs w:val="18"/>
        </w:rPr>
        <w:t xml:space="preserve"> with a focus on harmonised sharing of data</w:t>
      </w:r>
      <w:r w:rsidR="00806F68">
        <w:rPr>
          <w:szCs w:val="18"/>
        </w:rPr>
        <w:t xml:space="preserve">. 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t>ACTION REQUESTED</w:t>
      </w:r>
    </w:p>
    <w:p w14:paraId="76160750" w14:textId="6B9C8ECD" w:rsidR="004C220D" w:rsidRPr="00A72DCC" w:rsidRDefault="00902AA4" w:rsidP="002B0236">
      <w:pPr>
        <w:pStyle w:val="BodyText"/>
      </w:pPr>
      <w:r w:rsidRPr="00A72DCC">
        <w:t xml:space="preserve">The </w:t>
      </w:r>
      <w:r w:rsidR="00560646" w:rsidRPr="00A72DCC">
        <w:t>ARM and ENG Committee are</w:t>
      </w:r>
      <w:r w:rsidRPr="00A72DCC">
        <w:t xml:space="preserve"> requested to</w:t>
      </w:r>
      <w:r w:rsidR="00630F7F" w:rsidRPr="00A72DCC">
        <w:t>:</w:t>
      </w:r>
    </w:p>
    <w:p w14:paraId="76160751" w14:textId="163B1240" w:rsidR="00630F7F" w:rsidRPr="00A72DCC" w:rsidRDefault="00560646" w:rsidP="002B0236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 xml:space="preserve">Note the </w:t>
      </w:r>
      <w:r w:rsidR="00C94EC5" w:rsidRPr="00A72DCC">
        <w:rPr>
          <w:lang w:val="en-GB"/>
        </w:rPr>
        <w:t xml:space="preserve">work carried out by ENAV during the 2018-2023 work programme on Maritime IoT, specifically the publication of </w:t>
      </w:r>
      <w:proofErr w:type="gramStart"/>
      <w:r w:rsidR="00C94EC5" w:rsidRPr="00A72DCC">
        <w:rPr>
          <w:lang w:val="en-GB"/>
        </w:rPr>
        <w:t>G1179</w:t>
      </w:r>
      <w:proofErr w:type="gramEnd"/>
    </w:p>
    <w:p w14:paraId="4180E2E1" w14:textId="689F63C0" w:rsidR="00C94EC5" w:rsidRPr="00A72DCC" w:rsidRDefault="00A72DCC" w:rsidP="002B0236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>Take into consideration the discussion points from DTEC</w:t>
      </w:r>
      <w:r w:rsidR="004952BB">
        <w:rPr>
          <w:lang w:val="en-GB"/>
        </w:rPr>
        <w:t xml:space="preserve"> 0</w:t>
      </w:r>
      <w:r w:rsidRPr="00A72DCC">
        <w:rPr>
          <w:lang w:val="en-GB"/>
        </w:rPr>
        <w:t>1</w:t>
      </w:r>
    </w:p>
    <w:p w14:paraId="76160753" w14:textId="118201A8" w:rsidR="00630F7F" w:rsidRPr="00030689" w:rsidRDefault="00630F7F" w:rsidP="004952BB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sectPr w:rsidR="00630F7F" w:rsidRPr="00030689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D96F" w14:textId="77777777" w:rsidR="001F65E0" w:rsidRPr="007F086E" w:rsidRDefault="001F65E0" w:rsidP="002B0236">
      <w:r w:rsidRPr="007F086E">
        <w:separator/>
      </w:r>
    </w:p>
  </w:endnote>
  <w:endnote w:type="continuationSeparator" w:id="0">
    <w:p w14:paraId="15E89762" w14:textId="77777777" w:rsidR="001F65E0" w:rsidRPr="007F086E" w:rsidRDefault="001F65E0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A" w14:textId="77777777" w:rsidR="008E7A45" w:rsidRPr="007F086E" w:rsidRDefault="008E7A45" w:rsidP="002B0236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77777777" w:rsidR="00002906" w:rsidRPr="007F086E" w:rsidRDefault="00002906" w:rsidP="002B0236">
    <w:pPr>
      <w:pStyle w:val="Footer"/>
      <w:rPr>
        <w:lang w:val="en-GB"/>
      </w:rPr>
    </w:pPr>
    <w:r w:rsidRPr="007F086E">
      <w:rPr>
        <w:lang w:val="en-GB"/>
      </w:rPr>
      <w:tab/>
    </w: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8F4DC3" w:rsidRPr="007F086E">
      <w:rPr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D" w14:textId="77777777" w:rsidR="008E7A45" w:rsidRPr="007F086E" w:rsidRDefault="008E7A45" w:rsidP="002B023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8EAC" w14:textId="77777777" w:rsidR="001F65E0" w:rsidRPr="007F086E" w:rsidRDefault="001F65E0" w:rsidP="002B0236">
      <w:r w:rsidRPr="007F086E">
        <w:separator/>
      </w:r>
    </w:p>
  </w:footnote>
  <w:footnote w:type="continuationSeparator" w:id="0">
    <w:p w14:paraId="060EA4B0" w14:textId="77777777" w:rsidR="001F65E0" w:rsidRPr="007F086E" w:rsidRDefault="001F65E0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7F086E" w:rsidRDefault="00030689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77777777" w:rsidR="008E7A45" w:rsidRPr="007F086E" w:rsidRDefault="00030689" w:rsidP="002B0236">
    <w:pPr>
      <w:pStyle w:val="Header"/>
      <w:rPr>
        <w:lang w:val="en-GB"/>
      </w:rPr>
    </w:pPr>
    <w:r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rPr>
        <w:lang w:val="en-GB"/>
      </w:rPr>
      <w:pict w14:anchorId="761607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64.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7F086E" w:rsidRDefault="00030689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6375150">
    <w:abstractNumId w:val="11"/>
  </w:num>
  <w:num w:numId="2" w16cid:durableId="1609236498">
    <w:abstractNumId w:val="17"/>
  </w:num>
  <w:num w:numId="3" w16cid:durableId="1197161139">
    <w:abstractNumId w:val="11"/>
  </w:num>
  <w:num w:numId="4" w16cid:durableId="3485705">
    <w:abstractNumId w:val="11"/>
  </w:num>
  <w:num w:numId="5" w16cid:durableId="1259408221">
    <w:abstractNumId w:val="5"/>
  </w:num>
  <w:num w:numId="6" w16cid:durableId="1681080591">
    <w:abstractNumId w:val="13"/>
  </w:num>
  <w:num w:numId="7" w16cid:durableId="655034606">
    <w:abstractNumId w:val="8"/>
  </w:num>
  <w:num w:numId="8" w16cid:durableId="1072392993">
    <w:abstractNumId w:val="0"/>
  </w:num>
  <w:num w:numId="9" w16cid:durableId="1369985478">
    <w:abstractNumId w:val="4"/>
  </w:num>
  <w:num w:numId="10" w16cid:durableId="2085952136">
    <w:abstractNumId w:val="14"/>
  </w:num>
  <w:num w:numId="11" w16cid:durableId="1195268428">
    <w:abstractNumId w:val="2"/>
  </w:num>
  <w:num w:numId="12" w16cid:durableId="1600144256">
    <w:abstractNumId w:val="2"/>
  </w:num>
  <w:num w:numId="13" w16cid:durableId="17201406">
    <w:abstractNumId w:val="2"/>
  </w:num>
  <w:num w:numId="14" w16cid:durableId="240065996">
    <w:abstractNumId w:val="2"/>
  </w:num>
  <w:num w:numId="15" w16cid:durableId="950893414">
    <w:abstractNumId w:val="2"/>
  </w:num>
  <w:num w:numId="16" w16cid:durableId="1255475869">
    <w:abstractNumId w:val="6"/>
  </w:num>
  <w:num w:numId="17" w16cid:durableId="996222687">
    <w:abstractNumId w:val="16"/>
  </w:num>
  <w:num w:numId="18" w16cid:durableId="653295593">
    <w:abstractNumId w:val="3"/>
  </w:num>
  <w:num w:numId="19" w16cid:durableId="1087192305">
    <w:abstractNumId w:val="15"/>
  </w:num>
  <w:num w:numId="20" w16cid:durableId="2036928600">
    <w:abstractNumId w:val="9"/>
  </w:num>
  <w:num w:numId="21" w16cid:durableId="543325504">
    <w:abstractNumId w:val="6"/>
  </w:num>
  <w:num w:numId="22" w16cid:durableId="1018968462">
    <w:abstractNumId w:val="6"/>
  </w:num>
  <w:num w:numId="23" w16cid:durableId="7573347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0913534">
    <w:abstractNumId w:val="12"/>
  </w:num>
  <w:num w:numId="25" w16cid:durableId="1980106308">
    <w:abstractNumId w:val="1"/>
  </w:num>
  <w:num w:numId="26" w16cid:durableId="1299528902">
    <w:abstractNumId w:val="7"/>
  </w:num>
  <w:num w:numId="27" w16cid:durableId="17614419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0689"/>
    <w:rsid w:val="00031A92"/>
    <w:rsid w:val="00032A1C"/>
    <w:rsid w:val="000348ED"/>
    <w:rsid w:val="00036801"/>
    <w:rsid w:val="00050DA7"/>
    <w:rsid w:val="0006588B"/>
    <w:rsid w:val="00080802"/>
    <w:rsid w:val="000976BE"/>
    <w:rsid w:val="000A5A01"/>
    <w:rsid w:val="000D40A2"/>
    <w:rsid w:val="000F677A"/>
    <w:rsid w:val="00135447"/>
    <w:rsid w:val="00152273"/>
    <w:rsid w:val="00153257"/>
    <w:rsid w:val="00186115"/>
    <w:rsid w:val="001A654A"/>
    <w:rsid w:val="001C74CF"/>
    <w:rsid w:val="001F65E0"/>
    <w:rsid w:val="00277E2C"/>
    <w:rsid w:val="00295037"/>
    <w:rsid w:val="002A5E5C"/>
    <w:rsid w:val="002B0236"/>
    <w:rsid w:val="002B3EC8"/>
    <w:rsid w:val="002C5225"/>
    <w:rsid w:val="00363C27"/>
    <w:rsid w:val="003D3633"/>
    <w:rsid w:val="003D55DC"/>
    <w:rsid w:val="003D55DD"/>
    <w:rsid w:val="003D76FD"/>
    <w:rsid w:val="003E1831"/>
    <w:rsid w:val="00424954"/>
    <w:rsid w:val="0045197B"/>
    <w:rsid w:val="00454856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9090C"/>
    <w:rsid w:val="005C0345"/>
    <w:rsid w:val="005D05AC"/>
    <w:rsid w:val="00604C62"/>
    <w:rsid w:val="00630F7F"/>
    <w:rsid w:val="00632AFE"/>
    <w:rsid w:val="0064435F"/>
    <w:rsid w:val="006715C7"/>
    <w:rsid w:val="006C2494"/>
    <w:rsid w:val="006D470F"/>
    <w:rsid w:val="006F424B"/>
    <w:rsid w:val="00700F0C"/>
    <w:rsid w:val="00727E88"/>
    <w:rsid w:val="00754B6F"/>
    <w:rsid w:val="00763398"/>
    <w:rsid w:val="00775878"/>
    <w:rsid w:val="0078441B"/>
    <w:rsid w:val="007F086E"/>
    <w:rsid w:val="0080092C"/>
    <w:rsid w:val="00802691"/>
    <w:rsid w:val="00806F68"/>
    <w:rsid w:val="00826D1B"/>
    <w:rsid w:val="00872453"/>
    <w:rsid w:val="008777E2"/>
    <w:rsid w:val="0088709E"/>
    <w:rsid w:val="008E7A45"/>
    <w:rsid w:val="008F13DD"/>
    <w:rsid w:val="008F4DC3"/>
    <w:rsid w:val="00902AA4"/>
    <w:rsid w:val="00906239"/>
    <w:rsid w:val="009522CC"/>
    <w:rsid w:val="009F3B6C"/>
    <w:rsid w:val="009F3C1E"/>
    <w:rsid w:val="009F5C36"/>
    <w:rsid w:val="00A165B5"/>
    <w:rsid w:val="00A27F12"/>
    <w:rsid w:val="00A30579"/>
    <w:rsid w:val="00A72DCC"/>
    <w:rsid w:val="00AA2626"/>
    <w:rsid w:val="00AA76C0"/>
    <w:rsid w:val="00B077EC"/>
    <w:rsid w:val="00B15B24"/>
    <w:rsid w:val="00B428DA"/>
    <w:rsid w:val="00B63064"/>
    <w:rsid w:val="00B8247E"/>
    <w:rsid w:val="00BA3E89"/>
    <w:rsid w:val="00BC26EA"/>
    <w:rsid w:val="00BE56DF"/>
    <w:rsid w:val="00BF7C15"/>
    <w:rsid w:val="00C265EE"/>
    <w:rsid w:val="00C94EC5"/>
    <w:rsid w:val="00CA04AF"/>
    <w:rsid w:val="00D13615"/>
    <w:rsid w:val="00D23B27"/>
    <w:rsid w:val="00D249E9"/>
    <w:rsid w:val="00D42A13"/>
    <w:rsid w:val="00D43D6A"/>
    <w:rsid w:val="00D72C0F"/>
    <w:rsid w:val="00DE07C4"/>
    <w:rsid w:val="00DF404F"/>
    <w:rsid w:val="00E04959"/>
    <w:rsid w:val="00E07382"/>
    <w:rsid w:val="00E221AB"/>
    <w:rsid w:val="00E4102E"/>
    <w:rsid w:val="00E729A7"/>
    <w:rsid w:val="00E810AD"/>
    <w:rsid w:val="00E82FB0"/>
    <w:rsid w:val="00E93C9B"/>
    <w:rsid w:val="00EA07D2"/>
    <w:rsid w:val="00EB6522"/>
    <w:rsid w:val="00EE3F2F"/>
    <w:rsid w:val="00F24C62"/>
    <w:rsid w:val="00F73F78"/>
    <w:rsid w:val="00FA0F9C"/>
    <w:rsid w:val="00FA5842"/>
    <w:rsid w:val="00FA6769"/>
    <w:rsid w:val="00FD03C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B8D62-C17B-409B-B8CD-A49D08C57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2023-09-28T07:29:00Z</dcterms:created>
  <dcterms:modified xsi:type="dcterms:W3CDTF">2023-09-28T14:52:00Z</dcterms:modified>
</cp:coreProperties>
</file>