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0AA75D95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5F29DB">
        <w:rPr>
          <w:rFonts w:ascii="Calibri" w:hAnsi="Calibri"/>
        </w:rPr>
        <w:t>ARM</w:t>
      </w:r>
      <w:r w:rsidR="00D213CC">
        <w:rPr>
          <w:rFonts w:ascii="Calibri" w:hAnsi="Calibri"/>
        </w:rPr>
        <w:t>1</w:t>
      </w:r>
      <w:r w:rsidR="00B56C66">
        <w:rPr>
          <w:rFonts w:ascii="Calibri" w:hAnsi="Calibri"/>
        </w:rPr>
        <w:t>3</w:t>
      </w:r>
      <w:r w:rsidRPr="007A395D">
        <w:rPr>
          <w:rFonts w:ascii="Calibri" w:hAnsi="Calibri"/>
        </w:rPr>
        <w:t>-</w:t>
      </w:r>
      <w:r w:rsidR="002839D5">
        <w:rPr>
          <w:rFonts w:ascii="Calibri" w:hAnsi="Calibri"/>
        </w:rPr>
        <w:t>7.3.8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5AFEA2DE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</w:r>
      <w:r w:rsidR="00D213CC">
        <w:rPr>
          <w:rFonts w:ascii="Calibri" w:hAnsi="Calibri"/>
        </w:rPr>
        <w:t xml:space="preserve">                             </w:t>
      </w:r>
      <w:r w:rsidRPr="007A395D">
        <w:rPr>
          <w:rFonts w:ascii="Calibri" w:hAnsi="Calibri"/>
        </w:rPr>
        <w:t>Purpose of paper:</w:t>
      </w:r>
    </w:p>
    <w:p w14:paraId="78786733" w14:textId="35D56399" w:rsidR="0080294B" w:rsidRPr="007A395D" w:rsidRDefault="00D213CC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005194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C90F90">
        <w:rPr>
          <w:rFonts w:ascii="Calibri" w:hAnsi="Calibri"/>
        </w:rPr>
        <w:tab/>
      </w:r>
      <w:r w:rsidR="00C90F90">
        <w:rPr>
          <w:rFonts w:ascii="Calibri" w:hAnsi="Calibri"/>
        </w:rPr>
        <w:tab/>
      </w:r>
      <w:r w:rsidR="00451942">
        <w:rPr>
          <w:rFonts w:ascii="Calibri" w:hAnsi="Calibri"/>
        </w:rPr>
        <w:t>7.3</w:t>
      </w:r>
    </w:p>
    <w:p w14:paraId="1AB3E246" w14:textId="4E7DBC85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A31C22">
        <w:rPr>
          <w:rFonts w:ascii="Calibri" w:hAnsi="Calibri"/>
        </w:rPr>
        <w:t>1.5.8</w:t>
      </w:r>
    </w:p>
    <w:p w14:paraId="7104F7D6" w14:textId="77777777" w:rsidR="00A31C22" w:rsidRDefault="00362CD9" w:rsidP="00A31C22">
      <w:pPr>
        <w:pStyle w:val="NormalWeb"/>
        <w:spacing w:before="0" w:beforeAutospacing="0" w:after="0" w:afterAutospacing="0"/>
        <w:rPr>
          <w:rFonts w:ascii="GulimChe" w:eastAsia="GulimChe" w:hAnsi="GulimChe"/>
          <w:color w:val="000000"/>
          <w:sz w:val="18"/>
          <w:szCs w:val="18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A31C22" w:rsidRPr="00A31C22">
        <w:rPr>
          <w:rFonts w:eastAsia="Batang" w:hint="eastAsia"/>
        </w:rPr>
        <w:t>Korea Institute of Aids to Navigation</w:t>
      </w:r>
    </w:p>
    <w:p w14:paraId="01FC5420" w14:textId="66A4C048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56F37490" w:rsidR="00A446C9" w:rsidRPr="00605E43" w:rsidRDefault="00C90695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Example of </w:t>
      </w:r>
      <w:r w:rsidR="00FF3F34">
        <w:rPr>
          <w:rFonts w:ascii="Calibri" w:hAnsi="Calibri"/>
          <w:color w:val="0070C0"/>
        </w:rPr>
        <w:t>M</w:t>
      </w:r>
      <w:r w:rsidR="00C90F90">
        <w:rPr>
          <w:rFonts w:ascii="Calibri" w:hAnsi="Calibri"/>
          <w:color w:val="0070C0"/>
        </w:rPr>
        <w:t xml:space="preserve">arking of </w:t>
      </w:r>
      <w:r w:rsidR="00FF3F34">
        <w:rPr>
          <w:rFonts w:ascii="Calibri" w:hAnsi="Calibri"/>
          <w:color w:val="0070C0"/>
        </w:rPr>
        <w:t>breakwaters</w:t>
      </w:r>
      <w:r>
        <w:rPr>
          <w:rFonts w:ascii="Calibri" w:hAnsi="Calibri"/>
          <w:color w:val="0070C0"/>
        </w:rPr>
        <w:t xml:space="preserve"> in Korea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6A4363F3" w:rsidR="00BD4E6F" w:rsidRPr="007A395D" w:rsidRDefault="00FF3F34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</w:t>
      </w:r>
      <w:r w:rsidR="00D07CCC">
        <w:rPr>
          <w:rFonts w:ascii="Calibri" w:hAnsi="Calibri"/>
        </w:rPr>
        <w:t xml:space="preserve">Input paper </w:t>
      </w:r>
      <w:r w:rsidR="006B07A8">
        <w:rPr>
          <w:rFonts w:ascii="Calibri" w:hAnsi="Calibri"/>
        </w:rPr>
        <w:t>shows difficulties and status of marking of (sub-merged) breakwaters.</w:t>
      </w:r>
    </w:p>
    <w:p w14:paraId="052AC0CB" w14:textId="54CB912D" w:rsidR="00851373" w:rsidRPr="007A395D" w:rsidRDefault="006B07A8" w:rsidP="00B56BDF">
      <w:pPr>
        <w:pStyle w:val="BodyText"/>
        <w:rPr>
          <w:rFonts w:ascii="Calibri" w:hAnsi="Calibri"/>
        </w:rPr>
      </w:pPr>
      <w:r>
        <w:rPr>
          <w:rFonts w:ascii="Calibri" w:hAnsi="Calibri"/>
          <w:lang w:eastAsia="de-DE"/>
        </w:rPr>
        <w:t>Korean waters have a lot of breakwaters. These are basically protecting the harbour facilities and coastal area from the strong wave and tide.</w:t>
      </w:r>
      <w:r w:rsidR="0061386A">
        <w:rPr>
          <w:rFonts w:ascii="Calibri" w:hAnsi="Calibri"/>
          <w:lang w:eastAsia="de-DE"/>
        </w:rPr>
        <w:t xml:space="preserve"> However, complex and many breakwaters could occur</w:t>
      </w:r>
      <w:r w:rsidR="002F050B">
        <w:rPr>
          <w:rFonts w:ascii="Calibri" w:hAnsi="Calibri"/>
          <w:lang w:eastAsia="de-DE"/>
        </w:rPr>
        <w:t xml:space="preserve"> confusion to</w:t>
      </w:r>
      <w:r w:rsidR="0061386A">
        <w:rPr>
          <w:rFonts w:ascii="Calibri" w:hAnsi="Calibri"/>
          <w:lang w:eastAsia="de-DE"/>
        </w:rPr>
        <w:t xml:space="preserve"> passing vessels. So, ARM committee will make guidance on marking of breakwaters.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70AF8701" w:rsidR="00E55927" w:rsidRPr="007A395D" w:rsidRDefault="0061386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</w:t>
      </w:r>
      <w:r w:rsidR="00C90F90">
        <w:rPr>
          <w:rFonts w:ascii="Calibri" w:hAnsi="Calibri"/>
        </w:rPr>
        <w:t xml:space="preserve">o make Marking of </w:t>
      </w:r>
      <w:r>
        <w:rPr>
          <w:rFonts w:ascii="Calibri" w:hAnsi="Calibri"/>
        </w:rPr>
        <w:t>breakwaters guidance, this paper will be used as reference.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78439745" w:rsidR="00E55927" w:rsidRPr="007A395D" w:rsidRDefault="0061386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paper related with ARM7-6.3(Marking of Break waters from Korea), ARM8-5.3(Marking of Breakwaters from Australia), ARM-9-5.1(</w:t>
      </w:r>
      <w:r w:rsidR="00C90F90">
        <w:rPr>
          <w:rFonts w:ascii="Calibri" w:hAnsi="Calibri"/>
        </w:rPr>
        <w:t>Status of AtoN on Submerged</w:t>
      </w:r>
      <w:r>
        <w:rPr>
          <w:rFonts w:ascii="Calibri" w:hAnsi="Calibri"/>
        </w:rPr>
        <w:t xml:space="preserve"> Breakwaters in Korea) and O-139(Marking of Man-made offshore structures).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2490B47B" w:rsidR="00A446C9" w:rsidRPr="007A395D" w:rsidRDefault="00C90F90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ARM Committee suggests that guidance on Marking of breakwaters should be included as a new section in O-139 during ARM9.</w:t>
      </w:r>
    </w:p>
    <w:p w14:paraId="041E9135" w14:textId="7594EB86" w:rsidR="00A446C9" w:rsidRPr="007A395D" w:rsidRDefault="0056310D" w:rsidP="00605E43">
      <w:pPr>
        <w:pStyle w:val="Heading1"/>
      </w:pPr>
      <w:r>
        <w:t xml:space="preserve">Discussion _ </w:t>
      </w:r>
      <w:r w:rsidR="00C90F90">
        <w:t>marking of (submerged) breakwaters in korea</w:t>
      </w:r>
    </w:p>
    <w:p w14:paraId="23B5467E" w14:textId="3623DDEE" w:rsidR="00F25BF4" w:rsidRPr="007A395D" w:rsidRDefault="00B30BD2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information is based on </w:t>
      </w:r>
      <w:r w:rsidR="004075B5">
        <w:rPr>
          <w:rFonts w:ascii="Calibri" w:hAnsi="Calibri"/>
        </w:rPr>
        <w:t>Dec</w:t>
      </w:r>
      <w:r w:rsidR="00B56C66">
        <w:rPr>
          <w:rFonts w:ascii="Calibri" w:hAnsi="Calibri"/>
        </w:rPr>
        <w:t xml:space="preserve">. </w:t>
      </w:r>
      <w:r>
        <w:rPr>
          <w:rFonts w:ascii="Calibri" w:hAnsi="Calibri"/>
        </w:rPr>
        <w:t>20</w:t>
      </w:r>
      <w:r w:rsidR="00B56C66">
        <w:rPr>
          <w:rFonts w:ascii="Calibri" w:hAnsi="Calibri"/>
        </w:rPr>
        <w:t>2</w:t>
      </w:r>
      <w:r w:rsidR="004075B5">
        <w:rPr>
          <w:rFonts w:ascii="Calibri" w:hAnsi="Calibri"/>
        </w:rPr>
        <w:t>0</w:t>
      </w:r>
      <w:r>
        <w:rPr>
          <w:rFonts w:ascii="Calibri" w:hAnsi="Calibri"/>
        </w:rPr>
        <w:t>.</w:t>
      </w:r>
    </w:p>
    <w:p w14:paraId="062BACEB" w14:textId="6CEDCC09" w:rsidR="00843906" w:rsidRDefault="00843906" w:rsidP="00A74AD9">
      <w:pPr>
        <w:pStyle w:val="Heading2"/>
        <w:numPr>
          <w:ilvl w:val="1"/>
          <w:numId w:val="14"/>
        </w:numPr>
      </w:pPr>
      <w:r>
        <w:t>Additional C</w:t>
      </w:r>
      <w:r>
        <w:rPr>
          <w:rFonts w:hint="eastAsia"/>
        </w:rPr>
        <w:t>riteria</w:t>
      </w:r>
      <w:r>
        <w:t xml:space="preserve"> for the AtoN arrangement of submerged breakwater </w:t>
      </w:r>
    </w:p>
    <w:p w14:paraId="4AF1C362" w14:textId="34CA0E29" w:rsidR="00843906" w:rsidRDefault="00843906" w:rsidP="00A74AD9">
      <w:pPr>
        <w:pStyle w:val="BodyText"/>
        <w:rPr>
          <w:rFonts w:ascii="Calibri" w:eastAsia="Malgun Gothic" w:hAnsi="Calibri"/>
          <w:sz w:val="24"/>
          <w:szCs w:val="24"/>
          <w:lang w:eastAsia="ko-KR"/>
        </w:rPr>
      </w:pPr>
      <w:r>
        <w:rPr>
          <w:rFonts w:ascii="Calibri" w:eastAsia="Malgun Gothic" w:hAnsi="Calibri"/>
          <w:sz w:val="24"/>
          <w:szCs w:val="24"/>
          <w:lang w:eastAsia="ko-KR"/>
        </w:rPr>
        <w:t xml:space="preserve">Existing Criteria has not included the case of </w:t>
      </w:r>
      <w:r>
        <w:rPr>
          <w:rFonts w:ascii="Calibri" w:eastAsia="Malgun Gothic" w:hAnsi="Calibri" w:hint="eastAsia"/>
          <w:sz w:val="24"/>
          <w:szCs w:val="24"/>
          <w:lang w:eastAsia="ko-KR"/>
        </w:rPr>
        <w:t>v</w:t>
      </w:r>
      <w:r>
        <w:rPr>
          <w:rFonts w:ascii="Calibri" w:eastAsia="Malgun Gothic" w:hAnsi="Calibri"/>
          <w:sz w:val="24"/>
          <w:szCs w:val="24"/>
          <w:lang w:eastAsia="ko-KR"/>
        </w:rPr>
        <w:t>essel traffic between submerged breakwater</w:t>
      </w:r>
      <w:r w:rsidR="004075B5">
        <w:rPr>
          <w:rFonts w:ascii="Calibri" w:eastAsia="Malgun Gothic" w:hAnsi="Calibri"/>
          <w:sz w:val="24"/>
          <w:szCs w:val="24"/>
          <w:lang w:eastAsia="ko-KR"/>
        </w:rPr>
        <w:t>s</w:t>
      </w:r>
      <w:r w:rsidR="001F27E5">
        <w:rPr>
          <w:rFonts w:ascii="Calibri" w:eastAsia="Malgun Gothic" w:hAnsi="Calibri"/>
          <w:sz w:val="24"/>
          <w:szCs w:val="24"/>
          <w:lang w:eastAsia="ko-KR"/>
        </w:rPr>
        <w:t xml:space="preserve"> so far</w:t>
      </w:r>
      <w:r>
        <w:rPr>
          <w:rFonts w:ascii="Calibri" w:eastAsia="Malgun Gothic" w:hAnsi="Calibri"/>
          <w:sz w:val="24"/>
          <w:szCs w:val="24"/>
          <w:lang w:eastAsia="ko-KR"/>
        </w:rPr>
        <w:t xml:space="preserve">. </w:t>
      </w:r>
      <w:r w:rsidR="001F27E5">
        <w:rPr>
          <w:rFonts w:ascii="Calibri" w:eastAsia="Malgun Gothic" w:hAnsi="Calibri"/>
          <w:sz w:val="24"/>
          <w:szCs w:val="24"/>
          <w:lang w:eastAsia="ko-KR"/>
        </w:rPr>
        <w:t>It is necessary to revise the criteria</w:t>
      </w:r>
      <w:r>
        <w:rPr>
          <w:rFonts w:ascii="Calibri" w:eastAsia="Malgun Gothic" w:hAnsi="Calibri"/>
          <w:sz w:val="24"/>
          <w:szCs w:val="24"/>
          <w:lang w:eastAsia="ko-KR"/>
        </w:rPr>
        <w:t xml:space="preserve"> </w:t>
      </w:r>
      <w:r w:rsidR="001F27E5">
        <w:rPr>
          <w:rFonts w:ascii="Calibri" w:eastAsia="Malgun Gothic" w:hAnsi="Calibri"/>
          <w:sz w:val="24"/>
          <w:szCs w:val="24"/>
          <w:lang w:eastAsia="ko-KR"/>
        </w:rPr>
        <w:t>containing cases following table;</w:t>
      </w:r>
      <w:r>
        <w:rPr>
          <w:rFonts w:ascii="Calibri" w:eastAsia="Malgun Gothic" w:hAnsi="Calibri" w:hint="eastAsia"/>
          <w:sz w:val="24"/>
          <w:szCs w:val="24"/>
          <w:lang w:eastAsia="ko-KR"/>
        </w:rPr>
        <w:t xml:space="preserve"> </w:t>
      </w:r>
    </w:p>
    <w:p w14:paraId="03638F78" w14:textId="1F31A14A" w:rsidR="00843906" w:rsidRDefault="00843906" w:rsidP="00A74AD9">
      <w:pPr>
        <w:pStyle w:val="BodyText"/>
        <w:rPr>
          <w:rFonts w:ascii="Calibri" w:eastAsia="Malgun Gothic" w:hAnsi="Calibri"/>
          <w:sz w:val="24"/>
          <w:szCs w:val="24"/>
          <w:lang w:eastAsia="ko-KR"/>
        </w:rPr>
      </w:pPr>
      <w:r w:rsidRPr="00481C55">
        <w:rPr>
          <w:rFonts w:ascii="Calibri" w:eastAsia="Malgun Gothic" w:hAnsi="Calibri"/>
          <w:sz w:val="24"/>
          <w:szCs w:val="24"/>
          <w:lang w:eastAsia="ko-KR"/>
        </w:rPr>
        <w:t xml:space="preserve">The </w:t>
      </w:r>
      <w:r>
        <w:rPr>
          <w:rFonts w:ascii="Calibri" w:eastAsia="Malgun Gothic" w:hAnsi="Calibri"/>
          <w:sz w:val="24"/>
          <w:szCs w:val="24"/>
          <w:lang w:eastAsia="ko-KR"/>
        </w:rPr>
        <w:t xml:space="preserve">marking of </w:t>
      </w:r>
      <w:r w:rsidRPr="00481C55">
        <w:rPr>
          <w:rFonts w:ascii="Calibri" w:eastAsia="Malgun Gothic" w:hAnsi="Calibri"/>
          <w:sz w:val="24"/>
          <w:szCs w:val="24"/>
          <w:lang w:eastAsia="ko-KR"/>
        </w:rPr>
        <w:t>submerged breakwater</w:t>
      </w:r>
      <w:r>
        <w:rPr>
          <w:rFonts w:ascii="Calibri" w:eastAsia="Malgun Gothic" w:hAnsi="Calibri"/>
          <w:sz w:val="24"/>
          <w:szCs w:val="24"/>
          <w:lang w:eastAsia="ko-KR"/>
        </w:rPr>
        <w:t xml:space="preserve">s should be </w:t>
      </w:r>
      <w:r w:rsidRPr="00481C55">
        <w:rPr>
          <w:rFonts w:ascii="Calibri" w:eastAsia="Malgun Gothic" w:hAnsi="Calibri"/>
          <w:sz w:val="24"/>
          <w:szCs w:val="24"/>
          <w:lang w:eastAsia="ko-KR"/>
        </w:rPr>
        <w:t xml:space="preserve">in accordance with the following </w:t>
      </w:r>
      <w:r w:rsidR="001F27E5">
        <w:rPr>
          <w:rFonts w:ascii="Calibri" w:eastAsia="Malgun Gothic" w:hAnsi="Calibri"/>
          <w:sz w:val="24"/>
          <w:szCs w:val="24"/>
          <w:lang w:eastAsia="ko-KR"/>
        </w:rPr>
        <w:t xml:space="preserve">updated </w:t>
      </w:r>
      <w:r w:rsidRPr="00481C55">
        <w:rPr>
          <w:rFonts w:ascii="Calibri" w:eastAsia="Malgun Gothic" w:hAnsi="Calibri"/>
          <w:sz w:val="24"/>
          <w:szCs w:val="24"/>
          <w:lang w:eastAsia="ko-KR"/>
        </w:rPr>
        <w:t>criteri</w:t>
      </w:r>
      <w:r>
        <w:rPr>
          <w:rFonts w:ascii="Calibri" w:eastAsia="Malgun Gothic" w:hAnsi="Calibri"/>
          <w:sz w:val="24"/>
          <w:szCs w:val="24"/>
          <w:lang w:eastAsia="ko-KR"/>
        </w:rPr>
        <w:t>a</w:t>
      </w:r>
    </w:p>
    <w:p w14:paraId="48C59780" w14:textId="591E8866" w:rsidR="00843906" w:rsidRDefault="00843906" w:rsidP="00A74AD9">
      <w:pPr>
        <w:pStyle w:val="BodyText"/>
      </w:pPr>
      <w:r>
        <w:t>The</w:t>
      </w:r>
      <w:r w:rsidRPr="008702B5">
        <w:rPr>
          <w:rFonts w:hint="eastAsia"/>
        </w:rPr>
        <w:t xml:space="preserve"> </w:t>
      </w:r>
      <w:r>
        <w:rPr>
          <w:rFonts w:hint="eastAsia"/>
        </w:rPr>
        <w:t>criteria</w:t>
      </w:r>
      <w:r>
        <w:t xml:space="preserve"> for the AtoN arrangement of submerged breakwater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82"/>
        <w:gridCol w:w="2531"/>
        <w:gridCol w:w="5415"/>
      </w:tblGrid>
      <w:tr w:rsidR="00843906" w14:paraId="3338465C" w14:textId="77777777" w:rsidTr="004075B5">
        <w:tc>
          <w:tcPr>
            <w:tcW w:w="1696" w:type="dxa"/>
          </w:tcPr>
          <w:p w14:paraId="5FF8E547" w14:textId="09706244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lastRenderedPageBreak/>
              <w:t>AtoN Installation T</w:t>
            </w:r>
            <w:r w:rsidRPr="004075B5">
              <w:rPr>
                <w:rFonts w:hint="eastAsia"/>
                <w:sz w:val="20"/>
                <w:szCs w:val="20"/>
              </w:rPr>
              <w:t>ype</w:t>
            </w:r>
          </w:p>
        </w:tc>
        <w:tc>
          <w:tcPr>
            <w:tcW w:w="2552" w:type="dxa"/>
          </w:tcPr>
          <w:p w14:paraId="6A80BAC5" w14:textId="37768599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 xml:space="preserve">Feature of Submerged break water </w:t>
            </w:r>
          </w:p>
        </w:tc>
        <w:tc>
          <w:tcPr>
            <w:tcW w:w="5523" w:type="dxa"/>
          </w:tcPr>
          <w:p w14:paraId="6789F992" w14:textId="58F00F94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 xml:space="preserve">The </w:t>
            </w:r>
            <w:r w:rsidRPr="004075B5">
              <w:rPr>
                <w:rFonts w:hint="eastAsia"/>
                <w:sz w:val="20"/>
                <w:szCs w:val="20"/>
              </w:rPr>
              <w:t>criteria</w:t>
            </w:r>
            <w:r w:rsidRPr="004075B5">
              <w:rPr>
                <w:sz w:val="20"/>
                <w:szCs w:val="20"/>
              </w:rPr>
              <w:t xml:space="preserve"> for the AtoN arrangement of submerged breakwater</w:t>
            </w:r>
          </w:p>
        </w:tc>
      </w:tr>
      <w:tr w:rsidR="00843906" w14:paraId="55934F16" w14:textId="77777777" w:rsidTr="004075B5">
        <w:tc>
          <w:tcPr>
            <w:tcW w:w="1696" w:type="dxa"/>
            <w:vMerge w:val="restart"/>
          </w:tcPr>
          <w:p w14:paraId="10EFF59E" w14:textId="0C92882C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Fixed AtoN</w:t>
            </w:r>
          </w:p>
        </w:tc>
        <w:tc>
          <w:tcPr>
            <w:tcW w:w="2552" w:type="dxa"/>
          </w:tcPr>
          <w:p w14:paraId="60AE58BB" w14:textId="6C7EA692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 xml:space="preserve">Single / composite structure </w:t>
            </w:r>
            <w:r w:rsidRPr="004075B5">
              <w:rPr>
                <w:rFonts w:hint="eastAsia"/>
                <w:sz w:val="20"/>
                <w:szCs w:val="20"/>
              </w:rPr>
              <w:t>(shorter than 200m)</w:t>
            </w:r>
          </w:p>
        </w:tc>
        <w:tc>
          <w:tcPr>
            <w:tcW w:w="5523" w:type="dxa"/>
          </w:tcPr>
          <w:p w14:paraId="1B8EEFD4" w14:textId="51C91DC8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Lay</w:t>
            </w:r>
            <w:r w:rsidRPr="004075B5">
              <w:rPr>
                <w:rFonts w:hint="eastAsia"/>
                <w:sz w:val="20"/>
                <w:szCs w:val="20"/>
              </w:rPr>
              <w:t xml:space="preserve"> </w:t>
            </w:r>
            <w:r w:rsidRPr="004075B5">
              <w:rPr>
                <w:sz w:val="20"/>
                <w:szCs w:val="20"/>
              </w:rPr>
              <w:t>on the center or both ends of the submerged breakwater (one or two units)</w:t>
            </w:r>
          </w:p>
        </w:tc>
      </w:tr>
      <w:tr w:rsidR="00843906" w14:paraId="7DDD0446" w14:textId="77777777" w:rsidTr="004075B5">
        <w:tc>
          <w:tcPr>
            <w:tcW w:w="1696" w:type="dxa"/>
            <w:vMerge/>
          </w:tcPr>
          <w:p w14:paraId="0F4DEC3E" w14:textId="77777777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B886D7B" w14:textId="77777777" w:rsidR="00843906" w:rsidRPr="004075B5" w:rsidRDefault="00843906" w:rsidP="00843906">
            <w:pPr>
              <w:rPr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 xml:space="preserve">Single/composite structure </w:t>
            </w:r>
          </w:p>
          <w:p w14:paraId="3B6CB38E" w14:textId="2BDCC9C6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(longer than 200m)</w:t>
            </w:r>
          </w:p>
        </w:tc>
        <w:tc>
          <w:tcPr>
            <w:tcW w:w="5523" w:type="dxa"/>
          </w:tcPr>
          <w:p w14:paraId="54312ECB" w14:textId="50356C59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Lay</w:t>
            </w:r>
            <w:r w:rsidRPr="004075B5">
              <w:rPr>
                <w:rFonts w:hint="eastAsia"/>
                <w:sz w:val="20"/>
                <w:szCs w:val="20"/>
              </w:rPr>
              <w:t xml:space="preserve"> </w:t>
            </w:r>
            <w:r w:rsidRPr="004075B5">
              <w:rPr>
                <w:sz w:val="20"/>
                <w:szCs w:val="20"/>
              </w:rPr>
              <w:t>on</w:t>
            </w:r>
            <w:r w:rsidRPr="004075B5">
              <w:rPr>
                <w:rFonts w:hint="eastAsia"/>
                <w:sz w:val="20"/>
                <w:szCs w:val="20"/>
              </w:rPr>
              <w:t xml:space="preserve"> the both ends and center </w:t>
            </w:r>
            <w:r w:rsidRPr="004075B5">
              <w:rPr>
                <w:sz w:val="20"/>
                <w:szCs w:val="20"/>
              </w:rPr>
              <w:t>at regular intervals (more than three units)</w:t>
            </w:r>
          </w:p>
        </w:tc>
      </w:tr>
      <w:tr w:rsidR="00843906" w14:paraId="762578BE" w14:textId="77777777" w:rsidTr="004075B5">
        <w:tc>
          <w:tcPr>
            <w:tcW w:w="1696" w:type="dxa"/>
            <w:vMerge w:val="restart"/>
          </w:tcPr>
          <w:p w14:paraId="22F9EC2A" w14:textId="2C8A6DBF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Floating AtoN</w:t>
            </w:r>
          </w:p>
        </w:tc>
        <w:tc>
          <w:tcPr>
            <w:tcW w:w="2552" w:type="dxa"/>
          </w:tcPr>
          <w:p w14:paraId="55A102F0" w14:textId="77777777" w:rsidR="00843906" w:rsidRPr="004075B5" w:rsidRDefault="00843906" w:rsidP="00843906">
            <w:pPr>
              <w:rPr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Single/composite structure</w:t>
            </w:r>
          </w:p>
          <w:p w14:paraId="68E5CF1D" w14:textId="1CFAA721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rFonts w:hint="eastAsia"/>
                <w:sz w:val="20"/>
                <w:szCs w:val="20"/>
              </w:rPr>
              <w:t>(shorter than 200m)</w:t>
            </w:r>
          </w:p>
        </w:tc>
        <w:tc>
          <w:tcPr>
            <w:tcW w:w="5523" w:type="dxa"/>
          </w:tcPr>
          <w:p w14:paraId="53476CCB" w14:textId="56EA4CB7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Lay</w:t>
            </w:r>
            <w:r w:rsidRPr="004075B5">
              <w:rPr>
                <w:rFonts w:hint="eastAsia"/>
                <w:sz w:val="20"/>
                <w:szCs w:val="20"/>
              </w:rPr>
              <w:t xml:space="preserve"> </w:t>
            </w:r>
            <w:r w:rsidRPr="004075B5">
              <w:rPr>
                <w:sz w:val="20"/>
                <w:szCs w:val="20"/>
              </w:rPr>
              <w:t>on</w:t>
            </w:r>
            <w:r w:rsidRPr="004075B5">
              <w:rPr>
                <w:rFonts w:hint="eastAsia"/>
                <w:sz w:val="20"/>
                <w:szCs w:val="20"/>
              </w:rPr>
              <w:t xml:space="preserve"> </w:t>
            </w:r>
            <w:r w:rsidRPr="004075B5">
              <w:rPr>
                <w:sz w:val="20"/>
                <w:szCs w:val="20"/>
              </w:rPr>
              <w:t xml:space="preserve">the </w:t>
            </w:r>
            <w:r w:rsidRPr="004075B5">
              <w:rPr>
                <w:rFonts w:hint="eastAsia"/>
                <w:sz w:val="20"/>
                <w:szCs w:val="20"/>
              </w:rPr>
              <w:t>both ends</w:t>
            </w:r>
            <w:r w:rsidRPr="004075B5">
              <w:rPr>
                <w:sz w:val="20"/>
                <w:szCs w:val="20"/>
              </w:rPr>
              <w:t xml:space="preserve"> of the outer sea area(vessel traffic area) of submerged breakwaters (one or two units)</w:t>
            </w:r>
          </w:p>
        </w:tc>
      </w:tr>
      <w:tr w:rsidR="00843906" w14:paraId="2BB32E9E" w14:textId="77777777" w:rsidTr="004075B5">
        <w:tc>
          <w:tcPr>
            <w:tcW w:w="1696" w:type="dxa"/>
            <w:vMerge/>
          </w:tcPr>
          <w:p w14:paraId="1695F86D" w14:textId="77777777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58DFD5E" w14:textId="77777777" w:rsidR="00843906" w:rsidRPr="004075B5" w:rsidRDefault="00843906" w:rsidP="00843906">
            <w:pPr>
              <w:rPr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Single/composite structure</w:t>
            </w:r>
          </w:p>
          <w:p w14:paraId="12683A8D" w14:textId="633DE6C6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rFonts w:hint="eastAsia"/>
                <w:sz w:val="20"/>
                <w:szCs w:val="20"/>
              </w:rPr>
              <w:t>(</w:t>
            </w:r>
            <w:r w:rsidRPr="004075B5">
              <w:rPr>
                <w:sz w:val="20"/>
                <w:szCs w:val="20"/>
              </w:rPr>
              <w:t>longer</w:t>
            </w:r>
            <w:r w:rsidRPr="004075B5">
              <w:rPr>
                <w:rFonts w:hint="eastAsia"/>
                <w:sz w:val="20"/>
                <w:szCs w:val="20"/>
              </w:rPr>
              <w:t xml:space="preserve"> than 200m)</w:t>
            </w:r>
          </w:p>
        </w:tc>
        <w:tc>
          <w:tcPr>
            <w:tcW w:w="5523" w:type="dxa"/>
          </w:tcPr>
          <w:p w14:paraId="439AFB9A" w14:textId="58CB1BDC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Lay</w:t>
            </w:r>
            <w:r w:rsidRPr="004075B5">
              <w:rPr>
                <w:rFonts w:hint="eastAsia"/>
                <w:sz w:val="20"/>
                <w:szCs w:val="20"/>
              </w:rPr>
              <w:t xml:space="preserve"> </w:t>
            </w:r>
            <w:r w:rsidRPr="004075B5">
              <w:rPr>
                <w:sz w:val="20"/>
                <w:szCs w:val="20"/>
              </w:rPr>
              <w:t>on</w:t>
            </w:r>
            <w:r w:rsidRPr="004075B5">
              <w:rPr>
                <w:rFonts w:hint="eastAsia"/>
                <w:sz w:val="20"/>
                <w:szCs w:val="20"/>
              </w:rPr>
              <w:t xml:space="preserve"> </w:t>
            </w:r>
            <w:r w:rsidRPr="004075B5">
              <w:rPr>
                <w:sz w:val="20"/>
                <w:szCs w:val="20"/>
              </w:rPr>
              <w:t xml:space="preserve">the </w:t>
            </w:r>
            <w:r w:rsidRPr="004075B5">
              <w:rPr>
                <w:rFonts w:hint="eastAsia"/>
                <w:sz w:val="20"/>
                <w:szCs w:val="20"/>
              </w:rPr>
              <w:t>both ends</w:t>
            </w:r>
            <w:r w:rsidRPr="004075B5">
              <w:rPr>
                <w:sz w:val="20"/>
                <w:szCs w:val="20"/>
              </w:rPr>
              <w:t xml:space="preserve"> and center of the outer sea area(vessel traffic area) of submerged breakwaters (more than three units)</w:t>
            </w:r>
          </w:p>
        </w:tc>
      </w:tr>
      <w:tr w:rsidR="00843906" w14:paraId="5D4BE79D" w14:textId="77777777" w:rsidTr="004075B5">
        <w:tc>
          <w:tcPr>
            <w:tcW w:w="1696" w:type="dxa"/>
            <w:vMerge w:val="restart"/>
          </w:tcPr>
          <w:p w14:paraId="14103DEA" w14:textId="02F8B046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rFonts w:hint="eastAsia"/>
                <w:sz w:val="20"/>
                <w:szCs w:val="20"/>
                <w:lang w:eastAsia="ko-KR"/>
              </w:rPr>
              <w:t>F</w:t>
            </w:r>
            <w:r w:rsidRPr="004075B5">
              <w:rPr>
                <w:sz w:val="20"/>
                <w:szCs w:val="20"/>
                <w:lang w:eastAsia="ko-KR"/>
              </w:rPr>
              <w:t>ixed / Floating AtoN</w:t>
            </w:r>
          </w:p>
        </w:tc>
        <w:tc>
          <w:tcPr>
            <w:tcW w:w="2552" w:type="dxa"/>
          </w:tcPr>
          <w:p w14:paraId="4E23FDAB" w14:textId="198F2FBE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Navigation route between submerged breakwaters</w:t>
            </w:r>
          </w:p>
        </w:tc>
        <w:tc>
          <w:tcPr>
            <w:tcW w:w="5523" w:type="dxa"/>
          </w:tcPr>
          <w:p w14:paraId="25275C5A" w14:textId="77777777" w:rsidR="00843906" w:rsidRPr="004075B5" w:rsidRDefault="00843906" w:rsidP="00843906">
            <w:pPr>
              <w:rPr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Lay</w:t>
            </w:r>
            <w:r w:rsidRPr="004075B5">
              <w:rPr>
                <w:rFonts w:hint="eastAsia"/>
                <w:sz w:val="20"/>
                <w:szCs w:val="20"/>
              </w:rPr>
              <w:t xml:space="preserve"> </w:t>
            </w:r>
            <w:r w:rsidRPr="004075B5">
              <w:rPr>
                <w:sz w:val="20"/>
                <w:szCs w:val="20"/>
              </w:rPr>
              <w:t xml:space="preserve">lateral marks on the aside of route, and special mark at the opposite side of edge of breakwater each </w:t>
            </w:r>
          </w:p>
          <w:p w14:paraId="55C763C9" w14:textId="720EA862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In case of the submerged breakwater is long, additional special mark installation at regular intervals is needed</w:t>
            </w:r>
          </w:p>
        </w:tc>
      </w:tr>
      <w:tr w:rsidR="00843906" w14:paraId="09381AB9" w14:textId="77777777" w:rsidTr="004075B5">
        <w:tc>
          <w:tcPr>
            <w:tcW w:w="1696" w:type="dxa"/>
            <w:vMerge/>
          </w:tcPr>
          <w:p w14:paraId="44016AD2" w14:textId="77777777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56BCCA4" w14:textId="375EA094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In case of h</w:t>
            </w:r>
            <w:r w:rsidRPr="004075B5">
              <w:rPr>
                <w:rFonts w:hint="eastAsia"/>
                <w:sz w:val="20"/>
                <w:szCs w:val="20"/>
              </w:rPr>
              <w:t>arbo</w:t>
            </w:r>
            <w:r w:rsidRPr="004075B5">
              <w:rPr>
                <w:sz w:val="20"/>
                <w:szCs w:val="20"/>
              </w:rPr>
              <w:t>u</w:t>
            </w:r>
            <w:r w:rsidRPr="004075B5">
              <w:rPr>
                <w:rFonts w:hint="eastAsia"/>
                <w:sz w:val="20"/>
                <w:szCs w:val="20"/>
              </w:rPr>
              <w:t xml:space="preserve">r </w:t>
            </w:r>
            <w:r w:rsidRPr="004075B5">
              <w:rPr>
                <w:sz w:val="20"/>
                <w:szCs w:val="20"/>
              </w:rPr>
              <w:t>facilities at single side</w:t>
            </w:r>
          </w:p>
        </w:tc>
        <w:tc>
          <w:tcPr>
            <w:tcW w:w="5523" w:type="dxa"/>
          </w:tcPr>
          <w:p w14:paraId="444313AC" w14:textId="77777777" w:rsidR="00843906" w:rsidRPr="004075B5" w:rsidRDefault="00843906" w:rsidP="00843906">
            <w:pPr>
              <w:rPr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 xml:space="preserve">Lay on lateral mark on the aside of route and special mark at the opposite side of edge of breakwater </w:t>
            </w:r>
          </w:p>
          <w:p w14:paraId="13965499" w14:textId="5C569961" w:rsidR="00843906" w:rsidRPr="004075B5" w:rsidRDefault="00843906" w:rsidP="00843906">
            <w:pPr>
              <w:pStyle w:val="BodyText"/>
              <w:rPr>
                <w:rFonts w:ascii="Calibri" w:hAnsi="Calibri"/>
                <w:sz w:val="20"/>
                <w:szCs w:val="20"/>
              </w:rPr>
            </w:pPr>
            <w:r w:rsidRPr="004075B5">
              <w:rPr>
                <w:sz w:val="20"/>
                <w:szCs w:val="20"/>
              </w:rPr>
              <w:t>In case of the submerged breakwater is long, additional  special mark installation at regular intervals is needed</w:t>
            </w:r>
          </w:p>
        </w:tc>
      </w:tr>
    </w:tbl>
    <w:p w14:paraId="47EB68DE" w14:textId="77777777" w:rsidR="00843906" w:rsidRDefault="00843906" w:rsidP="00A74AD9">
      <w:pPr>
        <w:pStyle w:val="BodyText"/>
        <w:rPr>
          <w:rFonts w:ascii="Calibri" w:hAnsi="Calibri"/>
        </w:rPr>
      </w:pPr>
    </w:p>
    <w:p w14:paraId="751D7E00" w14:textId="63DBF02C" w:rsidR="00A74AD9" w:rsidRDefault="0056310D" w:rsidP="00843906">
      <w:pPr>
        <w:pStyle w:val="BodyText"/>
        <w:rPr>
          <w:rFonts w:ascii="Calibri" w:hAnsi="Calibri"/>
        </w:rPr>
      </w:pPr>
      <w:ins w:id="0" w:author="Trevor Harris" w:date="2020-10-20T12:45:00Z">
        <w:r w:rsidRPr="0056310D">
          <w:rPr>
            <w:rFonts w:ascii="Calibri" w:hAnsi="Calibri"/>
            <w:noProof/>
          </w:rPr>
          <w:drawing>
            <wp:anchor distT="0" distB="0" distL="114300" distR="114300" simplePos="0" relativeHeight="251662336" behindDoc="0" locked="0" layoutInCell="1" allowOverlap="1" wp14:anchorId="0D2552BA" wp14:editId="5AD6F2F8">
              <wp:simplePos x="0" y="0"/>
              <wp:positionH relativeFrom="column">
                <wp:posOffset>-1633</wp:posOffset>
              </wp:positionH>
              <wp:positionV relativeFrom="paragraph">
                <wp:posOffset>243997</wp:posOffset>
              </wp:positionV>
              <wp:extent cx="2862770" cy="1612470"/>
              <wp:effectExtent l="0" t="0" r="0" b="6985"/>
              <wp:wrapSquare wrapText="bothSides"/>
              <wp:docPr id="1" name="Picture 29" descr="화면 캡처 2020-10-19 17274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화면 캡처 2020-10-19 172748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71675" cy="1617486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>
        <w:rPr>
          <w:rFonts w:ascii="Calibri" w:hAnsi="Calibri" w:hint="eastAsia"/>
          <w:lang w:eastAsia="ko-KR"/>
        </w:rPr>
        <w:t>E</w:t>
      </w:r>
      <w:r>
        <w:rPr>
          <w:rFonts w:ascii="Calibri" w:hAnsi="Calibri"/>
          <w:lang w:eastAsia="ko-KR"/>
        </w:rPr>
        <w:t>xample:</w:t>
      </w:r>
      <w:r w:rsidR="00843906">
        <w:rPr>
          <w:rFonts w:ascii="Calibri" w:hAnsi="Calibri"/>
          <w:lang w:eastAsia="ko-KR"/>
        </w:rPr>
        <w:t>3</w:t>
      </w:r>
      <w:r>
        <w:rPr>
          <w:rFonts w:ascii="Calibri" w:hAnsi="Calibri"/>
          <w:lang w:eastAsia="ko-KR"/>
        </w:rPr>
        <w:t xml:space="preserve">. </w:t>
      </w:r>
      <w:r w:rsidR="00843906">
        <w:rPr>
          <w:rFonts w:ascii="Calibri" w:eastAsia="Malgun Gothic" w:hAnsi="Calibri"/>
          <w:lang w:eastAsia="ko-KR"/>
        </w:rPr>
        <w:t>Fixed / Floating AtoN</w:t>
      </w:r>
    </w:p>
    <w:p w14:paraId="0289F5F3" w14:textId="0799A127" w:rsidR="0056310D" w:rsidRDefault="004075B5" w:rsidP="0056310D">
      <w:ins w:id="1" w:author="Trevor Harris" w:date="2020-10-20T12:46:00Z">
        <w:r w:rsidRPr="0056310D">
          <w:rPr>
            <w:rFonts w:ascii="Calibri" w:hAnsi="Calibri"/>
            <w:noProof/>
          </w:rPr>
          <w:drawing>
            <wp:anchor distT="0" distB="0" distL="114300" distR="114300" simplePos="0" relativeHeight="251663360" behindDoc="0" locked="0" layoutInCell="1" allowOverlap="1" wp14:anchorId="0E6C7067" wp14:editId="0B0BFB1F">
              <wp:simplePos x="0" y="0"/>
              <wp:positionH relativeFrom="column">
                <wp:posOffset>2871743</wp:posOffset>
              </wp:positionH>
              <wp:positionV relativeFrom="paragraph">
                <wp:posOffset>38133</wp:posOffset>
              </wp:positionV>
              <wp:extent cx="2951018" cy="1551755"/>
              <wp:effectExtent l="0" t="0" r="1905" b="0"/>
              <wp:wrapSquare wrapText="bothSides"/>
              <wp:docPr id="4" name="Picture 30" descr="화면 캡처 2020-10-19 17280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화면 캡처 2020-10-19 172807"/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51018" cy="155175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</w:p>
    <w:p w14:paraId="6770BB95" w14:textId="6AD92A86" w:rsidR="0056310D" w:rsidRDefault="0056310D" w:rsidP="0056310D"/>
    <w:p w14:paraId="2841425A" w14:textId="6A9B5148" w:rsidR="0056310D" w:rsidRDefault="0056310D" w:rsidP="0056310D"/>
    <w:p w14:paraId="638A2825" w14:textId="46331059" w:rsidR="0056310D" w:rsidRDefault="0056310D" w:rsidP="0056310D"/>
    <w:p w14:paraId="3006F84E" w14:textId="1670973D" w:rsidR="0056310D" w:rsidRDefault="0056310D" w:rsidP="0056310D"/>
    <w:p w14:paraId="7866BCE6" w14:textId="1869B72C" w:rsidR="0056310D" w:rsidRDefault="0056310D" w:rsidP="0056310D"/>
    <w:p w14:paraId="2AA4D0F4" w14:textId="0FF0DC70" w:rsidR="0056310D" w:rsidRDefault="0056310D" w:rsidP="0056310D"/>
    <w:p w14:paraId="26456638" w14:textId="4F6F284B" w:rsidR="0056310D" w:rsidRDefault="0056310D" w:rsidP="0056310D"/>
    <w:p w14:paraId="766996B1" w14:textId="611C505F" w:rsidR="0056310D" w:rsidRDefault="0056310D" w:rsidP="0056310D"/>
    <w:p w14:paraId="164436D6" w14:textId="77777777" w:rsidR="004075B5" w:rsidRDefault="004075B5" w:rsidP="0056310D"/>
    <w:p w14:paraId="29D15F8B" w14:textId="77777777" w:rsidR="0056310D" w:rsidRPr="0056310D" w:rsidRDefault="0056310D" w:rsidP="0056310D"/>
    <w:p w14:paraId="772C0E70" w14:textId="4CF03B94" w:rsidR="00C90695" w:rsidRPr="007A395D" w:rsidRDefault="00C90695" w:rsidP="00C90695">
      <w:pPr>
        <w:pStyle w:val="Heading1"/>
        <w:numPr>
          <w:ilvl w:val="0"/>
          <w:numId w:val="14"/>
        </w:numPr>
      </w:pPr>
      <w:r>
        <w:t>marking of breakwaters in Austrailia</w:t>
      </w:r>
    </w:p>
    <w:p w14:paraId="7032CBC8" w14:textId="52901179" w:rsidR="00C90695" w:rsidRPr="007A395D" w:rsidRDefault="00C90695" w:rsidP="00C90695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information is based on December 20</w:t>
      </w:r>
      <w:r w:rsidR="00843906">
        <w:rPr>
          <w:rFonts w:ascii="Calibri" w:hAnsi="Calibri"/>
        </w:rPr>
        <w:t>20</w:t>
      </w:r>
      <w:r>
        <w:rPr>
          <w:rFonts w:ascii="Calibri" w:hAnsi="Calibri"/>
        </w:rPr>
        <w:t>.</w:t>
      </w:r>
    </w:p>
    <w:p w14:paraId="67C0A37A" w14:textId="1FAA9727" w:rsidR="00C90695" w:rsidRPr="007A395D" w:rsidRDefault="00C90695" w:rsidP="00C90695">
      <w:pPr>
        <w:pStyle w:val="Heading2"/>
        <w:numPr>
          <w:ilvl w:val="1"/>
          <w:numId w:val="14"/>
        </w:numPr>
      </w:pPr>
      <w:r>
        <w:t>Status of breakwater</w:t>
      </w:r>
    </w:p>
    <w:p w14:paraId="06723B43" w14:textId="644C67D8" w:rsidR="00C90695" w:rsidRPr="007A395D" w:rsidRDefault="00C90695" w:rsidP="00C90695">
      <w:pPr>
        <w:pStyle w:val="List1"/>
        <w:numPr>
          <w:ilvl w:val="0"/>
          <w:numId w:val="0"/>
        </w:numPr>
        <w:rPr>
          <w:rFonts w:ascii="Calibri" w:hAnsi="Calibri"/>
        </w:rPr>
      </w:pPr>
      <w:r>
        <w:rPr>
          <w:rFonts w:ascii="Calibri" w:hAnsi="Calibri"/>
        </w:rPr>
        <w:t>Within Korean waters 80 sites of submerged breakwaters are deployed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602EDD48" w14:textId="6D40E2B6" w:rsidR="00180DDA" w:rsidRPr="007A395D" w:rsidRDefault="00C90695" w:rsidP="00C90695">
      <w:pPr>
        <w:pStyle w:val="References"/>
        <w:rPr>
          <w:rFonts w:ascii="Calibri" w:hAnsi="Calibri"/>
        </w:rPr>
      </w:pPr>
      <w:r>
        <w:rPr>
          <w:rFonts w:ascii="Calibri" w:hAnsi="Calibri"/>
        </w:rPr>
        <w:t>Regulations for Function and Specification of Aids to Navigation of Republic of Korea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1F3F969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35937EF8" w:rsidR="00F25BF4" w:rsidRPr="007A395D" w:rsidRDefault="00C90695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Review on this input paper</w:t>
      </w:r>
    </w:p>
    <w:p w14:paraId="7A9FD49F" w14:textId="6D9C1F3F" w:rsidR="00F25BF4" w:rsidRPr="007A395D" w:rsidRDefault="00C90695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Consider this paper when revise O-139.</w:t>
      </w: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0BCFC88A" w:rsidR="004D1D85" w:rsidRPr="007A395D" w:rsidRDefault="004D1D85" w:rsidP="008A13C8">
      <w:pPr>
        <w:pStyle w:val="AnnexHeading3"/>
        <w:numPr>
          <w:ilvl w:val="0"/>
          <w:numId w:val="0"/>
        </w:numPr>
        <w:ind w:left="992" w:hanging="992"/>
        <w:rPr>
          <w:rFonts w:ascii="Calibri" w:hAnsi="Calibri"/>
          <w:lang w:eastAsia="en-US"/>
        </w:rPr>
      </w:pPr>
    </w:p>
    <w:sectPr w:rsidR="004D1D85" w:rsidRPr="007A395D" w:rsidSect="0082480E">
      <w:headerReference w:type="default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A8A56" w14:textId="77777777" w:rsidR="007441C1" w:rsidRDefault="007441C1" w:rsidP="00362CD9">
      <w:r>
        <w:separator/>
      </w:r>
    </w:p>
  </w:endnote>
  <w:endnote w:type="continuationSeparator" w:id="0">
    <w:p w14:paraId="464F9F07" w14:textId="77777777" w:rsidR="007441C1" w:rsidRDefault="007441C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40AE6720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ED4D8F">
      <w:rPr>
        <w:rFonts w:ascii="Calibri" w:hAnsi="Calibri"/>
        <w:noProof/>
      </w:rPr>
      <w:t>6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6D900" w14:textId="77777777" w:rsidR="007441C1" w:rsidRDefault="007441C1" w:rsidP="00362CD9">
      <w:r>
        <w:separator/>
      </w:r>
    </w:p>
  </w:footnote>
  <w:footnote w:type="continuationSeparator" w:id="0">
    <w:p w14:paraId="1EDF4C32" w14:textId="77777777" w:rsidR="007441C1" w:rsidRDefault="007441C1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5F8C468E" w:rsidR="007C346C" w:rsidRDefault="007A395D" w:rsidP="007A395D">
    <w:pPr>
      <w:pStyle w:val="Header"/>
      <w:jc w:val="right"/>
    </w:pPr>
    <w:r>
      <w:rPr>
        <w:noProof/>
        <w:lang w:val="en-US" w:eastAsia="ko-KR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ko-KR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423C4F5C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Trevor Harris">
    <w15:presenceInfo w15:providerId="AD" w15:userId="S-1-5-21-2046026355-2876191845-2165928818-88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214EB"/>
    <w:rsid w:val="001463FD"/>
    <w:rsid w:val="00177F4D"/>
    <w:rsid w:val="00180DDA"/>
    <w:rsid w:val="001906D4"/>
    <w:rsid w:val="001B2A2D"/>
    <w:rsid w:val="001B737D"/>
    <w:rsid w:val="001C44A3"/>
    <w:rsid w:val="001E0E15"/>
    <w:rsid w:val="001F27E5"/>
    <w:rsid w:val="001F528A"/>
    <w:rsid w:val="001F704E"/>
    <w:rsid w:val="00201722"/>
    <w:rsid w:val="002125B0"/>
    <w:rsid w:val="00243228"/>
    <w:rsid w:val="00251483"/>
    <w:rsid w:val="00255CAA"/>
    <w:rsid w:val="00264305"/>
    <w:rsid w:val="002839D5"/>
    <w:rsid w:val="002A0346"/>
    <w:rsid w:val="002A4487"/>
    <w:rsid w:val="002B49E9"/>
    <w:rsid w:val="002C632E"/>
    <w:rsid w:val="002C7841"/>
    <w:rsid w:val="002D3E8B"/>
    <w:rsid w:val="002D4575"/>
    <w:rsid w:val="002D5C0C"/>
    <w:rsid w:val="002E03D1"/>
    <w:rsid w:val="002E6B74"/>
    <w:rsid w:val="002E6FCA"/>
    <w:rsid w:val="002F050B"/>
    <w:rsid w:val="003077B5"/>
    <w:rsid w:val="00315034"/>
    <w:rsid w:val="00356CD0"/>
    <w:rsid w:val="0036282A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075B5"/>
    <w:rsid w:val="0041088C"/>
    <w:rsid w:val="00412DD0"/>
    <w:rsid w:val="00420A38"/>
    <w:rsid w:val="00431B19"/>
    <w:rsid w:val="00451942"/>
    <w:rsid w:val="004661AD"/>
    <w:rsid w:val="00493983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6310D"/>
    <w:rsid w:val="0057198B"/>
    <w:rsid w:val="00573CFE"/>
    <w:rsid w:val="00594C5B"/>
    <w:rsid w:val="005969F2"/>
    <w:rsid w:val="00597FAE"/>
    <w:rsid w:val="005A1E47"/>
    <w:rsid w:val="005B32A3"/>
    <w:rsid w:val="005C0D44"/>
    <w:rsid w:val="005C566C"/>
    <w:rsid w:val="005C7E69"/>
    <w:rsid w:val="005E262D"/>
    <w:rsid w:val="005F23D3"/>
    <w:rsid w:val="005F29DB"/>
    <w:rsid w:val="005F7E20"/>
    <w:rsid w:val="00605E43"/>
    <w:rsid w:val="0061386A"/>
    <w:rsid w:val="006153BB"/>
    <w:rsid w:val="006652C3"/>
    <w:rsid w:val="00691FD0"/>
    <w:rsid w:val="00692148"/>
    <w:rsid w:val="006A1A1E"/>
    <w:rsid w:val="006B07A8"/>
    <w:rsid w:val="006C128F"/>
    <w:rsid w:val="006C5948"/>
    <w:rsid w:val="006F2A74"/>
    <w:rsid w:val="007000D4"/>
    <w:rsid w:val="007118F5"/>
    <w:rsid w:val="00712AA4"/>
    <w:rsid w:val="007146C4"/>
    <w:rsid w:val="00721AA1"/>
    <w:rsid w:val="00724B67"/>
    <w:rsid w:val="00740AD8"/>
    <w:rsid w:val="007441C1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43906"/>
    <w:rsid w:val="00850293"/>
    <w:rsid w:val="00851373"/>
    <w:rsid w:val="00851BA6"/>
    <w:rsid w:val="0085654D"/>
    <w:rsid w:val="00861160"/>
    <w:rsid w:val="0086654F"/>
    <w:rsid w:val="00892EE1"/>
    <w:rsid w:val="008A13C8"/>
    <w:rsid w:val="008A356F"/>
    <w:rsid w:val="008A4653"/>
    <w:rsid w:val="008A4717"/>
    <w:rsid w:val="008A50CC"/>
    <w:rsid w:val="008B3040"/>
    <w:rsid w:val="008D1694"/>
    <w:rsid w:val="008D79CB"/>
    <w:rsid w:val="008F07BC"/>
    <w:rsid w:val="0090757E"/>
    <w:rsid w:val="0092692B"/>
    <w:rsid w:val="00930561"/>
    <w:rsid w:val="00943E9C"/>
    <w:rsid w:val="00953F4D"/>
    <w:rsid w:val="00960BB8"/>
    <w:rsid w:val="00964F5C"/>
    <w:rsid w:val="00973B57"/>
    <w:rsid w:val="00975900"/>
    <w:rsid w:val="009831C0"/>
    <w:rsid w:val="0099161D"/>
    <w:rsid w:val="00A0389B"/>
    <w:rsid w:val="00A31C22"/>
    <w:rsid w:val="00A33A3C"/>
    <w:rsid w:val="00A346D1"/>
    <w:rsid w:val="00A446C9"/>
    <w:rsid w:val="00A635D6"/>
    <w:rsid w:val="00A6525B"/>
    <w:rsid w:val="00A74AD9"/>
    <w:rsid w:val="00A8553A"/>
    <w:rsid w:val="00A93AED"/>
    <w:rsid w:val="00AE1319"/>
    <w:rsid w:val="00AE34BB"/>
    <w:rsid w:val="00B226F2"/>
    <w:rsid w:val="00B274DF"/>
    <w:rsid w:val="00B30BD2"/>
    <w:rsid w:val="00B56BDF"/>
    <w:rsid w:val="00B56C66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90695"/>
    <w:rsid w:val="00C90F90"/>
    <w:rsid w:val="00CA6F2C"/>
    <w:rsid w:val="00CD6A13"/>
    <w:rsid w:val="00CF1871"/>
    <w:rsid w:val="00CF3EBA"/>
    <w:rsid w:val="00D019CE"/>
    <w:rsid w:val="00D07CCC"/>
    <w:rsid w:val="00D1133E"/>
    <w:rsid w:val="00D17A34"/>
    <w:rsid w:val="00D213CC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02132"/>
    <w:rsid w:val="00E22A11"/>
    <w:rsid w:val="00E31E5C"/>
    <w:rsid w:val="00E44DD2"/>
    <w:rsid w:val="00E558C3"/>
    <w:rsid w:val="00E55927"/>
    <w:rsid w:val="00E60540"/>
    <w:rsid w:val="00E77526"/>
    <w:rsid w:val="00E912A6"/>
    <w:rsid w:val="00EA4844"/>
    <w:rsid w:val="00EA4D9C"/>
    <w:rsid w:val="00EA5A97"/>
    <w:rsid w:val="00EA6A5A"/>
    <w:rsid w:val="00EB75EE"/>
    <w:rsid w:val="00ED4D8F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F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AD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56310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31C22"/>
    <w:pPr>
      <w:spacing w:before="100" w:beforeAutospacing="1" w:after="100" w:afterAutospacing="1"/>
    </w:pPr>
    <w:rPr>
      <w:rFonts w:ascii="Calibri" w:eastAsiaTheme="minorHAns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33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1CF485-C263-4DA8-A122-B2E9B9E63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BBD78F-FF38-47A0-8F39-A754AAAAC9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6A754D-2AC3-4547-B747-B3B12DB801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199E11-61D9-461E-8083-735BE6EAA4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9</cp:revision>
  <dcterms:created xsi:type="dcterms:W3CDTF">2021-03-18T07:05:00Z</dcterms:created>
  <dcterms:modified xsi:type="dcterms:W3CDTF">2021-03-18T10:53:00Z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