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AE1AEE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  <w:r>
        <w:rPr>
          <w:rFonts w:ascii="Arial" w:eastAsia="Times New Roman" w:hAnsi="Arial" w:cs="Arial"/>
          <w:noProof/>
          <w:color w:val="000000"/>
          <w:sz w:val="28"/>
          <w:szCs w:val="24"/>
          <w:lang w:val="en-US" w:eastAsia="ko-KR"/>
        </w:rPr>
        <w:drawing>
          <wp:inline distT="0" distB="0" distL="0" distR="0">
            <wp:extent cx="2369489" cy="23145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6963" cy="232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2"/>
          <w:szCs w:val="24"/>
          <w:lang w:eastAsia="ar-SA"/>
        </w:rPr>
        <w:tab/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IALA S-201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  <w:r w:rsidRPr="00690968">
        <w:rPr>
          <w:rFonts w:ascii="Arial" w:eastAsia="Times New Roman" w:hAnsi="Arial" w:cs="Arial"/>
          <w:b/>
          <w:color w:val="000000"/>
          <w:sz w:val="36"/>
          <w:szCs w:val="36"/>
          <w:lang w:eastAsia="ar-SA"/>
        </w:rPr>
        <w:t>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32"/>
          <w:szCs w:val="24"/>
          <w:lang w:eastAsia="ar-SA"/>
        </w:rPr>
      </w:pPr>
    </w:p>
    <w:p w:rsidR="00690968" w:rsidRPr="00690968" w:rsidRDefault="00EB00B0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  <w:r>
        <w:rPr>
          <w:b/>
          <w:sz w:val="28"/>
        </w:rPr>
        <w:t xml:space="preserve">Edition </w:t>
      </w:r>
      <w:r w:rsidR="001E77EC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1.0.0</w:t>
      </w:r>
      <w:r w:rsidR="00690968" w:rsidRPr="00690968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 xml:space="preserve"> – </w:t>
      </w:r>
      <w:r w:rsidR="001E77EC"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  <w:t>October 2010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b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8"/>
          <w:szCs w:val="24"/>
          <w:lang w:eastAsia="ar-SA"/>
        </w:rPr>
      </w:pPr>
    </w:p>
    <w:p w:rsidR="00690968" w:rsidRPr="00690968" w:rsidRDefault="00690968" w:rsidP="00690968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690968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IALA AtoN Product Specification</w:t>
      </w: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tabs>
          <w:tab w:val="center" w:pos="4514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690968" w:rsidRDefault="00690968" w:rsidP="00690968">
      <w:pPr>
        <w:suppressLineNumbers/>
        <w:tabs>
          <w:tab w:val="center" w:pos="4680"/>
          <w:tab w:val="right" w:pos="9360"/>
        </w:tabs>
        <w:suppressAutoHyphens/>
        <w:spacing w:after="0" w:line="100" w:lineRule="atLeast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690968" w:rsidRPr="00237EE0" w:rsidRDefault="00237EE0" w:rsidP="00237EE0">
      <w:pPr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sectPr w:rsidR="00690968" w:rsidRPr="00237EE0">
          <w:pgSz w:w="12240" w:h="15840"/>
          <w:pgMar w:top="1440" w:right="1440" w:bottom="708" w:left="1440" w:header="720" w:footer="720" w:gutter="0"/>
          <w:cols w:space="720"/>
          <w:docGrid w:linePitch="600" w:charSpace="32768"/>
        </w:sectPr>
      </w:pPr>
      <w:r w:rsidRPr="00237EE0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 xml:space="preserve">ANNEX </w:t>
      </w:r>
      <w:r w:rsidR="00E723FA">
        <w:rPr>
          <w:rFonts w:ascii="Arial" w:eastAsia="Times New Roman" w:hAnsi="Arial" w:cs="Arial"/>
          <w:b/>
          <w:color w:val="000000"/>
          <w:sz w:val="32"/>
          <w:szCs w:val="32"/>
          <w:lang w:eastAsia="ar-SA"/>
        </w:rPr>
        <w:t>C</w:t>
      </w:r>
    </w:p>
    <w:p w:rsidR="001E77EC" w:rsidRDefault="001E77EC" w:rsidP="001E77EC">
      <w:r>
        <w:lastRenderedPageBreak/>
        <w:t>Consider Production system implications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Option 1 - Obtain new system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Option 2 - Modify existing system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Define a dataset schema for geographical areas of responsibility</w:t>
      </w:r>
    </w:p>
    <w:p w:rsidR="001E77EC" w:rsidRDefault="001E77EC" w:rsidP="001E77EC">
      <w:pPr>
        <w:pStyle w:val="a5"/>
        <w:numPr>
          <w:ilvl w:val="0"/>
          <w:numId w:val="2"/>
        </w:numPr>
      </w:pPr>
      <w:r>
        <w:t>Define how updating process should work when there are changes to datasets or support files (e.g. picture of AtoN).</w:t>
      </w:r>
    </w:p>
    <w:p w:rsidR="001E77EC" w:rsidRDefault="001E77EC" w:rsidP="001E77EC">
      <w:r>
        <w:t>Mapping existing data model to S-201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Target solution of adding S-201 support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Option 1 - Update database for direct support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Option 2 - Create a codex between the existing database and S-201 output exchange sets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Gap analysis of the existing database model to S-201 support database model.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Risk assessment (e.g. what implications do changes to AtoN database).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Implement business rules to address any data classification changes.</w:t>
      </w:r>
    </w:p>
    <w:p w:rsidR="001E77EC" w:rsidRDefault="001E77EC" w:rsidP="001E77EC">
      <w:pPr>
        <w:pStyle w:val="a5"/>
        <w:numPr>
          <w:ilvl w:val="1"/>
          <w:numId w:val="1"/>
        </w:numPr>
      </w:pPr>
      <w:r>
        <w:t>Plan for implementing any change to data following implementation of new business rules.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Extend database to support missing data field mandatory for data mapping.</w:t>
      </w:r>
    </w:p>
    <w:p w:rsidR="001E77EC" w:rsidRDefault="001E77EC" w:rsidP="001E77EC">
      <w:r>
        <w:t>Memorandum of Understanding between AtoN authority and any S-201 recipients (e.g. hydrographic office, neighbouring AtoN authority) to formulate the data exchange process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Considerations for impact on S-201 dataset recipient’s systems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Specify the data update process (could be standardized for all S-201, but needs additional information added to S-201. Additional details on updated information could be useful, e.g. AtoN A has moved from position x to position y).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Consider data validation, authentication and compression.</w:t>
      </w:r>
    </w:p>
    <w:p w:rsidR="00966B7D" w:rsidRDefault="00966B7D" w:rsidP="00966B7D">
      <w:pPr>
        <w:jc w:val="center"/>
      </w:pPr>
      <w:r>
        <w:rPr>
          <w:noProof/>
          <w:lang w:val="en-US" w:eastAsia="ko-KR"/>
        </w:rPr>
        <w:lastRenderedPageBreak/>
        <w:drawing>
          <wp:inline distT="0" distB="0" distL="0" distR="0" wp14:anchorId="782D380B">
            <wp:extent cx="4488180" cy="3578641"/>
            <wp:effectExtent l="0" t="0" r="7620" b="317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3266" cy="35826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6B7D" w:rsidRDefault="00966B7D" w:rsidP="00966B7D">
      <w:pPr>
        <w:jc w:val="center"/>
      </w:pPr>
    </w:p>
    <w:p w:rsidR="00766CE4" w:rsidRDefault="00766CE4" w:rsidP="00766CE4">
      <w:pPr>
        <w:rPr>
          <w:lang w:eastAsia="ko-KR"/>
        </w:rPr>
      </w:pPr>
      <w:r>
        <w:rPr>
          <w:rFonts w:hint="eastAsia"/>
          <w:lang w:eastAsia="ko-KR"/>
        </w:rPr>
        <w:t>Overview of management and service</w:t>
      </w:r>
      <w:r>
        <w:rPr>
          <w:lang w:eastAsia="ko-KR"/>
        </w:rPr>
        <w:t xml:space="preserve"> of</w:t>
      </w:r>
      <w:r>
        <w:rPr>
          <w:rFonts w:hint="eastAsia"/>
          <w:lang w:eastAsia="ko-KR"/>
        </w:rPr>
        <w:t xml:space="preserve"> AtoN information </w:t>
      </w:r>
    </w:p>
    <w:p w:rsidR="00766CE4" w:rsidRDefault="00766CE4" w:rsidP="00766CE4">
      <w:pPr>
        <w:pStyle w:val="a5"/>
        <w:numPr>
          <w:ilvl w:val="0"/>
          <w:numId w:val="3"/>
        </w:numPr>
      </w:pPr>
      <w:r>
        <w:t>Management of Aton Information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rPr>
          <w:rFonts w:hint="eastAsia"/>
        </w:rPr>
        <w:t>Basic management (New, Change</w:t>
      </w:r>
      <w:r w:rsidR="00190515">
        <w:t>, Remove</w:t>
      </w:r>
      <w:r>
        <w:t>)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Content Change (Move, Correction)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Status Change (</w:t>
      </w:r>
      <w:r w:rsidRPr="00294BF4">
        <w:t>Interrupted</w:t>
      </w:r>
      <w:r>
        <w:t>, Restore, Missing)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Change types (Outages, Planned/Preliminary, Permanent, Temporary)</w:t>
      </w:r>
    </w:p>
    <w:p w:rsidR="00766CE4" w:rsidRDefault="00766CE4" w:rsidP="00766CE4">
      <w:pPr>
        <w:pStyle w:val="a5"/>
        <w:numPr>
          <w:ilvl w:val="0"/>
          <w:numId w:val="3"/>
        </w:numPr>
      </w:pPr>
      <w:r>
        <w:t>Service of Aton information</w:t>
      </w:r>
      <w:r>
        <w:rPr>
          <w:rFonts w:hint="eastAsia"/>
        </w:rPr>
        <w:t xml:space="preserve"> 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Navigation warning service based on the S-124 data model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Aton changes service  based on the S-125 data model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Digital List of Light service based on the S-125 data model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rPr>
          <w:rFonts w:hint="eastAsia"/>
        </w:rPr>
        <w:t>Exchanging rich Aton information based on the S-201 data model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Outages like Interrupted, Missing should create the S-124 NW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rPr>
          <w:rFonts w:hint="eastAsia"/>
        </w:rPr>
        <w:t xml:space="preserve">Upon confirmation of the </w:t>
      </w:r>
      <w:r>
        <w:t>outage, the responsible Aton authority move the NW report of outage from S-124 into S-125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The authority relieve S-124 of old, but still active information</w:t>
      </w:r>
    </w:p>
    <w:p w:rsidR="00766CE4" w:rsidRDefault="00766CE4" w:rsidP="00766CE4">
      <w:pPr>
        <w:rPr>
          <w:lang w:val="en-CA" w:eastAsia="ko-KR"/>
        </w:rPr>
      </w:pPr>
      <w:r>
        <w:rPr>
          <w:rFonts w:hint="eastAsia"/>
          <w:lang w:val="en-CA" w:eastAsia="ko-KR"/>
        </w:rPr>
        <w:t>Management process of Aton Information</w:t>
      </w:r>
      <w:r>
        <w:rPr>
          <w:lang w:val="en-CA" w:eastAsia="ko-KR"/>
        </w:rPr>
        <w:t xml:space="preserve"> (Use case of Korea)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Aton Equipment Management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rPr>
          <w:rFonts w:hint="eastAsia"/>
        </w:rPr>
        <w:t>Aton Structure Management</w:t>
      </w:r>
    </w:p>
    <w:p w:rsidR="00766CE4" w:rsidRDefault="00766CE4" w:rsidP="00766CE4">
      <w:pPr>
        <w:pStyle w:val="a5"/>
        <w:numPr>
          <w:ilvl w:val="0"/>
          <w:numId w:val="1"/>
        </w:numPr>
      </w:pPr>
      <w:r>
        <w:t>Aton Information Management</w:t>
      </w:r>
    </w:p>
    <w:p w:rsidR="00766CE4" w:rsidRDefault="00190515" w:rsidP="004C28D4">
      <w:pPr>
        <w:pStyle w:val="a5"/>
        <w:numPr>
          <w:ilvl w:val="0"/>
          <w:numId w:val="1"/>
        </w:numPr>
      </w:pPr>
      <w:r>
        <w:t xml:space="preserve">Floating Aton </w:t>
      </w:r>
      <w:r w:rsidR="00766CE4">
        <w:t xml:space="preserve">Maintenance </w:t>
      </w:r>
      <w:r>
        <w:t>Process</w:t>
      </w:r>
      <w:r w:rsidR="00766CE4">
        <w:t xml:space="preserve"> (Ship scheduling)</w:t>
      </w:r>
    </w:p>
    <w:p w:rsidR="00766CE4" w:rsidRDefault="00190515" w:rsidP="00766CE4">
      <w:pPr>
        <w:pStyle w:val="a5"/>
        <w:numPr>
          <w:ilvl w:val="0"/>
          <w:numId w:val="1"/>
        </w:numPr>
      </w:pPr>
      <w:r>
        <w:lastRenderedPageBreak/>
        <w:t xml:space="preserve">Fixed Aton </w:t>
      </w:r>
      <w:r w:rsidR="00766CE4">
        <w:t xml:space="preserve">Maintenance </w:t>
      </w:r>
      <w:r>
        <w:t>Process</w:t>
      </w:r>
      <w:r w:rsidR="00766CE4">
        <w:t xml:space="preserve"> (</w:t>
      </w:r>
      <w:r w:rsidR="00287A89">
        <w:t>Ship/Car scheduling)</w:t>
      </w:r>
    </w:p>
    <w:p w:rsidR="00966B7D" w:rsidRDefault="00966B7D" w:rsidP="00966B7D">
      <w:pPr>
        <w:jc w:val="center"/>
      </w:pPr>
      <w:r>
        <w:rPr>
          <w:noProof/>
          <w:lang w:val="en-US" w:eastAsia="ko-KR"/>
        </w:rPr>
        <w:drawing>
          <wp:inline distT="0" distB="0" distL="0" distR="0" wp14:anchorId="0F3E740B">
            <wp:extent cx="3788092" cy="1878763"/>
            <wp:effectExtent l="0" t="0" r="3175" b="762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310" cy="18843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77EC" w:rsidRDefault="001E77EC" w:rsidP="001E77EC">
      <w:r>
        <w:t>Training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Train staff (train the trainer)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Create operational and training manuals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Should IALA offer a certification?</w:t>
      </w:r>
    </w:p>
    <w:p w:rsidR="001E77EC" w:rsidRDefault="001E77EC" w:rsidP="001E77EC">
      <w:pPr>
        <w:pStyle w:val="a5"/>
        <w:numPr>
          <w:ilvl w:val="0"/>
          <w:numId w:val="1"/>
        </w:numPr>
      </w:pPr>
      <w:r>
        <w:t>Training for all stakeholders</w:t>
      </w:r>
    </w:p>
    <w:p w:rsidR="00DF0B5F" w:rsidRDefault="00DF0B5F" w:rsidP="00DF0B5F">
      <w:pPr>
        <w:rPr>
          <w:rFonts w:hint="eastAsia"/>
          <w:lang w:eastAsia="ko-KR"/>
        </w:rPr>
      </w:pPr>
      <w:r>
        <w:rPr>
          <w:rFonts w:hint="eastAsia"/>
          <w:lang w:eastAsia="ko-KR"/>
        </w:rPr>
        <w:t>T</w:t>
      </w:r>
      <w:r>
        <w:rPr>
          <w:lang w:eastAsia="ko-KR"/>
        </w:rPr>
        <w:t>raining Subjects</w:t>
      </w:r>
      <w:r w:rsidR="00A305F3">
        <w:rPr>
          <w:lang w:eastAsia="ko-KR"/>
        </w:rPr>
        <w:t xml:space="preserve"> (</w:t>
      </w:r>
      <w:r w:rsidR="00A305F3">
        <w:rPr>
          <w:rFonts w:hint="eastAsia"/>
          <w:lang w:eastAsia="ko-KR"/>
        </w:rPr>
        <w:t>IALA Level, National Level) Capacity Building</w:t>
      </w:r>
      <w:bookmarkStart w:id="0" w:name="_GoBack"/>
      <w:bookmarkEnd w:id="0"/>
    </w:p>
    <w:p w:rsidR="00DF0B5F" w:rsidRDefault="00DF0B5F" w:rsidP="00DF0B5F">
      <w:pPr>
        <w:pStyle w:val="a5"/>
        <w:numPr>
          <w:ilvl w:val="0"/>
          <w:numId w:val="1"/>
        </w:numPr>
      </w:pPr>
      <w:r>
        <w:rPr>
          <w:rFonts w:hint="eastAsia"/>
        </w:rPr>
        <w:t>Overview of S-100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 xml:space="preserve">S-100 infrastructure including </w:t>
      </w:r>
      <w:r>
        <w:rPr>
          <w:rFonts w:hint="eastAsia"/>
        </w:rPr>
        <w:t>Registry, FCB and PCB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 xml:space="preserve">S-100 Test bed 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>Overview of S-57 ENC and S-101 ENC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>S-201 Aton Data Model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>S-201 Product Specification Packages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rPr>
          <w:rFonts w:hint="eastAsia"/>
        </w:rPr>
        <w:t>Feature Catalogue, Portrayal Catalogue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>Metadata, Exchange set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>Encoding (GML)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rPr>
          <w:rFonts w:hint="eastAsia"/>
        </w:rPr>
        <w:t>Mapping table example using S-201 data model</w:t>
      </w:r>
    </w:p>
    <w:p w:rsidR="00DF0B5F" w:rsidRDefault="00DF0B5F" w:rsidP="00DF0B5F">
      <w:pPr>
        <w:pStyle w:val="a5"/>
        <w:numPr>
          <w:ilvl w:val="0"/>
          <w:numId w:val="1"/>
        </w:numPr>
      </w:pPr>
      <w:r>
        <w:t>Creation of S-201 Test dataset with XML editor</w:t>
      </w:r>
    </w:p>
    <w:p w:rsidR="00E30945" w:rsidRDefault="00E30945" w:rsidP="00DF0B5F"/>
    <w:p w:rsidR="001E77EC" w:rsidRDefault="001E77EC" w:rsidP="001E77EC">
      <w:r>
        <w:t>[Consider adding a flow diagram to show process and the recommended order of steps]</w:t>
      </w:r>
    </w:p>
    <w:p w:rsidR="00583ADE" w:rsidRPr="001E77EC" w:rsidRDefault="0076530D" w:rsidP="001E77EC"/>
    <w:sectPr w:rsidR="00583ADE" w:rsidRPr="001E77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30D" w:rsidRDefault="0076530D" w:rsidP="001E77EC">
      <w:pPr>
        <w:spacing w:after="0" w:line="240" w:lineRule="auto"/>
      </w:pPr>
      <w:r>
        <w:separator/>
      </w:r>
    </w:p>
  </w:endnote>
  <w:endnote w:type="continuationSeparator" w:id="0">
    <w:p w:rsidR="0076530D" w:rsidRDefault="0076530D" w:rsidP="001E7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30D" w:rsidRDefault="0076530D" w:rsidP="001E77EC">
      <w:pPr>
        <w:spacing w:after="0" w:line="240" w:lineRule="auto"/>
      </w:pPr>
      <w:r>
        <w:separator/>
      </w:r>
    </w:p>
  </w:footnote>
  <w:footnote w:type="continuationSeparator" w:id="0">
    <w:p w:rsidR="0076530D" w:rsidRDefault="0076530D" w:rsidP="001E7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E0207"/>
    <w:multiLevelType w:val="hybridMultilevel"/>
    <w:tmpl w:val="036CC87C"/>
    <w:lvl w:ilvl="0" w:tplc="A0EA9A2C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C966D4"/>
    <w:multiLevelType w:val="hybridMultilevel"/>
    <w:tmpl w:val="A9A80DEC"/>
    <w:lvl w:ilvl="0" w:tplc="CF185FA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A5D5D16"/>
    <w:multiLevelType w:val="hybridMultilevel"/>
    <w:tmpl w:val="8162F89E"/>
    <w:lvl w:ilvl="0" w:tplc="0FC446C0">
      <w:start w:val="19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968"/>
    <w:rsid w:val="000C4B2D"/>
    <w:rsid w:val="000F54F6"/>
    <w:rsid w:val="0017512F"/>
    <w:rsid w:val="00190515"/>
    <w:rsid w:val="001C720F"/>
    <w:rsid w:val="001E77EC"/>
    <w:rsid w:val="00234996"/>
    <w:rsid w:val="00237EE0"/>
    <w:rsid w:val="00287A89"/>
    <w:rsid w:val="00294BF4"/>
    <w:rsid w:val="002A7E91"/>
    <w:rsid w:val="00375CEF"/>
    <w:rsid w:val="00515A3D"/>
    <w:rsid w:val="00591E1D"/>
    <w:rsid w:val="005A4D68"/>
    <w:rsid w:val="005A7A84"/>
    <w:rsid w:val="005C0FBD"/>
    <w:rsid w:val="00690968"/>
    <w:rsid w:val="0076530D"/>
    <w:rsid w:val="00766CE4"/>
    <w:rsid w:val="008B3905"/>
    <w:rsid w:val="00966B7D"/>
    <w:rsid w:val="009B6051"/>
    <w:rsid w:val="00A040C7"/>
    <w:rsid w:val="00A305F3"/>
    <w:rsid w:val="00AE1AEE"/>
    <w:rsid w:val="00CB1A11"/>
    <w:rsid w:val="00DF0B5F"/>
    <w:rsid w:val="00E30945"/>
    <w:rsid w:val="00E4780E"/>
    <w:rsid w:val="00E723FA"/>
    <w:rsid w:val="00EB00B0"/>
    <w:rsid w:val="00F96263"/>
    <w:rsid w:val="00F9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C35C2"/>
  <w15:chartTrackingRefBased/>
  <w15:docId w15:val="{40513522-3B8C-4D6B-B287-CF2E90B5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77E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1E77EC"/>
  </w:style>
  <w:style w:type="paragraph" w:styleId="a4">
    <w:name w:val="footer"/>
    <w:basedOn w:val="a"/>
    <w:link w:val="Char0"/>
    <w:uiPriority w:val="99"/>
    <w:unhideWhenUsed/>
    <w:rsid w:val="001E77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1E77EC"/>
  </w:style>
  <w:style w:type="paragraph" w:styleId="a5">
    <w:name w:val="List Paragraph"/>
    <w:basedOn w:val="a"/>
    <w:uiPriority w:val="34"/>
    <w:qFormat/>
    <w:rsid w:val="001E77EC"/>
    <w:pPr>
      <w:spacing w:after="160" w:line="259" w:lineRule="auto"/>
      <w:ind w:left="720"/>
      <w:contextualSpacing/>
    </w:pPr>
    <w:rPr>
      <w:lang w:val="en-CA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870CC4-8EFD-4142-8B30-AA214FBA0368}"/>
</file>

<file path=customXml/itemProps2.xml><?xml version="1.0" encoding="utf-8"?>
<ds:datastoreItem xmlns:ds="http://schemas.openxmlformats.org/officeDocument/2006/customXml" ds:itemID="{3EE74EA2-72B0-4F7C-8E1D-1A194C9C14C3}"/>
</file>

<file path=customXml/itemProps3.xml><?xml version="1.0" encoding="utf-8"?>
<ds:datastoreItem xmlns:ds="http://schemas.openxmlformats.org/officeDocument/2006/customXml" ds:itemID="{900D9C08-1301-456B-90D8-41244790C8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Sewoong OH</cp:lastModifiedBy>
  <cp:revision>17</cp:revision>
  <dcterms:created xsi:type="dcterms:W3CDTF">2017-07-11T09:29:00Z</dcterms:created>
  <dcterms:modified xsi:type="dcterms:W3CDTF">2021-03-17T00:29:00Z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