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0A92736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80960">
        <w:rPr>
          <w:rFonts w:ascii="Calibri" w:hAnsi="Calibri"/>
        </w:rPr>
        <w:t>ARM1</w:t>
      </w:r>
      <w:r w:rsidR="00623822">
        <w:rPr>
          <w:rFonts w:ascii="Calibri" w:hAnsi="Calibri"/>
        </w:rPr>
        <w:t>3</w:t>
      </w:r>
      <w:r w:rsidRPr="007A395D">
        <w:rPr>
          <w:rFonts w:ascii="Calibri" w:hAnsi="Calibri"/>
        </w:rPr>
        <w:t>-</w:t>
      </w:r>
      <w:r w:rsidR="00197E2F">
        <w:rPr>
          <w:rFonts w:ascii="Calibri" w:hAnsi="Calibri"/>
        </w:rPr>
        <w:t>8.4.7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3009977" w:rsidR="0080294B" w:rsidRPr="007A395D" w:rsidRDefault="00DD1D10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EB26F2"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847C3A8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680960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341062B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97E2F">
        <w:rPr>
          <w:rFonts w:ascii="Calibri" w:hAnsi="Calibri"/>
        </w:rPr>
        <w:t>8.4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60BCC120" w14:textId="5BF6F3FE" w:rsidR="0080294B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B26F2">
        <w:rPr>
          <w:rFonts w:ascii="Calibri" w:hAnsi="Calibri"/>
        </w:rPr>
        <w:t>Eivind Mong / Canadian Coast Guard</w:t>
      </w:r>
      <w:r w:rsidR="00494F86">
        <w:rPr>
          <w:rFonts w:ascii="Calibri" w:hAnsi="Calibri"/>
        </w:rPr>
        <w:t>, Sewoong Oh / KRISO</w:t>
      </w:r>
    </w:p>
    <w:p w14:paraId="4834080C" w14:textId="3D7BED46" w:rsidR="00A446C9" w:rsidRPr="00605E43" w:rsidRDefault="00EB26F2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S-201 implementation and </w:t>
      </w:r>
      <w:r w:rsidR="00793660">
        <w:rPr>
          <w:rFonts w:ascii="Calibri" w:hAnsi="Calibri"/>
          <w:color w:val="0070C0"/>
        </w:rPr>
        <w:t>proposed improvements</w:t>
      </w:r>
    </w:p>
    <w:p w14:paraId="0F258596" w14:textId="64F5E249" w:rsidR="00A446C9" w:rsidRDefault="00A446C9" w:rsidP="00605E43">
      <w:pPr>
        <w:pStyle w:val="Heading1"/>
      </w:pPr>
      <w:r w:rsidRPr="00605E43">
        <w:t>Summary</w:t>
      </w:r>
    </w:p>
    <w:p w14:paraId="47F6F571" w14:textId="20AA62F0" w:rsidR="00E15980" w:rsidRPr="00E15980" w:rsidRDefault="00E15980" w:rsidP="00E15980">
      <w:pPr>
        <w:pStyle w:val="BodyText"/>
        <w:rPr>
          <w:lang w:eastAsia="de-DE"/>
        </w:rPr>
      </w:pPr>
      <w:r>
        <w:rPr>
          <w:lang w:eastAsia="de-DE"/>
        </w:rPr>
        <w:t>This paper propose specific changes to the</w:t>
      </w:r>
      <w:r w:rsidRPr="00E15980">
        <w:rPr>
          <w:lang w:eastAsia="de-DE"/>
        </w:rPr>
        <w:t xml:space="preserve"> </w:t>
      </w:r>
      <w:r>
        <w:rPr>
          <w:lang w:eastAsia="de-DE"/>
        </w:rPr>
        <w:t xml:space="preserve">data model of S-201 following discussions </w:t>
      </w:r>
      <w:r w:rsidR="009752F0">
        <w:rPr>
          <w:lang w:eastAsia="de-DE"/>
        </w:rPr>
        <w:t xml:space="preserve">at ARM12 </w:t>
      </w:r>
      <w:r>
        <w:rPr>
          <w:lang w:eastAsia="de-DE"/>
        </w:rPr>
        <w:t xml:space="preserve">on proposed exertions </w:t>
      </w:r>
      <w:r w:rsidR="009752F0">
        <w:rPr>
          <w:lang w:eastAsia="de-DE"/>
        </w:rPr>
        <w:t>found in S-201 implementation work in Canada and Republic of Korea.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7CE34A8" w:rsidR="00E55927" w:rsidRPr="007E3D23" w:rsidRDefault="00DB3BD8" w:rsidP="00E55927">
      <w:pPr>
        <w:pStyle w:val="BodyText"/>
      </w:pPr>
      <w:r w:rsidRPr="007E3D23">
        <w:t xml:space="preserve">This input paper intend to </w:t>
      </w:r>
      <w:r w:rsidR="00CD606E">
        <w:t xml:space="preserve">propose ways to implement the proposals listed in section 3.2 of </w:t>
      </w:r>
      <w:r w:rsidR="00CD606E" w:rsidRPr="00CD606E">
        <w:t>ARM12-8.5.1</w:t>
      </w:r>
      <w:r w:rsidR="00CD606E">
        <w:t xml:space="preserve">,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98EBB59" w:rsidR="00E55927" w:rsidRPr="00E1283D" w:rsidRDefault="00E954DE" w:rsidP="00E55927">
      <w:pPr>
        <w:pStyle w:val="BodyText"/>
      </w:pPr>
      <w:r w:rsidRPr="00E1283D">
        <w:t>S-201 Edition 1.0.0</w:t>
      </w:r>
    </w:p>
    <w:p w14:paraId="73B63951" w14:textId="39E786B2" w:rsidR="00CD606E" w:rsidRPr="00E1283D" w:rsidRDefault="00CD606E" w:rsidP="00E55927">
      <w:pPr>
        <w:pStyle w:val="BodyText"/>
      </w:pPr>
      <w:r w:rsidRPr="00E1283D">
        <w:t xml:space="preserve">ARM12-8.5.1 Input paper - Proposed S-201 </w:t>
      </w:r>
      <w:proofErr w:type="spellStart"/>
      <w:r w:rsidRPr="00E1283D">
        <w:t>extensions_final</w:t>
      </w:r>
      <w:proofErr w:type="spellEnd"/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6C1686D9" w:rsidR="00A446C9" w:rsidRPr="007E3D23" w:rsidRDefault="00E1283D" w:rsidP="007E3D23">
      <w:pPr>
        <w:pStyle w:val="BodyText"/>
      </w:pPr>
      <w:r>
        <w:t>At</w:t>
      </w:r>
      <w:r w:rsidR="00CD606E">
        <w:t xml:space="preserve"> ARM12,</w:t>
      </w:r>
      <w:r w:rsidR="00E954DE" w:rsidRPr="007E3D23">
        <w:t xml:space="preserve"> Canadian Coast Guard </w:t>
      </w:r>
      <w:r w:rsidR="00CD606E">
        <w:t>and Korean Ministry of Oceans and Fisheries/KRISO reported on our investigations of current databases and methodologies versus S-201 edition 1</w:t>
      </w:r>
      <w:r>
        <w:t>.0.0</w:t>
      </w:r>
      <w:r w:rsidR="00E954DE" w:rsidRPr="007E3D23">
        <w:t>. The</w:t>
      </w:r>
      <w:r w:rsidR="00CD606E">
        <w:t>se</w:t>
      </w:r>
      <w:r w:rsidR="00E954DE" w:rsidRPr="007E3D23">
        <w:t xml:space="preserve"> review</w:t>
      </w:r>
      <w:r w:rsidR="00CD606E">
        <w:t>s</w:t>
      </w:r>
      <w:r w:rsidR="00E954DE" w:rsidRPr="007E3D23">
        <w:t xml:space="preserve"> </w:t>
      </w:r>
      <w:r w:rsidR="00CD606E">
        <w:t xml:space="preserve">found some items lacking in the S-201 data model that would simplify their own integration of S-201. These were listed as potential extensions to the data model. Since ARM12 agreed that these extensions </w:t>
      </w:r>
      <w:r>
        <w:t>could be beneficial to S-201</w:t>
      </w:r>
      <w:r w:rsidR="00CD606E">
        <w:t>, the team has now drafted proposed ways to implement these changes in the data model.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4762189B" w14:textId="5B2A3127" w:rsidR="003C1B1F" w:rsidRDefault="00A060CD" w:rsidP="00793660">
      <w:r>
        <w:t>The items from the proposed extensions in the ARM12-8.5.1 paper</w:t>
      </w:r>
      <w:r w:rsidR="00E1283D">
        <w:t>,</w:t>
      </w:r>
      <w:r>
        <w:t xml:space="preserve"> have been listed </w:t>
      </w:r>
      <w:r w:rsidR="00E1283D" w:rsidRPr="00E1283D">
        <w:t xml:space="preserve">in Annex A </w:t>
      </w:r>
      <w:r>
        <w:t xml:space="preserve">with their proposed changes to the S-201 data model. An additional attribute has been proposed to the status attribute, which was not listed in the original proposal. This is the addition of the of </w:t>
      </w:r>
      <w:r w:rsidR="00125A06">
        <w:t xml:space="preserve">value </w:t>
      </w:r>
      <w:r w:rsidR="00125A06" w:rsidRPr="00125A06">
        <w:t>‘temporarily discontinued’</w:t>
      </w:r>
      <w:r w:rsidR="00125A06">
        <w:t>. Use and rational</w:t>
      </w:r>
      <w:r w:rsidR="00E1283D">
        <w:t xml:space="preserve"> for this additional enumeration value</w:t>
      </w:r>
      <w:r w:rsidR="00125A06">
        <w:t xml:space="preserve"> is detailed in </w:t>
      </w:r>
      <w:r w:rsidR="0033381E">
        <w:t>Annex A together with all proposed data model changes</w:t>
      </w:r>
      <w:r w:rsidR="00125A06">
        <w:t>.</w:t>
      </w:r>
    </w:p>
    <w:p w14:paraId="7CAC7ACF" w14:textId="7FF048A3" w:rsidR="00E1283D" w:rsidRDefault="00E1283D" w:rsidP="00793660"/>
    <w:p w14:paraId="401F95B8" w14:textId="02E78A7C" w:rsidR="00E1283D" w:rsidRDefault="00E1283D" w:rsidP="00793660">
      <w:r>
        <w:t>If these proposed changes are accepted, the team plans on updating the S-201 Data Capture and Encoding guide with corresponding material. Moreover, changes will also be reflected in the S-201 Feature Catalogue and GML schema.</w:t>
      </w:r>
    </w:p>
    <w:p w14:paraId="199AA10A" w14:textId="5C20B281" w:rsidR="00E15980" w:rsidRDefault="00E15980" w:rsidP="00793660"/>
    <w:p w14:paraId="0734BB5D" w14:textId="77777777" w:rsidR="00E15980" w:rsidRPr="007A395D" w:rsidRDefault="00E15980" w:rsidP="00E15980">
      <w:pPr>
        <w:pStyle w:val="Heading1"/>
      </w:pPr>
      <w:r w:rsidRPr="007A395D">
        <w:lastRenderedPageBreak/>
        <w:t>Action requested of the Committee</w:t>
      </w:r>
    </w:p>
    <w:p w14:paraId="0D0492B7" w14:textId="77777777" w:rsidR="00E15980" w:rsidRPr="00946DF5" w:rsidRDefault="00E15980" w:rsidP="00E15980">
      <w:pPr>
        <w:pStyle w:val="BodyText"/>
        <w:rPr>
          <w:rFonts w:cs="Arial"/>
        </w:rPr>
      </w:pPr>
      <w:r w:rsidRPr="00946DF5">
        <w:rPr>
          <w:rFonts w:cs="Arial"/>
        </w:rPr>
        <w:t xml:space="preserve">The Committee is requested to: </w:t>
      </w:r>
    </w:p>
    <w:p w14:paraId="037D253D" w14:textId="77777777" w:rsidR="00E15980" w:rsidRPr="00C411CF" w:rsidRDefault="00E15980" w:rsidP="00E15980">
      <w:pPr>
        <w:pStyle w:val="List1"/>
      </w:pPr>
      <w:r w:rsidRPr="00C411CF">
        <w:t>Note this paper</w:t>
      </w:r>
      <w:r>
        <w:t>.</w:t>
      </w:r>
    </w:p>
    <w:p w14:paraId="730A55D2" w14:textId="77777777" w:rsidR="00E15980" w:rsidRPr="007A395D" w:rsidRDefault="00E15980" w:rsidP="00E15980">
      <w:pPr>
        <w:pStyle w:val="List1"/>
        <w:rPr>
          <w:rFonts w:ascii="Calibri" w:hAnsi="Calibri"/>
        </w:rPr>
      </w:pPr>
      <w:r w:rsidRPr="007E3D23">
        <w:t xml:space="preserve">It is recommended that ARM review the proposals and </w:t>
      </w:r>
      <w:r>
        <w:t>assign actions as appropriate.</w:t>
      </w:r>
    </w:p>
    <w:p w14:paraId="6D6CEFB4" w14:textId="77777777" w:rsidR="00E15980" w:rsidRDefault="00E15980" w:rsidP="00793660"/>
    <w:p w14:paraId="1E5F35C8" w14:textId="6E8B501F" w:rsidR="00E15980" w:rsidRDefault="00E15980">
      <w:r>
        <w:rPr>
          <w:b/>
        </w:rPr>
        <w:br w:type="page"/>
      </w:r>
    </w:p>
    <w:p w14:paraId="718DB8C2" w14:textId="77777777" w:rsidR="0033381E" w:rsidRDefault="0033381E" w:rsidP="0033381E">
      <w:pPr>
        <w:pStyle w:val="Heading2"/>
        <w:numPr>
          <w:ilvl w:val="0"/>
          <w:numId w:val="0"/>
        </w:numPr>
        <w:ind w:left="851"/>
        <w:rPr>
          <w:rFonts w:ascii="Arial" w:hAnsi="Arial"/>
          <w:b w:val="0"/>
          <w:color w:val="auto"/>
          <w:sz w:val="22"/>
          <w:szCs w:val="22"/>
        </w:rPr>
      </w:pPr>
    </w:p>
    <w:p w14:paraId="7C5E1800" w14:textId="14336487" w:rsidR="00F25BF4" w:rsidRDefault="0033381E" w:rsidP="0033381E">
      <w:pPr>
        <w:pStyle w:val="Title"/>
      </w:pPr>
      <w:r w:rsidRPr="0033381E">
        <w:t xml:space="preserve">Annex A - </w:t>
      </w:r>
      <w:r w:rsidR="00494F86">
        <w:t xml:space="preserve">Proposed data model changes to </w:t>
      </w:r>
      <w:r w:rsidR="007E3D23">
        <w:t>S-201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87E3B" w:rsidRPr="00B01755" w14:paraId="3EBB3C68" w14:textId="77777777" w:rsidTr="00094D70">
        <w:tc>
          <w:tcPr>
            <w:tcW w:w="9350" w:type="dxa"/>
          </w:tcPr>
          <w:p w14:paraId="10211F91" w14:textId="77777777" w:rsidR="00D87E3B" w:rsidRPr="00B01755" w:rsidRDefault="00D87E3B" w:rsidP="00D87E3B">
            <w:pPr>
              <w:pStyle w:val="ListParagraph"/>
              <w:numPr>
                <w:ilvl w:val="0"/>
                <w:numId w:val="18"/>
              </w:numPr>
              <w:spacing w:after="160" w:line="259" w:lineRule="auto"/>
            </w:pPr>
            <w:r w:rsidRPr="00B01755">
              <w:t xml:space="preserve">Mooring component of buoys are not covered by S-201. Mooring components would include components like anchor/sinkers, chains/ropes, </w:t>
            </w:r>
            <w:proofErr w:type="gramStart"/>
            <w:r w:rsidRPr="00B01755">
              <w:t>swivels</w:t>
            </w:r>
            <w:proofErr w:type="gramEnd"/>
            <w:r w:rsidRPr="00B01755">
              <w:t xml:space="preserve"> and shackles. Attributes would include weight, material, </w:t>
            </w:r>
            <w:proofErr w:type="gramStart"/>
            <w:r w:rsidRPr="00B01755">
              <w:t>size</w:t>
            </w:r>
            <w:proofErr w:type="gramEnd"/>
            <w:r w:rsidRPr="00B01755">
              <w:t xml:space="preserve"> and length. It may also be important to model how the different components are combined.</w:t>
            </w:r>
          </w:p>
          <w:p w14:paraId="61C4C288" w14:textId="77777777" w:rsidR="00D87E3B" w:rsidRPr="00B01755" w:rsidRDefault="00D87E3B" w:rsidP="00D87E3B">
            <w:pPr>
              <w:pStyle w:val="ListParagraph"/>
              <w:numPr>
                <w:ilvl w:val="0"/>
                <w:numId w:val="18"/>
              </w:numPr>
              <w:spacing w:after="160" w:line="259" w:lineRule="auto"/>
            </w:pPr>
            <w:r w:rsidRPr="00B01755">
              <w:t xml:space="preserve">Buoy </w:t>
            </w:r>
            <w:proofErr w:type="gramStart"/>
            <w:r w:rsidRPr="00B01755">
              <w:t>counter weight</w:t>
            </w:r>
            <w:proofErr w:type="gramEnd"/>
            <w:r w:rsidRPr="00B01755">
              <w:t xml:space="preserve"> is not covered by S-201. There is external counterweight (balls) added by the ship crew on site and there is internal ones, rings at the base of the buoy. Maybe a distinction would be useful. Could be an attribute on the buoy or a new class or equipment. </w:t>
            </w:r>
          </w:p>
          <w:p w14:paraId="5467D8D6" w14:textId="77777777" w:rsidR="00D87E3B" w:rsidRPr="00446E15" w:rsidRDefault="00D87E3B" w:rsidP="00094D70">
            <w:pPr>
              <w:pStyle w:val="ListParagraph"/>
              <w:spacing w:after="160" w:line="259" w:lineRule="auto"/>
            </w:pPr>
          </w:p>
          <w:p w14:paraId="2EF66621" w14:textId="77777777" w:rsidR="00D87E3B" w:rsidRDefault="00D87E3B" w:rsidP="00094D70">
            <w:pPr>
              <w:spacing w:after="160" w:line="259" w:lineRule="auto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C883951" wp14:editId="110BDACE">
                  <wp:extent cx="5800367" cy="64287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4192" cy="643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B8D867" w14:textId="77777777" w:rsidR="00D87E3B" w:rsidRDefault="00D87E3B" w:rsidP="00D87E3B">
            <w:pPr>
              <w:pStyle w:val="ListParagraph"/>
              <w:numPr>
                <w:ilvl w:val="0"/>
                <w:numId w:val="19"/>
              </w:numPr>
              <w:spacing w:after="160" w:line="259" w:lineRule="auto"/>
            </w:pPr>
            <w:r w:rsidRPr="0042305D">
              <w:rPr>
                <w:b/>
              </w:rPr>
              <w:t>Action taken:</w:t>
            </w:r>
            <w:r>
              <w:t xml:space="preserve"> Added classes </w:t>
            </w:r>
            <w:proofErr w:type="spellStart"/>
            <w:r>
              <w:t>MooringShackle</w:t>
            </w:r>
            <w:proofErr w:type="spellEnd"/>
            <w:r>
              <w:t xml:space="preserve">, Bridle, Swivel, </w:t>
            </w:r>
            <w:proofErr w:type="spellStart"/>
            <w:r>
              <w:t>CableSubmarine</w:t>
            </w:r>
            <w:proofErr w:type="spellEnd"/>
            <w:r>
              <w:t xml:space="preserve"> (from S-57) and </w:t>
            </w:r>
            <w:proofErr w:type="spellStart"/>
            <w:r>
              <w:t>SinkerAnchor</w:t>
            </w:r>
            <w:proofErr w:type="spellEnd"/>
            <w:r>
              <w:t xml:space="preserve"> to account for the various components of floating aids mooring system.</w:t>
            </w:r>
          </w:p>
          <w:p w14:paraId="7752CE24" w14:textId="77777777" w:rsidR="00D87E3B" w:rsidRPr="00B01755" w:rsidRDefault="00D87E3B" w:rsidP="00D87E3B">
            <w:pPr>
              <w:pStyle w:val="ListParagraph"/>
              <w:numPr>
                <w:ilvl w:val="0"/>
                <w:numId w:val="19"/>
              </w:numPr>
              <w:spacing w:after="160" w:line="259" w:lineRule="auto"/>
            </w:pPr>
            <w:r w:rsidRPr="0042305D">
              <w:rPr>
                <w:b/>
              </w:rPr>
              <w:lastRenderedPageBreak/>
              <w:t>Action taken:</w:t>
            </w:r>
            <w:r>
              <w:t xml:space="preserve"> Added class </w:t>
            </w:r>
            <w:proofErr w:type="spellStart"/>
            <w:r>
              <w:t>CounterWeight</w:t>
            </w:r>
            <w:proofErr w:type="spellEnd"/>
            <w:r>
              <w:t xml:space="preserve"> to represent the floating aid </w:t>
            </w:r>
            <w:proofErr w:type="gramStart"/>
            <w:r>
              <w:t>counter weight</w:t>
            </w:r>
            <w:proofErr w:type="gramEnd"/>
            <w:r>
              <w:t xml:space="preserve"> component.</w:t>
            </w:r>
          </w:p>
        </w:tc>
      </w:tr>
      <w:tr w:rsidR="00D87E3B" w:rsidRPr="0042305D" w14:paraId="5FB21A68" w14:textId="77777777" w:rsidTr="00094D70">
        <w:tc>
          <w:tcPr>
            <w:tcW w:w="9350" w:type="dxa"/>
          </w:tcPr>
          <w:p w14:paraId="3009290A" w14:textId="77777777" w:rsidR="00D87E3B" w:rsidRDefault="00D87E3B" w:rsidP="00094D70">
            <w:proofErr w:type="spellStart"/>
            <w:r>
              <w:lastRenderedPageBreak/>
              <w:t>AtoN</w:t>
            </w:r>
            <w:proofErr w:type="spellEnd"/>
            <w:r>
              <w:t xml:space="preserve"> equipment sometimes has some required seasonal actions, </w:t>
            </w:r>
            <w:proofErr w:type="gramStart"/>
            <w:r>
              <w:t>e.g.</w:t>
            </w:r>
            <w:proofErr w:type="gramEnd"/>
            <w:r>
              <w:t xml:space="preserve"> remove lantern at end of season. To capture this, it would be beneficial to have an attribute on both structure and equipment.</w:t>
            </w:r>
          </w:p>
          <w:p w14:paraId="6A783481" w14:textId="77777777" w:rsidR="00D87E3B" w:rsidRDefault="00D87E3B" w:rsidP="00094D70"/>
          <w:p w14:paraId="20832AD5" w14:textId="77777777" w:rsidR="00D87E3B" w:rsidRDefault="00D87E3B" w:rsidP="00094D70">
            <w:r>
              <w:rPr>
                <w:noProof/>
                <w:lang w:val="en-US" w:eastAsia="en-US"/>
              </w:rPr>
              <w:drawing>
                <wp:inline distT="0" distB="0" distL="0" distR="0" wp14:anchorId="0ED5C66A" wp14:editId="3A297F1D">
                  <wp:extent cx="5445470" cy="3054350"/>
                  <wp:effectExtent l="0" t="0" r="317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0293" cy="305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0EEB6B" w14:textId="77777777" w:rsidR="00D87E3B" w:rsidRDefault="00D87E3B" w:rsidP="00094D70"/>
          <w:p w14:paraId="4E6A50FF" w14:textId="77777777" w:rsidR="00D87E3B" w:rsidRPr="0042305D" w:rsidRDefault="00D87E3B" w:rsidP="00094D70">
            <w:r w:rsidRPr="0042305D">
              <w:rPr>
                <w:b/>
              </w:rPr>
              <w:t>Action taken:</w:t>
            </w:r>
            <w:r>
              <w:rPr>
                <w:b/>
              </w:rPr>
              <w:t xml:space="preserve"> </w:t>
            </w:r>
            <w:r>
              <w:t xml:space="preserve">Added attribute </w:t>
            </w:r>
            <w:proofErr w:type="spellStart"/>
            <w:r>
              <w:t>seasonalActionRequired</w:t>
            </w:r>
            <w:proofErr w:type="spellEnd"/>
            <w:r>
              <w:t xml:space="preserve"> to the </w:t>
            </w:r>
            <w:proofErr w:type="spellStart"/>
            <w:r>
              <w:t>AidsToNavigation</w:t>
            </w:r>
            <w:proofErr w:type="spellEnd"/>
            <w:r>
              <w:t xml:space="preserve"> abstract class allowing all derived classes to inherit the attribute. </w:t>
            </w:r>
          </w:p>
        </w:tc>
      </w:tr>
      <w:tr w:rsidR="00D87E3B" w14:paraId="0F2DC36A" w14:textId="77777777" w:rsidTr="00094D70">
        <w:tc>
          <w:tcPr>
            <w:tcW w:w="9350" w:type="dxa"/>
          </w:tcPr>
          <w:p w14:paraId="4EABE478" w14:textId="77777777" w:rsidR="00D87E3B" w:rsidRDefault="00D87E3B" w:rsidP="00094D70">
            <w:pPr>
              <w:spacing w:after="160" w:line="259" w:lineRule="auto"/>
            </w:pPr>
            <w:r>
              <w:t xml:space="preserve">Currently it is possible to add some information about batteries. </w:t>
            </w:r>
            <w:proofErr w:type="gramStart"/>
            <w:r>
              <w:t>However</w:t>
            </w:r>
            <w:proofErr w:type="gramEnd"/>
            <w:r>
              <w:t xml:space="preserve"> a more comprehensive set of information on power source would be useful. Suggest </w:t>
            </w:r>
            <w:proofErr w:type="gramStart"/>
            <w:r>
              <w:t>to amend</w:t>
            </w:r>
            <w:proofErr w:type="gramEnd"/>
            <w:r>
              <w:t xml:space="preserve"> the model to add a power source attribute where, e.g. battery, diesel generator, solar, electrical service, etc details could be captured.</w:t>
            </w:r>
          </w:p>
          <w:p w14:paraId="33689D85" w14:textId="77777777" w:rsidR="00D87E3B" w:rsidRDefault="00D87E3B" w:rsidP="00094D70">
            <w:pPr>
              <w:spacing w:after="160" w:line="259" w:lineRule="auto"/>
            </w:pPr>
            <w:r>
              <w:rPr>
                <w:noProof/>
                <w:lang w:val="en-US" w:eastAsia="en-US"/>
              </w:rPr>
              <w:lastRenderedPageBreak/>
              <w:drawing>
                <wp:inline distT="0" distB="0" distL="0" distR="0" wp14:anchorId="64FE549F" wp14:editId="0C0156D8">
                  <wp:extent cx="5500167" cy="6127750"/>
                  <wp:effectExtent l="0" t="0" r="5715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3737" cy="6131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6FCD8F" w14:textId="77777777" w:rsidR="00D87E3B" w:rsidRDefault="00D87E3B" w:rsidP="00094D70">
            <w:pPr>
              <w:spacing w:after="160" w:line="259" w:lineRule="auto"/>
            </w:pPr>
            <w:r w:rsidRPr="0042305D">
              <w:rPr>
                <w:b/>
              </w:rPr>
              <w:t>Action taken:</w:t>
            </w:r>
            <w:r>
              <w:t xml:space="preserve"> Added class </w:t>
            </w:r>
            <w:proofErr w:type="spellStart"/>
            <w:r>
              <w:t>PowerSource</w:t>
            </w:r>
            <w:proofErr w:type="spellEnd"/>
            <w:r>
              <w:t xml:space="preserve"> deriving from the abstract class Equipment to hold information about an aid’s power source.</w:t>
            </w:r>
          </w:p>
        </w:tc>
      </w:tr>
      <w:tr w:rsidR="00D87E3B" w:rsidRPr="00336CC4" w14:paraId="48B74161" w14:textId="77777777" w:rsidTr="00094D70">
        <w:tc>
          <w:tcPr>
            <w:tcW w:w="9350" w:type="dxa"/>
          </w:tcPr>
          <w:p w14:paraId="69AE7287" w14:textId="77777777" w:rsidR="00D87E3B" w:rsidRPr="00336CC4" w:rsidRDefault="00D87E3B" w:rsidP="00D87E3B">
            <w:pPr>
              <w:pStyle w:val="ListParagraph"/>
              <w:numPr>
                <w:ilvl w:val="0"/>
                <w:numId w:val="17"/>
              </w:numPr>
              <w:spacing w:after="160" w:line="259" w:lineRule="auto"/>
            </w:pPr>
            <w:r w:rsidRPr="00336CC4">
              <w:lastRenderedPageBreak/>
              <w:t xml:space="preserve">Mooring buoys are not covered by S-201, only mark indicating moorings. Suggest </w:t>
            </w:r>
            <w:proofErr w:type="gramStart"/>
            <w:r w:rsidRPr="00336CC4">
              <w:t>to add</w:t>
            </w:r>
            <w:proofErr w:type="gramEnd"/>
            <w:r w:rsidRPr="00336CC4">
              <w:t xml:space="preserve"> mooring buoys (MORFAC in S-57). </w:t>
            </w:r>
          </w:p>
          <w:p w14:paraId="646C87A6" w14:textId="77777777" w:rsidR="00D87E3B" w:rsidRDefault="00D87E3B" w:rsidP="00D87E3B">
            <w:pPr>
              <w:pStyle w:val="ListParagraph"/>
              <w:numPr>
                <w:ilvl w:val="0"/>
                <w:numId w:val="17"/>
              </w:numPr>
              <w:spacing w:after="160" w:line="259" w:lineRule="auto"/>
            </w:pPr>
            <w:r>
              <w:t>Add emergency wreck marking buoy to S-201. Could be added as a separate class or as a category of special purpose mark. S-57 does not support this, while S-101 has added it as a new class. Propose to align with S-101 methodology.</w:t>
            </w:r>
          </w:p>
          <w:p w14:paraId="329CC6A5" w14:textId="77777777" w:rsidR="00D87E3B" w:rsidRDefault="00D87E3B" w:rsidP="00094D70">
            <w:pPr>
              <w:spacing w:after="160" w:line="259" w:lineRule="auto"/>
              <w:ind w:left="360"/>
            </w:pPr>
            <w:r>
              <w:rPr>
                <w:noProof/>
                <w:lang w:val="en-US" w:eastAsia="en-US"/>
              </w:rPr>
              <w:lastRenderedPageBreak/>
              <w:drawing>
                <wp:inline distT="0" distB="0" distL="0" distR="0" wp14:anchorId="2A6D5258" wp14:editId="3EFCC473">
                  <wp:extent cx="5481220" cy="5340091"/>
                  <wp:effectExtent l="0" t="0" r="571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5661" cy="5354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7D6B87" w14:textId="77777777" w:rsidR="00D87E3B" w:rsidRDefault="00D87E3B" w:rsidP="00D87E3B">
            <w:pPr>
              <w:pStyle w:val="ListParagraph"/>
              <w:numPr>
                <w:ilvl w:val="0"/>
                <w:numId w:val="20"/>
              </w:numPr>
              <w:spacing w:after="160" w:line="259" w:lineRule="auto"/>
            </w:pPr>
            <w:r w:rsidRPr="0042305D">
              <w:rPr>
                <w:b/>
              </w:rPr>
              <w:t>Action taken:</w:t>
            </w:r>
            <w:r>
              <w:t xml:space="preserve"> Added </w:t>
            </w:r>
            <w:proofErr w:type="spellStart"/>
            <w:r>
              <w:t>MooringWrapingFacility</w:t>
            </w:r>
            <w:proofErr w:type="spellEnd"/>
            <w:r>
              <w:t xml:space="preserve"> (from S-57) to support mooring buoys. Class has been constrained to only permit the category mooring buoy.</w:t>
            </w:r>
          </w:p>
          <w:p w14:paraId="3D92EDBD" w14:textId="77777777" w:rsidR="00D87E3B" w:rsidRPr="00336CC4" w:rsidRDefault="00D87E3B" w:rsidP="00D87E3B">
            <w:pPr>
              <w:pStyle w:val="ListParagraph"/>
              <w:numPr>
                <w:ilvl w:val="0"/>
                <w:numId w:val="20"/>
              </w:numPr>
              <w:spacing w:after="160" w:line="259" w:lineRule="auto"/>
            </w:pPr>
            <w:r w:rsidRPr="0042305D">
              <w:rPr>
                <w:b/>
              </w:rPr>
              <w:t>Action taken:</w:t>
            </w:r>
            <w:r>
              <w:t xml:space="preserve"> Added </w:t>
            </w:r>
            <w:proofErr w:type="spellStart"/>
            <w:r>
              <w:t>BuoyEmergencyWreckMarking</w:t>
            </w:r>
            <w:proofErr w:type="spellEnd"/>
            <w:r>
              <w:t xml:space="preserve"> (from S-101) to support emergency wreck buoys.</w:t>
            </w:r>
          </w:p>
        </w:tc>
      </w:tr>
      <w:tr w:rsidR="00D87E3B" w14:paraId="3E5C46E7" w14:textId="77777777" w:rsidTr="00094D70">
        <w:tc>
          <w:tcPr>
            <w:tcW w:w="9350" w:type="dxa"/>
          </w:tcPr>
          <w:p w14:paraId="3953F849" w14:textId="77777777" w:rsidR="00D87E3B" w:rsidRDefault="00D87E3B" w:rsidP="00094D70">
            <w:pPr>
              <w:spacing w:after="160" w:line="259" w:lineRule="auto"/>
            </w:pPr>
            <w:r>
              <w:lastRenderedPageBreak/>
              <w:t xml:space="preserve">To add emphasis some of our </w:t>
            </w:r>
            <w:proofErr w:type="spellStart"/>
            <w:r>
              <w:t>AtoN</w:t>
            </w:r>
            <w:proofErr w:type="spellEnd"/>
            <w:r>
              <w:t xml:space="preserve"> have fluorescent</w:t>
            </w:r>
            <w:r w:rsidDel="001D03A7">
              <w:t xml:space="preserve"> </w:t>
            </w:r>
            <w:r>
              <w:t xml:space="preserve">colour. Suggest </w:t>
            </w:r>
            <w:proofErr w:type="gramStart"/>
            <w:r>
              <w:t>to add</w:t>
            </w:r>
            <w:proofErr w:type="gramEnd"/>
            <w:r>
              <w:t xml:space="preserve"> attributes to indicate a colour being florescence.</w:t>
            </w:r>
          </w:p>
          <w:p w14:paraId="6568DE63" w14:textId="77777777" w:rsidR="00D87E3B" w:rsidRDefault="00D87E3B" w:rsidP="00094D70">
            <w:pPr>
              <w:spacing w:after="160" w:line="259" w:lineRule="auto"/>
            </w:pPr>
            <w:r>
              <w:rPr>
                <w:noProof/>
                <w:lang w:val="en-US" w:eastAsia="en-US"/>
              </w:rPr>
              <w:lastRenderedPageBreak/>
              <w:drawing>
                <wp:inline distT="0" distB="0" distL="0" distR="0" wp14:anchorId="02093863" wp14:editId="36C4E1D1">
                  <wp:extent cx="2142857" cy="416190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857" cy="41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285BF4" w14:textId="77777777" w:rsidR="00D87E3B" w:rsidRDefault="00D87E3B" w:rsidP="00094D70">
            <w:pPr>
              <w:spacing w:after="160" w:line="259" w:lineRule="auto"/>
            </w:pPr>
            <w:r w:rsidRPr="0042305D">
              <w:rPr>
                <w:b/>
              </w:rPr>
              <w:t>Action taken:</w:t>
            </w:r>
            <w:r>
              <w:t xml:space="preserve"> Added fluorescent white, fluorescent red, fluorescent </w:t>
            </w:r>
            <w:proofErr w:type="gramStart"/>
            <w:r>
              <w:t>green</w:t>
            </w:r>
            <w:proofErr w:type="gramEnd"/>
            <w:r>
              <w:t xml:space="preserve"> and fluorescent orange to </w:t>
            </w:r>
            <w:r w:rsidRPr="00336CC4">
              <w:t xml:space="preserve">the list since this </w:t>
            </w:r>
            <w:r>
              <w:t xml:space="preserve">method </w:t>
            </w:r>
            <w:r w:rsidRPr="00336CC4">
              <w:t>will allow the modelling to remain consistent with both S-57 and S-101.</w:t>
            </w:r>
          </w:p>
        </w:tc>
      </w:tr>
      <w:tr w:rsidR="00D87E3B" w14:paraId="77EFF758" w14:textId="77777777" w:rsidTr="00094D70">
        <w:tc>
          <w:tcPr>
            <w:tcW w:w="9350" w:type="dxa"/>
          </w:tcPr>
          <w:p w14:paraId="7518ECA6" w14:textId="77777777" w:rsidR="00D87E3B" w:rsidRDefault="00D87E3B" w:rsidP="00094D70">
            <w:pPr>
              <w:spacing w:after="160" w:line="259" w:lineRule="auto"/>
            </w:pPr>
            <w:r>
              <w:lastRenderedPageBreak/>
              <w:t xml:space="preserve">Sometimes the colour pattern on an </w:t>
            </w:r>
            <w:proofErr w:type="spellStart"/>
            <w:r>
              <w:t>AtoN</w:t>
            </w:r>
            <w:proofErr w:type="spellEnd"/>
            <w:r>
              <w:t xml:space="preserve"> is non-standard, and it would be good to have an option in the </w:t>
            </w:r>
            <w:proofErr w:type="spellStart"/>
            <w:r>
              <w:t>colourPattern</w:t>
            </w:r>
            <w:proofErr w:type="spellEnd"/>
            <w:r>
              <w:t xml:space="preserve"> attribute to indicate this. Could be combined with an indication of looking to information attribute for additional information. The attribute ‘</w:t>
            </w:r>
            <w:proofErr w:type="spellStart"/>
            <w:r w:rsidRPr="0096156B">
              <w:t>topmarkDaymarkShape</w:t>
            </w:r>
            <w:proofErr w:type="spellEnd"/>
            <w:r>
              <w:t>’ already does something similar.</w:t>
            </w:r>
          </w:p>
          <w:p w14:paraId="583BA041" w14:textId="77777777" w:rsidR="00D87E3B" w:rsidRDefault="00D87E3B" w:rsidP="00094D70">
            <w:pPr>
              <w:spacing w:after="160" w:line="259" w:lineRule="auto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A17DD14" wp14:editId="4089240E">
                  <wp:extent cx="2733333" cy="3019048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3333" cy="3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7FB283" w14:textId="77777777" w:rsidR="00D87E3B" w:rsidRDefault="00D87E3B" w:rsidP="00094D70">
            <w:pPr>
              <w:spacing w:after="160" w:line="259" w:lineRule="auto"/>
            </w:pPr>
            <w:r w:rsidRPr="0042305D">
              <w:rPr>
                <w:b/>
              </w:rPr>
              <w:t xml:space="preserve">Action </w:t>
            </w:r>
            <w:proofErr w:type="gramStart"/>
            <w:r w:rsidRPr="0042305D">
              <w:rPr>
                <w:b/>
              </w:rPr>
              <w:t>taken:</w:t>
            </w:r>
            <w:proofErr w:type="gramEnd"/>
            <w:r>
              <w:rPr>
                <w:b/>
              </w:rPr>
              <w:t xml:space="preserve"> </w:t>
            </w:r>
            <w:r>
              <w:t>other pattern value added to allow for patters that do not match the pre-configured list between model updates. S-201 DCEG should be updated with instructions on how to use this attribute.</w:t>
            </w:r>
          </w:p>
        </w:tc>
      </w:tr>
      <w:tr w:rsidR="00D87E3B" w:rsidRPr="00A70527" w14:paraId="5EDEB747" w14:textId="77777777" w:rsidTr="00094D70">
        <w:tc>
          <w:tcPr>
            <w:tcW w:w="9350" w:type="dxa"/>
          </w:tcPr>
          <w:p w14:paraId="4BF0EE2C" w14:textId="77777777" w:rsidR="00D87E3B" w:rsidRDefault="00D87E3B" w:rsidP="00D87E3B">
            <w:pPr>
              <w:pStyle w:val="ListParagraph"/>
              <w:numPr>
                <w:ilvl w:val="0"/>
                <w:numId w:val="21"/>
              </w:numPr>
              <w:spacing w:after="160" w:line="259" w:lineRule="auto"/>
            </w:pPr>
            <w:r w:rsidRPr="00A70527">
              <w:lastRenderedPageBreak/>
              <w:t>It would be helpful to add an option to capture day board (Daymark) orientation from true north.</w:t>
            </w:r>
          </w:p>
          <w:p w14:paraId="74EDDA7C" w14:textId="77777777" w:rsidR="00D87E3B" w:rsidRPr="00A70527" w:rsidRDefault="00D87E3B" w:rsidP="00D87E3B">
            <w:pPr>
              <w:pStyle w:val="ListParagraph"/>
              <w:numPr>
                <w:ilvl w:val="0"/>
                <w:numId w:val="21"/>
              </w:numPr>
              <w:spacing w:after="160" w:line="259" w:lineRule="auto"/>
            </w:pPr>
            <w:r>
              <w:t>Daymarks can be solid or slatted, should this be added as a Boolean attribute or does it need to also include the ratio between board and spacing?</w:t>
            </w:r>
          </w:p>
          <w:p w14:paraId="63E3B258" w14:textId="77777777" w:rsidR="00D87E3B" w:rsidRDefault="00D87E3B" w:rsidP="00094D70">
            <w:pPr>
              <w:spacing w:after="160" w:line="259" w:lineRule="auto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838F41E" wp14:editId="6BFA043A">
                  <wp:extent cx="5266667" cy="383809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6667" cy="38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3DB801" w14:textId="77777777" w:rsidR="00D87E3B" w:rsidRDefault="00D87E3B" w:rsidP="00D87E3B">
            <w:pPr>
              <w:pStyle w:val="ListParagraph"/>
              <w:numPr>
                <w:ilvl w:val="0"/>
                <w:numId w:val="22"/>
              </w:numPr>
              <w:spacing w:after="160" w:line="259" w:lineRule="auto"/>
            </w:pPr>
            <w:r w:rsidRPr="0042305D">
              <w:rPr>
                <w:b/>
              </w:rPr>
              <w:t>Action taken:</w:t>
            </w:r>
            <w:r>
              <w:rPr>
                <w:b/>
              </w:rPr>
              <w:t xml:space="preserve"> </w:t>
            </w:r>
            <w:r>
              <w:t xml:space="preserve">Orientation attribute added to capture </w:t>
            </w:r>
            <w:proofErr w:type="spellStart"/>
            <w:r>
              <w:t>dayboard</w:t>
            </w:r>
            <w:proofErr w:type="spellEnd"/>
            <w:r>
              <w:t xml:space="preserve"> orientation from true north. </w:t>
            </w:r>
          </w:p>
          <w:p w14:paraId="27C8D6A1" w14:textId="77777777" w:rsidR="00D87E3B" w:rsidRPr="00A70527" w:rsidRDefault="00D87E3B" w:rsidP="00D87E3B">
            <w:pPr>
              <w:pStyle w:val="ListParagraph"/>
              <w:numPr>
                <w:ilvl w:val="0"/>
                <w:numId w:val="22"/>
              </w:numPr>
              <w:spacing w:after="160" w:line="259" w:lineRule="auto"/>
            </w:pPr>
            <w:r w:rsidRPr="0042305D">
              <w:rPr>
                <w:b/>
              </w:rPr>
              <w:t>Action taken:</w:t>
            </w:r>
            <w:r>
              <w:rPr>
                <w:b/>
              </w:rPr>
              <w:t xml:space="preserve"> </w:t>
            </w:r>
            <w:proofErr w:type="spellStart"/>
            <w:r>
              <w:t>isSlatted</w:t>
            </w:r>
            <w:proofErr w:type="spellEnd"/>
            <w:r>
              <w:t xml:space="preserve"> </w:t>
            </w:r>
            <w:proofErr w:type="spellStart"/>
            <w:r>
              <w:t>boolean</w:t>
            </w:r>
            <w:proofErr w:type="spellEnd"/>
            <w:r>
              <w:t xml:space="preserve"> attribute added to indicate if </w:t>
            </w:r>
            <w:proofErr w:type="spellStart"/>
            <w:r>
              <w:t>dayboard</w:t>
            </w:r>
            <w:proofErr w:type="spellEnd"/>
            <w:r>
              <w:t xml:space="preserve"> is solid or not.</w:t>
            </w:r>
          </w:p>
        </w:tc>
      </w:tr>
      <w:tr w:rsidR="00D87E3B" w14:paraId="6806D01C" w14:textId="77777777" w:rsidTr="00094D70">
        <w:tc>
          <w:tcPr>
            <w:tcW w:w="9350" w:type="dxa"/>
          </w:tcPr>
          <w:p w14:paraId="212A0200" w14:textId="77777777" w:rsidR="00D87E3B" w:rsidRDefault="00D87E3B" w:rsidP="00094D70">
            <w:pPr>
              <w:spacing w:after="160" w:line="259" w:lineRule="auto"/>
            </w:pPr>
            <w:r>
              <w:t>Lights are often specified using target candela. An attribute to capture this in the Lights class would be beneficial.</w:t>
            </w:r>
          </w:p>
          <w:p w14:paraId="639B805B" w14:textId="77777777" w:rsidR="00D87E3B" w:rsidRDefault="00D87E3B" w:rsidP="00094D70">
            <w:pPr>
              <w:spacing w:after="160" w:line="259" w:lineRule="auto"/>
            </w:pPr>
            <w:r>
              <w:rPr>
                <w:noProof/>
                <w:lang w:val="en-US" w:eastAsia="en-US"/>
              </w:rPr>
              <w:lastRenderedPageBreak/>
              <w:drawing>
                <wp:inline distT="0" distB="0" distL="0" distR="0" wp14:anchorId="71812366" wp14:editId="0237E37D">
                  <wp:extent cx="4866667" cy="536190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6667" cy="53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981267" w14:textId="77777777" w:rsidR="00D87E3B" w:rsidRDefault="00D87E3B" w:rsidP="00094D70">
            <w:pPr>
              <w:spacing w:after="160" w:line="259" w:lineRule="auto"/>
            </w:pPr>
            <w:r w:rsidRPr="0042305D">
              <w:rPr>
                <w:b/>
              </w:rPr>
              <w:t>Action taken:</w:t>
            </w:r>
            <w:r>
              <w:t xml:space="preserve"> </w:t>
            </w:r>
            <w:r w:rsidRPr="00A70527">
              <w:t>Added attribute candela to hold the candela value of the light emitted.</w:t>
            </w:r>
          </w:p>
        </w:tc>
      </w:tr>
      <w:tr w:rsidR="00D87E3B" w14:paraId="603BC35F" w14:textId="77777777" w:rsidTr="00094D70">
        <w:tc>
          <w:tcPr>
            <w:tcW w:w="9350" w:type="dxa"/>
          </w:tcPr>
          <w:p w14:paraId="686AA214" w14:textId="77777777" w:rsidR="00D87E3B" w:rsidRDefault="00D87E3B" w:rsidP="00094D70">
            <w:pPr>
              <w:spacing w:after="160" w:line="259" w:lineRule="auto"/>
            </w:pPr>
            <w:r>
              <w:lastRenderedPageBreak/>
              <w:t>Consider a review of the ‘</w:t>
            </w:r>
            <w:proofErr w:type="spellStart"/>
            <w:r>
              <w:t>remotelyMonitored</w:t>
            </w:r>
            <w:proofErr w:type="spellEnd"/>
            <w:r>
              <w:t xml:space="preserve">’ attribute and ‘status’ values ‘watched’ and ‘unwatched’. These seem to overlap </w:t>
            </w:r>
            <w:proofErr w:type="gramStart"/>
            <w:r>
              <w:t>somewhat</w:t>
            </w:r>
            <w:proofErr w:type="gramEnd"/>
            <w:r>
              <w:t xml:space="preserve"> and it would be beneficial to harmonize these with sufficient use guidance added.</w:t>
            </w:r>
          </w:p>
          <w:p w14:paraId="5DD8C649" w14:textId="77777777" w:rsidR="00D87E3B" w:rsidRDefault="00D87E3B" w:rsidP="00094D70">
            <w:pPr>
              <w:spacing w:after="160" w:line="259" w:lineRule="auto"/>
            </w:pPr>
            <w:r w:rsidRPr="0042305D">
              <w:rPr>
                <w:b/>
              </w:rPr>
              <w:t>Action taken:</w:t>
            </w:r>
            <w:r>
              <w:rPr>
                <w:b/>
              </w:rPr>
              <w:t xml:space="preserve"> </w:t>
            </w:r>
            <w:r w:rsidRPr="004D05F3">
              <w:t>None</w:t>
            </w:r>
            <w:r>
              <w:t>, think additional guidance in DCEG is best action.</w:t>
            </w:r>
          </w:p>
        </w:tc>
      </w:tr>
      <w:tr w:rsidR="00D87E3B" w:rsidRPr="00D25BF6" w14:paraId="601E810C" w14:textId="77777777" w:rsidTr="00094D70">
        <w:tc>
          <w:tcPr>
            <w:tcW w:w="9350" w:type="dxa"/>
          </w:tcPr>
          <w:p w14:paraId="6FC30015" w14:textId="77777777" w:rsidR="00D87E3B" w:rsidRDefault="00D87E3B" w:rsidP="00094D70">
            <w:pPr>
              <w:spacing w:after="160" w:line="259" w:lineRule="auto"/>
            </w:pPr>
            <w:r>
              <w:t>Consider adding means to capture buoy fixing methods and positioning information.</w:t>
            </w:r>
          </w:p>
          <w:p w14:paraId="26E7070A" w14:textId="4F50EA61" w:rsidR="00D87E3B" w:rsidRDefault="000F7968" w:rsidP="00094D70">
            <w:pPr>
              <w:spacing w:after="160" w:line="259" w:lineRule="auto"/>
            </w:pPr>
            <w:r>
              <w:rPr>
                <w:noProof/>
                <w:lang w:val="en-US" w:eastAsia="en-US"/>
              </w:rPr>
              <w:lastRenderedPageBreak/>
              <w:drawing>
                <wp:inline distT="0" distB="0" distL="0" distR="0" wp14:anchorId="6E3C6D8B" wp14:editId="5FEEC287">
                  <wp:extent cx="5642439" cy="40208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9433" cy="4032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05C335" w14:textId="77777777" w:rsidR="00D87E3B" w:rsidRPr="00D25BF6" w:rsidRDefault="00D87E3B" w:rsidP="00094D70">
            <w:pPr>
              <w:spacing w:after="160" w:line="259" w:lineRule="auto"/>
              <w:rPr>
                <w:b/>
              </w:rPr>
            </w:pPr>
            <w:r w:rsidRPr="00D25BF6">
              <w:rPr>
                <w:b/>
              </w:rPr>
              <w:t>Action taken:</w:t>
            </w:r>
            <w:r w:rsidRPr="00DC0AC9">
              <w:t xml:space="preserve"> Added</w:t>
            </w:r>
            <w:r>
              <w:t xml:space="preserve"> an information type class to describe </w:t>
            </w:r>
            <w:proofErr w:type="spellStart"/>
            <w:r>
              <w:t>AtoNFixingMethod</w:t>
            </w:r>
            <w:proofErr w:type="spellEnd"/>
            <w:r>
              <w:t xml:space="preserve"> and allow for described methods to be shared among </w:t>
            </w:r>
            <w:proofErr w:type="spellStart"/>
            <w:r>
              <w:t>AtoNs</w:t>
            </w:r>
            <w:proofErr w:type="spellEnd"/>
            <w:r>
              <w:t>.</w:t>
            </w:r>
          </w:p>
        </w:tc>
      </w:tr>
      <w:tr w:rsidR="00D87E3B" w14:paraId="423D5879" w14:textId="77777777" w:rsidTr="00094D70">
        <w:tc>
          <w:tcPr>
            <w:tcW w:w="9350" w:type="dxa"/>
          </w:tcPr>
          <w:p w14:paraId="0D499D6D" w14:textId="77777777" w:rsidR="00D87E3B" w:rsidRDefault="00D87E3B" w:rsidP="00094D70">
            <w:pPr>
              <w:spacing w:after="160" w:line="259" w:lineRule="auto"/>
            </w:pPr>
            <w:r>
              <w:lastRenderedPageBreak/>
              <w:t xml:space="preserve">We frequently test </w:t>
            </w:r>
            <w:proofErr w:type="spellStart"/>
            <w:r>
              <w:t>AtoN</w:t>
            </w:r>
            <w:proofErr w:type="spellEnd"/>
            <w:r>
              <w:t xml:space="preserve"> equipment. During </w:t>
            </w:r>
            <w:proofErr w:type="gramStart"/>
            <w:r>
              <w:t>tests</w:t>
            </w:r>
            <w:proofErr w:type="gramEnd"/>
            <w:r>
              <w:t xml:space="preserve"> the aid and or equipment being tested may not be in a full operation capacity and the reliability may be less than other aids. It would be useful to add </w:t>
            </w:r>
            <w:r w:rsidRPr="00C411CF">
              <w:rPr>
                <w:lang w:val="en-US"/>
              </w:rPr>
              <w:t>‘</w:t>
            </w:r>
            <w:r>
              <w:t>experimental’ as a value in the ‘status’ enumeration to capture that an aid is experimental.</w:t>
            </w:r>
          </w:p>
          <w:p w14:paraId="5C291FEF" w14:textId="77777777" w:rsidR="00D87E3B" w:rsidRDefault="00D87E3B" w:rsidP="00094D70">
            <w:pPr>
              <w:spacing w:after="160" w:line="259" w:lineRule="auto"/>
            </w:pPr>
            <w:r>
              <w:rPr>
                <w:noProof/>
                <w:lang w:val="en-US" w:eastAsia="en-US"/>
              </w:rPr>
              <w:lastRenderedPageBreak/>
              <w:drawing>
                <wp:inline distT="0" distB="0" distL="0" distR="0" wp14:anchorId="6BACFFEB" wp14:editId="66E2CD62">
                  <wp:extent cx="4752381" cy="5485714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381" cy="54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BAFCA6" w14:textId="77777777" w:rsidR="00D87E3B" w:rsidRDefault="00D87E3B" w:rsidP="00094D70">
            <w:pPr>
              <w:spacing w:after="160" w:line="259" w:lineRule="auto"/>
            </w:pPr>
            <w:r w:rsidRPr="00D25BF6">
              <w:rPr>
                <w:b/>
              </w:rPr>
              <w:t>Action taken:</w:t>
            </w:r>
            <w:r w:rsidRPr="007418C1">
              <w:t xml:space="preserve"> Added</w:t>
            </w:r>
            <w:r>
              <w:t xml:space="preserve"> value ‘experimental’ to cover trials and experiments</w:t>
            </w:r>
          </w:p>
          <w:p w14:paraId="107B4A91" w14:textId="77777777" w:rsidR="00D87E3B" w:rsidRDefault="00D87E3B" w:rsidP="00094D70">
            <w:pPr>
              <w:spacing w:after="160" w:line="259" w:lineRule="auto"/>
            </w:pPr>
            <w:r w:rsidRPr="00B40F9D">
              <w:rPr>
                <w:b/>
              </w:rPr>
              <w:t>Action Taken:</w:t>
            </w:r>
            <w:r>
              <w:t xml:space="preserve"> </w:t>
            </w:r>
            <w:r w:rsidRPr="007418C1">
              <w:t>Added</w:t>
            </w:r>
            <w:r>
              <w:t xml:space="preserve"> value ‘</w:t>
            </w:r>
            <w:r w:rsidRPr="00B40F9D">
              <w:t>temporarily discontinued</w:t>
            </w:r>
            <w:r>
              <w:t xml:space="preserve">’; </w:t>
            </w:r>
            <w:r w:rsidRPr="00E503DD">
              <w:t xml:space="preserve">should be used when a service </w:t>
            </w:r>
            <w:r>
              <w:t>is</w:t>
            </w:r>
            <w:r w:rsidRPr="00E503DD">
              <w:t xml:space="preserve"> intentionally stop</w:t>
            </w:r>
            <w:r>
              <w:t xml:space="preserve">ped </w:t>
            </w:r>
            <w:r w:rsidRPr="00E503DD">
              <w:t xml:space="preserve">with the expectation of restarting that same service in the future. </w:t>
            </w:r>
            <w:r>
              <w:t xml:space="preserve">This action is taken when an aid needs to be discontinued temporarily, during its operating season, such as due to changes beyond </w:t>
            </w:r>
            <w:proofErr w:type="spellStart"/>
            <w:r>
              <w:t>AtoN</w:t>
            </w:r>
            <w:proofErr w:type="spellEnd"/>
            <w:r>
              <w:t xml:space="preserve"> authority control, often while a review is being completed. For example, planned </w:t>
            </w:r>
            <w:r w:rsidRPr="007F6DCE">
              <w:t>maintenance</w:t>
            </w:r>
            <w:r>
              <w:t xml:space="preserve"> and</w:t>
            </w:r>
            <w:r w:rsidRPr="007F6DCE">
              <w:t xml:space="preserve"> reconstruction</w:t>
            </w:r>
            <w:r>
              <w:t>. This is distinctive from equipment failures.</w:t>
            </w:r>
          </w:p>
          <w:p w14:paraId="64E8637B" w14:textId="77777777" w:rsidR="00D87E3B" w:rsidRDefault="00D87E3B" w:rsidP="00094D70">
            <w:pPr>
              <w:spacing w:after="160" w:line="259" w:lineRule="auto"/>
            </w:pPr>
            <w:r>
              <w:t xml:space="preserve">​This value is important to distinguish since the issue is beyond </w:t>
            </w:r>
            <w:proofErr w:type="spellStart"/>
            <w:r>
              <w:t>AtoN</w:t>
            </w:r>
            <w:proofErr w:type="spellEnd"/>
            <w:r>
              <w:t xml:space="preserve"> authority control and do not count against the reliability figures for that aid. </w:t>
            </w:r>
          </w:p>
        </w:tc>
      </w:tr>
      <w:tr w:rsidR="00D87E3B" w14:paraId="3BDC3AF9" w14:textId="77777777" w:rsidTr="00094D70">
        <w:tc>
          <w:tcPr>
            <w:tcW w:w="9350" w:type="dxa"/>
          </w:tcPr>
          <w:p w14:paraId="4677FE49" w14:textId="77777777" w:rsidR="00D87E3B" w:rsidRDefault="00D87E3B" w:rsidP="00094D70">
            <w:pPr>
              <w:spacing w:after="160" w:line="259" w:lineRule="auto"/>
            </w:pPr>
            <w:r>
              <w:lastRenderedPageBreak/>
              <w:t xml:space="preserve">Bridge lights should be considered as category of light. </w:t>
            </w:r>
            <w:proofErr w:type="gramStart"/>
            <w:r>
              <w:t>Also</w:t>
            </w:r>
            <w:proofErr w:type="gramEnd"/>
            <w:r>
              <w:t xml:space="preserve"> should be possible to </w:t>
            </w:r>
            <w:r w:rsidRPr="001D03A7">
              <w:t>be one aggregation per direction and association to group per bridge.</w:t>
            </w:r>
            <w:r>
              <w:t xml:space="preserve"> DCEG should be updated with guidance for encoding these. </w:t>
            </w:r>
          </w:p>
          <w:p w14:paraId="046318AE" w14:textId="77777777" w:rsidR="00D87E3B" w:rsidRDefault="00D87E3B" w:rsidP="00094D70">
            <w:pPr>
              <w:spacing w:after="160" w:line="259" w:lineRule="auto"/>
            </w:pPr>
            <w:r>
              <w:rPr>
                <w:noProof/>
                <w:lang w:val="en-US" w:eastAsia="en-US"/>
              </w:rPr>
              <w:lastRenderedPageBreak/>
              <w:drawing>
                <wp:inline distT="0" distB="0" distL="0" distR="0" wp14:anchorId="25EE21EA" wp14:editId="3B97C468">
                  <wp:extent cx="2352381" cy="4495238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381" cy="449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B67CBD" w14:textId="77777777" w:rsidR="00D87E3B" w:rsidRDefault="00D87E3B" w:rsidP="00094D70">
            <w:pPr>
              <w:spacing w:after="160" w:line="259" w:lineRule="auto"/>
            </w:pPr>
            <w:r w:rsidRPr="004D7B6D">
              <w:rPr>
                <w:b/>
              </w:rPr>
              <w:t>Action taken:</w:t>
            </w:r>
            <w:r>
              <w:t xml:space="preserve"> Added value ‘bridge light’, definition is needed.</w:t>
            </w:r>
          </w:p>
        </w:tc>
      </w:tr>
      <w:tr w:rsidR="00D87E3B" w:rsidRPr="004D7B6D" w14:paraId="0BF4ACCC" w14:textId="77777777" w:rsidTr="00094D70">
        <w:tc>
          <w:tcPr>
            <w:tcW w:w="9350" w:type="dxa"/>
          </w:tcPr>
          <w:p w14:paraId="0ACF33E8" w14:textId="77777777" w:rsidR="00D87E3B" w:rsidRDefault="00D87E3B" w:rsidP="00094D70">
            <w:pPr>
              <w:pStyle w:val="BodyText"/>
              <w:rPr>
                <w:lang w:eastAsia="ko-KR"/>
              </w:rPr>
            </w:pPr>
            <w:r>
              <w:rPr>
                <w:lang w:eastAsia="ko-KR"/>
              </w:rPr>
              <w:lastRenderedPageBreak/>
              <w:t xml:space="preserve">The highest category of </w:t>
            </w:r>
            <w:proofErr w:type="spellStart"/>
            <w:r>
              <w:rPr>
                <w:lang w:eastAsia="ko-KR"/>
              </w:rPr>
              <w:t>AtoN</w:t>
            </w:r>
            <w:proofErr w:type="spellEnd"/>
            <w:r>
              <w:rPr>
                <w:lang w:eastAsia="ko-KR"/>
              </w:rPr>
              <w:t xml:space="preserve"> is to determine if </w:t>
            </w:r>
            <w:proofErr w:type="gramStart"/>
            <w:r>
              <w:rPr>
                <w:lang w:eastAsia="ko-KR"/>
              </w:rPr>
              <w:t>it’s</w:t>
            </w:r>
            <w:proofErr w:type="gramEnd"/>
            <w:r>
              <w:rPr>
                <w:lang w:eastAsia="ko-KR"/>
              </w:rPr>
              <w:t xml:space="preserve"> management is public or private responsibility. Currently this is captured in the status attribute, which also has </w:t>
            </w:r>
            <w:proofErr w:type="gramStart"/>
            <w:r>
              <w:rPr>
                <w:lang w:eastAsia="ko-KR"/>
              </w:rPr>
              <w:t>include</w:t>
            </w:r>
            <w:proofErr w:type="gramEnd"/>
            <w:r>
              <w:rPr>
                <w:lang w:eastAsia="ko-KR"/>
              </w:rPr>
              <w:t xml:space="preserve"> numerous other possible values. Need to consider moving to a new attribute for public or private for added emphasis. </w:t>
            </w:r>
          </w:p>
          <w:p w14:paraId="4A070FC4" w14:textId="77777777" w:rsidR="00D87E3B" w:rsidRPr="004D7B6D" w:rsidRDefault="00D87E3B" w:rsidP="00094D70">
            <w:pPr>
              <w:pStyle w:val="BodyText"/>
            </w:pPr>
            <w:r w:rsidRPr="004D7B6D">
              <w:rPr>
                <w:b/>
              </w:rPr>
              <w:t xml:space="preserve">Action </w:t>
            </w:r>
            <w:proofErr w:type="gramStart"/>
            <w:r w:rsidRPr="004D7B6D">
              <w:rPr>
                <w:b/>
              </w:rPr>
              <w:t>taken:</w:t>
            </w:r>
            <w:proofErr w:type="gramEnd"/>
            <w:r>
              <w:rPr>
                <w:b/>
              </w:rPr>
              <w:t xml:space="preserve"> </w:t>
            </w:r>
            <w:r>
              <w:t>none, more discussion needed. Maybe it is sufficient to add more clarification in DCEG.</w:t>
            </w:r>
          </w:p>
        </w:tc>
      </w:tr>
      <w:tr w:rsidR="00D87E3B" w14:paraId="2A6951D8" w14:textId="77777777" w:rsidTr="00094D70">
        <w:tc>
          <w:tcPr>
            <w:tcW w:w="9350" w:type="dxa"/>
          </w:tcPr>
          <w:p w14:paraId="4495B260" w14:textId="77777777" w:rsidR="00D87E3B" w:rsidRDefault="00D87E3B" w:rsidP="00094D70">
            <w:pPr>
              <w:pStyle w:val="BodyText"/>
              <w:rPr>
                <w:lang w:eastAsia="ko-KR"/>
              </w:rPr>
            </w:pPr>
            <w:r>
              <w:rPr>
                <w:lang w:eastAsia="ko-KR"/>
              </w:rPr>
              <w:t xml:space="preserve">Status of </w:t>
            </w:r>
            <w:proofErr w:type="spellStart"/>
            <w:proofErr w:type="gramStart"/>
            <w:r>
              <w:rPr>
                <w:lang w:eastAsia="ko-KR"/>
              </w:rPr>
              <w:t>AtoN</w:t>
            </w:r>
            <w:proofErr w:type="spellEnd"/>
            <w:r>
              <w:rPr>
                <w:lang w:eastAsia="ko-KR"/>
              </w:rPr>
              <w:t xml:space="preserve"> :</w:t>
            </w:r>
            <w:proofErr w:type="gramEnd"/>
            <w:r>
              <w:rPr>
                <w:lang w:eastAsia="ko-KR"/>
              </w:rPr>
              <w:t xml:space="preserve"> Korea use the following status (Installed, Planned, Removed, Not operational, New), it seems that Current status doesn’t fit with </w:t>
            </w:r>
            <w:proofErr w:type="spellStart"/>
            <w:r>
              <w:rPr>
                <w:lang w:eastAsia="ko-KR"/>
              </w:rPr>
              <w:t>AtoN</w:t>
            </w:r>
            <w:proofErr w:type="spellEnd"/>
            <w:r>
              <w:rPr>
                <w:lang w:eastAsia="ko-KR"/>
              </w:rPr>
              <w:t xml:space="preserve"> all Korean status use. Suggest </w:t>
            </w:r>
            <w:proofErr w:type="gramStart"/>
            <w:r>
              <w:rPr>
                <w:lang w:eastAsia="ko-KR"/>
              </w:rPr>
              <w:t>to consider</w:t>
            </w:r>
            <w:proofErr w:type="gramEnd"/>
            <w:r>
              <w:rPr>
                <w:lang w:eastAsia="ko-KR"/>
              </w:rPr>
              <w:t xml:space="preserve"> the filter or amend the Status attribute. </w:t>
            </w:r>
          </w:p>
          <w:p w14:paraId="3DE8E36B" w14:textId="77777777" w:rsidR="00D87E3B" w:rsidRDefault="00D87E3B" w:rsidP="00094D70">
            <w:pPr>
              <w:pStyle w:val="BodyText"/>
              <w:rPr>
                <w:lang w:eastAsia="ko-KR"/>
              </w:rPr>
            </w:pPr>
            <w:r w:rsidRPr="004D7B6D">
              <w:rPr>
                <w:b/>
              </w:rPr>
              <w:t xml:space="preserve">Action </w:t>
            </w:r>
            <w:proofErr w:type="gramStart"/>
            <w:r w:rsidRPr="004D7B6D">
              <w:rPr>
                <w:b/>
              </w:rPr>
              <w:t>taken:</w:t>
            </w:r>
            <w:proofErr w:type="gramEnd"/>
            <w:r>
              <w:rPr>
                <w:b/>
              </w:rPr>
              <w:t xml:space="preserve"> </w:t>
            </w:r>
            <w:r w:rsidRPr="006977CA">
              <w:t>none,</w:t>
            </w:r>
            <w:r>
              <w:t xml:space="preserve"> filtering depends on outcome of discussion on different paper.</w:t>
            </w:r>
          </w:p>
        </w:tc>
      </w:tr>
      <w:tr w:rsidR="00D87E3B" w14:paraId="0D36708B" w14:textId="77777777" w:rsidTr="00094D70">
        <w:tc>
          <w:tcPr>
            <w:tcW w:w="9350" w:type="dxa"/>
          </w:tcPr>
          <w:p w14:paraId="25759A5F" w14:textId="77777777" w:rsidR="00D87E3B" w:rsidRDefault="00D87E3B" w:rsidP="00094D70">
            <w:pPr>
              <w:pStyle w:val="BodyText"/>
              <w:rPr>
                <w:lang w:eastAsia="ko-KR"/>
              </w:rPr>
            </w:pPr>
            <w:proofErr w:type="spellStart"/>
            <w:proofErr w:type="gramStart"/>
            <w:r>
              <w:rPr>
                <w:rFonts w:hint="eastAsia"/>
                <w:lang w:eastAsia="ko-KR"/>
              </w:rPr>
              <w:t>categoryOfSpecialPurposeMark</w:t>
            </w:r>
            <w:proofErr w:type="spellEnd"/>
            <w:r>
              <w:rPr>
                <w:rFonts w:hint="eastAsia"/>
                <w:lang w:eastAsia="ko-KR"/>
              </w:rPr>
              <w:t xml:space="preserve"> :</w:t>
            </w:r>
            <w:proofErr w:type="gramEnd"/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lang w:eastAsia="ko-KR"/>
              </w:rPr>
              <w:t xml:space="preserve">consider adding new attributes like wrecks, marine construction/operation, Facility protection, Oil pipeline protection, Marine cable protection. Suggest </w:t>
            </w:r>
            <w:proofErr w:type="gramStart"/>
            <w:r>
              <w:rPr>
                <w:lang w:eastAsia="ko-KR"/>
              </w:rPr>
              <w:t>to filter</w:t>
            </w:r>
            <w:proofErr w:type="gramEnd"/>
            <w:r>
              <w:rPr>
                <w:lang w:eastAsia="ko-KR"/>
              </w:rPr>
              <w:t xml:space="preserve"> and add listed values. </w:t>
            </w:r>
          </w:p>
          <w:p w14:paraId="2BAFEC41" w14:textId="77777777" w:rsidR="00D87E3B" w:rsidRDefault="00D87E3B" w:rsidP="00094D70">
            <w:pPr>
              <w:pStyle w:val="BodyText"/>
              <w:rPr>
                <w:lang w:eastAsia="ko-KR"/>
              </w:rPr>
            </w:pPr>
            <w:r>
              <w:rPr>
                <w:noProof/>
                <w:lang w:val="en-US" w:eastAsia="en-US"/>
              </w:rPr>
              <w:lastRenderedPageBreak/>
              <w:drawing>
                <wp:inline distT="0" distB="0" distL="0" distR="0" wp14:anchorId="48569EAD" wp14:editId="3E1224F8">
                  <wp:extent cx="2754630" cy="82296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4630" cy="82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0746DE" w14:textId="77777777" w:rsidR="00D87E3B" w:rsidRDefault="00D87E3B" w:rsidP="00094D70">
            <w:pPr>
              <w:pStyle w:val="BodyText"/>
              <w:rPr>
                <w:lang w:eastAsia="ko-KR"/>
              </w:rPr>
            </w:pPr>
            <w:r w:rsidRPr="008E4354">
              <w:rPr>
                <w:b/>
                <w:lang w:eastAsia="ko-KR"/>
              </w:rPr>
              <w:t>Action taken:</w:t>
            </w:r>
            <w:r>
              <w:rPr>
                <w:lang w:eastAsia="ko-KR"/>
              </w:rPr>
              <w:t xml:space="preserve"> Added values ‘</w:t>
            </w:r>
            <w:r w:rsidRPr="009750A3">
              <w:rPr>
                <w:lang w:eastAsia="ko-KR"/>
              </w:rPr>
              <w:t>wrecks mark</w:t>
            </w:r>
            <w:r>
              <w:rPr>
                <w:lang w:eastAsia="ko-KR"/>
              </w:rPr>
              <w:t>’, ‘</w:t>
            </w:r>
            <w:r w:rsidRPr="009750A3">
              <w:rPr>
                <w:lang w:eastAsia="ko-KR"/>
              </w:rPr>
              <w:t>facility protection mark</w:t>
            </w:r>
            <w:r>
              <w:rPr>
                <w:lang w:eastAsia="ko-KR"/>
              </w:rPr>
              <w:t>’, ‘</w:t>
            </w:r>
            <w:r w:rsidRPr="009750A3">
              <w:rPr>
                <w:lang w:eastAsia="ko-KR"/>
              </w:rPr>
              <w:t>oil pipeline protection mark</w:t>
            </w:r>
            <w:r>
              <w:rPr>
                <w:lang w:eastAsia="ko-KR"/>
              </w:rPr>
              <w:t>’ &amp; ‘</w:t>
            </w:r>
            <w:r w:rsidRPr="009750A3">
              <w:rPr>
                <w:lang w:eastAsia="ko-KR"/>
              </w:rPr>
              <w:t>marine cable protection mark</w:t>
            </w:r>
            <w:r>
              <w:rPr>
                <w:lang w:eastAsia="ko-KR"/>
              </w:rPr>
              <w:t>’. The requested value ‘</w:t>
            </w:r>
            <w:r w:rsidRPr="009750A3">
              <w:rPr>
                <w:lang w:eastAsia="ko-KR"/>
              </w:rPr>
              <w:t>marine construction/operation</w:t>
            </w:r>
            <w:r>
              <w:rPr>
                <w:lang w:eastAsia="ko-KR"/>
              </w:rPr>
              <w:t>’ may be supported by the existing values ‘</w:t>
            </w:r>
            <w:r w:rsidRPr="009750A3">
              <w:rPr>
                <w:lang w:eastAsia="ko-KR"/>
              </w:rPr>
              <w:t>work in progress mark</w:t>
            </w:r>
            <w:r>
              <w:rPr>
                <w:lang w:eastAsia="ko-KR"/>
              </w:rPr>
              <w:t>’ and discussion needed to clarify. Definitions needed for added values.</w:t>
            </w:r>
          </w:p>
        </w:tc>
      </w:tr>
    </w:tbl>
    <w:p w14:paraId="260E5D61" w14:textId="77777777" w:rsidR="00D87E3B" w:rsidRPr="00D87E3B" w:rsidRDefault="00D87E3B" w:rsidP="00D87E3B">
      <w:pPr>
        <w:pStyle w:val="BodyText"/>
      </w:pPr>
    </w:p>
    <w:p w14:paraId="5159C918" w14:textId="77777777" w:rsidR="00494F86" w:rsidRPr="00494F86" w:rsidRDefault="00494F86" w:rsidP="00494F86">
      <w:pPr>
        <w:pStyle w:val="BodyText"/>
      </w:pPr>
    </w:p>
    <w:sectPr w:rsidR="00494F86" w:rsidRPr="00494F86" w:rsidSect="00494F86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18711" w14:textId="77777777" w:rsidR="00BE4F30" w:rsidRDefault="00BE4F30" w:rsidP="00362CD9">
      <w:r>
        <w:separator/>
      </w:r>
    </w:p>
  </w:endnote>
  <w:endnote w:type="continuationSeparator" w:id="0">
    <w:p w14:paraId="74224550" w14:textId="77777777" w:rsidR="00BE4F30" w:rsidRDefault="00BE4F30" w:rsidP="00362CD9">
      <w:r>
        <w:continuationSeparator/>
      </w:r>
    </w:p>
  </w:endnote>
  <w:endnote w:type="continuationNotice" w:id="1">
    <w:p w14:paraId="1F419C13" w14:textId="77777777" w:rsidR="00BE4F30" w:rsidRDefault="00BE4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E0F7D" w14:textId="77777777" w:rsidR="00BE4F30" w:rsidRDefault="00BE4F30" w:rsidP="00362CD9">
      <w:r>
        <w:separator/>
      </w:r>
    </w:p>
  </w:footnote>
  <w:footnote w:type="continuationSeparator" w:id="0">
    <w:p w14:paraId="5DFE0431" w14:textId="77777777" w:rsidR="00BE4F30" w:rsidRDefault="00BE4F30" w:rsidP="00362CD9">
      <w:r>
        <w:continuationSeparator/>
      </w:r>
    </w:p>
  </w:footnote>
  <w:footnote w:type="continuationNotice" w:id="1">
    <w:p w14:paraId="421DB6A3" w14:textId="77777777" w:rsidR="00BE4F30" w:rsidRDefault="00BE4F30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352"/>
        </w:tabs>
        <w:ind w:left="135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D2638F2"/>
    <w:multiLevelType w:val="hybridMultilevel"/>
    <w:tmpl w:val="1BDC36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30145C"/>
    <w:multiLevelType w:val="hybridMultilevel"/>
    <w:tmpl w:val="B0B472D8"/>
    <w:lvl w:ilvl="0" w:tplc="51DE3BC0">
      <w:start w:val="1"/>
      <w:numFmt w:val="decimal"/>
      <w:lvlText w:val="%1)"/>
      <w:lvlJc w:val="left"/>
      <w:pPr>
        <w:ind w:left="720" w:hanging="360"/>
      </w:pPr>
      <w:rPr>
        <w:rFonts w:ascii="Arial" w:eastAsia="Batang" w:hAnsi="Arial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235F81"/>
    <w:multiLevelType w:val="hybridMultilevel"/>
    <w:tmpl w:val="7FA8D2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85008D"/>
    <w:multiLevelType w:val="hybridMultilevel"/>
    <w:tmpl w:val="AD449F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2B4456"/>
    <w:multiLevelType w:val="hybridMultilevel"/>
    <w:tmpl w:val="1068B2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F085D"/>
    <w:multiLevelType w:val="hybridMultilevel"/>
    <w:tmpl w:val="CDDADC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"/>
  </w:num>
  <w:num w:numId="4">
    <w:abstractNumId w:val="19"/>
  </w:num>
  <w:num w:numId="5">
    <w:abstractNumId w:val="6"/>
  </w:num>
  <w:num w:numId="6">
    <w:abstractNumId w:val="4"/>
  </w:num>
  <w:num w:numId="7">
    <w:abstractNumId w:val="12"/>
  </w:num>
  <w:num w:numId="8">
    <w:abstractNumId w:val="11"/>
  </w:num>
  <w:num w:numId="9">
    <w:abstractNumId w:val="18"/>
  </w:num>
  <w:num w:numId="10">
    <w:abstractNumId w:val="3"/>
  </w:num>
  <w:num w:numId="11">
    <w:abstractNumId w:val="14"/>
  </w:num>
  <w:num w:numId="12">
    <w:abstractNumId w:val="8"/>
  </w:num>
  <w:num w:numId="13">
    <w:abstractNumId w:val="7"/>
  </w:num>
  <w:num w:numId="14">
    <w:abstractNumId w:val="2"/>
  </w:num>
  <w:num w:numId="15">
    <w:abstractNumId w:val="9"/>
  </w:num>
  <w:num w:numId="16">
    <w:abstractNumId w:val="0"/>
  </w:num>
  <w:num w:numId="17">
    <w:abstractNumId w:val="13"/>
  </w:num>
  <w:num w:numId="18">
    <w:abstractNumId w:val="5"/>
  </w:num>
  <w:num w:numId="19">
    <w:abstractNumId w:val="17"/>
  </w:num>
  <w:num w:numId="20">
    <w:abstractNumId w:val="15"/>
  </w:num>
  <w:num w:numId="21">
    <w:abstractNumId w:val="20"/>
  </w:num>
  <w:num w:numId="22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95D04"/>
    <w:rsid w:val="000A34AE"/>
    <w:rsid w:val="000A77A7"/>
    <w:rsid w:val="000B1707"/>
    <w:rsid w:val="000C1B3E"/>
    <w:rsid w:val="000C349E"/>
    <w:rsid w:val="000C731C"/>
    <w:rsid w:val="000F7968"/>
    <w:rsid w:val="00110AE7"/>
    <w:rsid w:val="00125A06"/>
    <w:rsid w:val="00126295"/>
    <w:rsid w:val="00146E5F"/>
    <w:rsid w:val="00177F4D"/>
    <w:rsid w:val="00180DDA"/>
    <w:rsid w:val="00197E2F"/>
    <w:rsid w:val="001B2A2D"/>
    <w:rsid w:val="001B737D"/>
    <w:rsid w:val="001C44A3"/>
    <w:rsid w:val="001E0E15"/>
    <w:rsid w:val="001F528A"/>
    <w:rsid w:val="001F704E"/>
    <w:rsid w:val="00201722"/>
    <w:rsid w:val="002125B0"/>
    <w:rsid w:val="0023674C"/>
    <w:rsid w:val="00243228"/>
    <w:rsid w:val="00251483"/>
    <w:rsid w:val="00255CAA"/>
    <w:rsid w:val="00255CBE"/>
    <w:rsid w:val="00264305"/>
    <w:rsid w:val="00276766"/>
    <w:rsid w:val="002A0346"/>
    <w:rsid w:val="002A2A83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3381E"/>
    <w:rsid w:val="00356CD0"/>
    <w:rsid w:val="00362CD9"/>
    <w:rsid w:val="003761CA"/>
    <w:rsid w:val="00380DAF"/>
    <w:rsid w:val="003972CE"/>
    <w:rsid w:val="003B28F5"/>
    <w:rsid w:val="003B7B7D"/>
    <w:rsid w:val="003C1B1F"/>
    <w:rsid w:val="003C54CB"/>
    <w:rsid w:val="003C7A2A"/>
    <w:rsid w:val="003D2DC1"/>
    <w:rsid w:val="003D69D0"/>
    <w:rsid w:val="003E1736"/>
    <w:rsid w:val="003F2918"/>
    <w:rsid w:val="003F430E"/>
    <w:rsid w:val="0041088C"/>
    <w:rsid w:val="00412DD0"/>
    <w:rsid w:val="0041482C"/>
    <w:rsid w:val="00420A38"/>
    <w:rsid w:val="00431B19"/>
    <w:rsid w:val="00464E59"/>
    <w:rsid w:val="004661AD"/>
    <w:rsid w:val="00494F86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0E72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3822"/>
    <w:rsid w:val="00624475"/>
    <w:rsid w:val="006652C3"/>
    <w:rsid w:val="00680960"/>
    <w:rsid w:val="0068423D"/>
    <w:rsid w:val="00691FD0"/>
    <w:rsid w:val="00692148"/>
    <w:rsid w:val="006A1A1E"/>
    <w:rsid w:val="006C5948"/>
    <w:rsid w:val="006F2A74"/>
    <w:rsid w:val="006F3FA2"/>
    <w:rsid w:val="007000D4"/>
    <w:rsid w:val="00705567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86B1C"/>
    <w:rsid w:val="00793660"/>
    <w:rsid w:val="007A395D"/>
    <w:rsid w:val="007B6BD5"/>
    <w:rsid w:val="007C346C"/>
    <w:rsid w:val="007E3D23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1C3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2F0"/>
    <w:rsid w:val="00975900"/>
    <w:rsid w:val="009831C0"/>
    <w:rsid w:val="0099161D"/>
    <w:rsid w:val="009D1283"/>
    <w:rsid w:val="00A0389B"/>
    <w:rsid w:val="00A060CD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E4F30"/>
    <w:rsid w:val="00BF32F0"/>
    <w:rsid w:val="00BF4DCE"/>
    <w:rsid w:val="00C02620"/>
    <w:rsid w:val="00C05CE5"/>
    <w:rsid w:val="00C411CF"/>
    <w:rsid w:val="00C6171E"/>
    <w:rsid w:val="00C95845"/>
    <w:rsid w:val="00CA6F2C"/>
    <w:rsid w:val="00CD606E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87E3B"/>
    <w:rsid w:val="00D92B45"/>
    <w:rsid w:val="00D95962"/>
    <w:rsid w:val="00DB3BD8"/>
    <w:rsid w:val="00DC389B"/>
    <w:rsid w:val="00DD1D10"/>
    <w:rsid w:val="00DE2FEE"/>
    <w:rsid w:val="00DF1467"/>
    <w:rsid w:val="00E00BE9"/>
    <w:rsid w:val="00E1283D"/>
    <w:rsid w:val="00E15980"/>
    <w:rsid w:val="00E22A11"/>
    <w:rsid w:val="00E31E5C"/>
    <w:rsid w:val="00E44DD2"/>
    <w:rsid w:val="00E558C3"/>
    <w:rsid w:val="00E55927"/>
    <w:rsid w:val="00E60540"/>
    <w:rsid w:val="00E912A6"/>
    <w:rsid w:val="00E954DE"/>
    <w:rsid w:val="00EA4844"/>
    <w:rsid w:val="00EA4D9C"/>
    <w:rsid w:val="00EA5A97"/>
    <w:rsid w:val="00EB2248"/>
    <w:rsid w:val="00EB26F2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5778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F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metadata/properties"/>
    <ds:schemaRef ds:uri="ac5f8115-f13f-4d01-aff4-515a67108c3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27044F-6454-47B7-8C4E-B3EF8E8EF8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1339</Words>
  <Characters>7633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3</cp:revision>
  <dcterms:created xsi:type="dcterms:W3CDTF">2021-03-17T12:27:00Z</dcterms:created>
  <dcterms:modified xsi:type="dcterms:W3CDTF">2021-03-17T15:46:00Z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SIP_Label_1bfb733f-faef-464c-9b6d-731b56f94973_Enabled">
    <vt:lpwstr>true</vt:lpwstr>
  </property>
  <property fmtid="{D5CDD505-2E9C-101B-9397-08002B2CF9AE}" pid="5" name="MSIP_Label_1bfb733f-faef-464c-9b6d-731b56f94973_SetDate">
    <vt:lpwstr>2020-08-19T20:01:00Z</vt:lpwstr>
  </property>
  <property fmtid="{D5CDD505-2E9C-101B-9397-08002B2CF9AE}" pid="6" name="MSIP_Label_1bfb733f-faef-464c-9b6d-731b56f94973_Method">
    <vt:lpwstr>Standard</vt:lpwstr>
  </property>
  <property fmtid="{D5CDD505-2E9C-101B-9397-08002B2CF9AE}" pid="7" name="MSIP_Label_1bfb733f-faef-464c-9b6d-731b56f94973_Name">
    <vt:lpwstr>Unclass - Non-Classifié</vt:lpwstr>
  </property>
  <property fmtid="{D5CDD505-2E9C-101B-9397-08002B2CF9AE}" pid="8" name="MSIP_Label_1bfb733f-faef-464c-9b6d-731b56f94973_SiteId">
    <vt:lpwstr>1594fdae-a1d9-4405-915d-011467234338</vt:lpwstr>
  </property>
  <property fmtid="{D5CDD505-2E9C-101B-9397-08002B2CF9AE}" pid="9" name="MSIP_Label_1bfb733f-faef-464c-9b6d-731b56f94973_ActionId">
    <vt:lpwstr>d9f8dc37-8fb5-48aa-94ba-00008eb45432</vt:lpwstr>
  </property>
</Properties>
</file>