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4629D442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774923">
        <w:rPr>
          <w:rFonts w:ascii="Calibri" w:hAnsi="Calibri"/>
          <w:b/>
          <w:color w:val="4F81BD"/>
          <w:sz w:val="32"/>
          <w:szCs w:val="32"/>
        </w:rPr>
        <w:t>3</w:t>
      </w:r>
      <w:r w:rsidR="00B978F9" w:rsidRPr="00D14324">
        <w:rPr>
          <w:rFonts w:ascii="Calibri" w:hAnsi="Calibri"/>
          <w:b/>
          <w:color w:val="4F81BD"/>
          <w:sz w:val="32"/>
          <w:szCs w:val="32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774923">
        <w:rPr>
          <w:rFonts w:ascii="Calibri" w:hAnsi="Calibri"/>
          <w:b/>
          <w:color w:val="4F81BD"/>
          <w:sz w:val="32"/>
          <w:szCs w:val="32"/>
        </w:rPr>
        <w:t>3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26247664" w14:textId="76DF27CB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7B66FC">
        <w:rPr>
          <w:rFonts w:ascii="Calibri" w:hAnsi="Calibri"/>
        </w:rPr>
        <w:t>1</w:t>
      </w:r>
      <w:r w:rsidR="00774923">
        <w:rPr>
          <w:rFonts w:ascii="Calibri" w:hAnsi="Calibri"/>
        </w:rPr>
        <w:t>3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</w:t>
      </w:r>
      <w:r w:rsidR="007B66FC">
        <w:rPr>
          <w:rFonts w:ascii="Calibri" w:hAnsi="Calibri"/>
        </w:rPr>
        <w:t xml:space="preserve"> </w:t>
      </w:r>
      <w:r w:rsidR="00774923">
        <w:rPr>
          <w:rFonts w:ascii="Calibri" w:hAnsi="Calibri"/>
        </w:rPr>
        <w:t>13</w:t>
      </w:r>
      <w:r w:rsidR="00B073C9">
        <w:rPr>
          <w:rFonts w:ascii="Calibri" w:hAnsi="Calibri"/>
        </w:rPr>
        <w:t xml:space="preserve"> </w:t>
      </w:r>
      <w:r w:rsidR="00A70A78">
        <w:rPr>
          <w:rFonts w:ascii="Calibri" w:hAnsi="Calibri"/>
        </w:rPr>
        <w:t>April</w:t>
      </w:r>
      <w:r w:rsidR="00B073C9">
        <w:rPr>
          <w:rFonts w:ascii="Calibri" w:hAnsi="Calibri"/>
        </w:rPr>
        <w:t xml:space="preserve"> – 2</w:t>
      </w:r>
      <w:r w:rsidR="001D30AC">
        <w:rPr>
          <w:rFonts w:ascii="Calibri" w:hAnsi="Calibri"/>
        </w:rPr>
        <w:t>8</w:t>
      </w:r>
      <w:r w:rsidR="00B073C9">
        <w:rPr>
          <w:rFonts w:ascii="Calibri" w:hAnsi="Calibri"/>
        </w:rPr>
        <w:t xml:space="preserve"> </w:t>
      </w:r>
      <w:r w:rsidR="001D30AC">
        <w:rPr>
          <w:rFonts w:ascii="Calibri" w:hAnsi="Calibri"/>
        </w:rPr>
        <w:t>April</w:t>
      </w:r>
      <w:r w:rsidR="00B073C9">
        <w:rPr>
          <w:rFonts w:ascii="Calibri" w:hAnsi="Calibri"/>
        </w:rPr>
        <w:t xml:space="preserve"> 202</w:t>
      </w:r>
      <w:r w:rsidR="001D30AC">
        <w:rPr>
          <w:rFonts w:ascii="Calibri" w:hAnsi="Calibri"/>
        </w:rPr>
        <w:t>1</w:t>
      </w:r>
      <w:r w:rsidR="00A10A6B">
        <w:rPr>
          <w:rFonts w:ascii="Calibri" w:hAnsi="Calibri"/>
        </w:rPr>
        <w:t xml:space="preserve"> virtually</w:t>
      </w:r>
      <w:r w:rsidRPr="00D853FE">
        <w:rPr>
          <w:rFonts w:ascii="Calibri" w:hAnsi="Calibri"/>
        </w:rPr>
        <w:t>.</w:t>
      </w:r>
    </w:p>
    <w:p w14:paraId="0C061975" w14:textId="767BA9FD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>The opening plenary will commence at 1</w:t>
      </w:r>
      <w:r w:rsidR="00994492">
        <w:rPr>
          <w:rFonts w:ascii="Calibri" w:hAnsi="Calibri"/>
        </w:rPr>
        <w:t>1</w:t>
      </w:r>
      <w:r w:rsidRPr="009A74A7">
        <w:rPr>
          <w:rFonts w:ascii="Calibri" w:hAnsi="Calibri"/>
        </w:rPr>
        <w:t>00 – 1</w:t>
      </w:r>
      <w:r w:rsidR="00994492">
        <w:rPr>
          <w:rFonts w:ascii="Calibri" w:hAnsi="Calibri"/>
        </w:rPr>
        <w:t>3</w:t>
      </w:r>
      <w:r w:rsidRPr="009A74A7">
        <w:rPr>
          <w:rFonts w:ascii="Calibri" w:hAnsi="Calibri"/>
        </w:rPr>
        <w:t xml:space="preserve">00 UTC on </w:t>
      </w:r>
      <w:r w:rsidR="0055499C">
        <w:rPr>
          <w:rFonts w:ascii="Calibri" w:hAnsi="Calibri"/>
        </w:rPr>
        <w:t>Tuesday</w:t>
      </w:r>
      <w:r w:rsidRPr="009A74A7">
        <w:rPr>
          <w:rFonts w:ascii="Calibri" w:hAnsi="Calibri"/>
        </w:rPr>
        <w:t xml:space="preserve"> </w:t>
      </w:r>
      <w:r w:rsidR="0055499C">
        <w:rPr>
          <w:rFonts w:ascii="Calibri" w:hAnsi="Calibri"/>
        </w:rPr>
        <w:t>13</w:t>
      </w:r>
      <w:r w:rsidRPr="009A74A7">
        <w:rPr>
          <w:rFonts w:ascii="Calibri" w:hAnsi="Calibri"/>
        </w:rPr>
        <w:t xml:space="preserve"> </w:t>
      </w:r>
      <w:r w:rsidR="0055499C">
        <w:rPr>
          <w:rFonts w:ascii="Calibri" w:hAnsi="Calibri"/>
        </w:rPr>
        <w:t>April</w:t>
      </w:r>
      <w:r w:rsidRPr="009A74A7">
        <w:rPr>
          <w:rFonts w:ascii="Calibri" w:hAnsi="Calibri"/>
        </w:rPr>
        <w:t xml:space="preserve"> 202</w:t>
      </w:r>
      <w:r w:rsidR="0055499C">
        <w:rPr>
          <w:rFonts w:ascii="Calibri" w:hAnsi="Calibri"/>
        </w:rPr>
        <w:t>1</w:t>
      </w:r>
      <w:r w:rsidRPr="009A74A7">
        <w:rPr>
          <w:rFonts w:ascii="Calibri" w:hAnsi="Calibri"/>
        </w:rPr>
        <w:t>, and the closing plenary will begin at 1</w:t>
      </w:r>
      <w:r w:rsidR="00347961">
        <w:rPr>
          <w:rFonts w:ascii="Calibri" w:hAnsi="Calibri"/>
        </w:rPr>
        <w:t>1</w:t>
      </w:r>
      <w:r w:rsidRPr="009A74A7">
        <w:rPr>
          <w:rFonts w:ascii="Calibri" w:hAnsi="Calibri"/>
        </w:rPr>
        <w:t>00 – 1</w:t>
      </w:r>
      <w:r w:rsidR="00347961">
        <w:rPr>
          <w:rFonts w:ascii="Calibri" w:hAnsi="Calibri"/>
        </w:rPr>
        <w:t>3</w:t>
      </w:r>
      <w:r w:rsidRPr="009A74A7">
        <w:rPr>
          <w:rFonts w:ascii="Calibri" w:hAnsi="Calibri"/>
        </w:rPr>
        <w:t xml:space="preserve">00 UTC on </w:t>
      </w:r>
      <w:r w:rsidR="008832D6">
        <w:rPr>
          <w:rFonts w:ascii="Calibri" w:hAnsi="Calibri"/>
        </w:rPr>
        <w:t>Wednesday</w:t>
      </w:r>
      <w:r w:rsidR="00341C73">
        <w:rPr>
          <w:rFonts w:ascii="Calibri" w:hAnsi="Calibri"/>
        </w:rPr>
        <w:t xml:space="preserve"> </w:t>
      </w:r>
      <w:r w:rsidR="0055499C">
        <w:rPr>
          <w:rFonts w:ascii="Calibri" w:hAnsi="Calibri"/>
        </w:rPr>
        <w:t>28 April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2021</w:t>
      </w:r>
      <w:r w:rsidRPr="009A74A7">
        <w:rPr>
          <w:rFonts w:ascii="Calibri" w:hAnsi="Calibri"/>
        </w:rPr>
        <w:t>.</w:t>
      </w:r>
    </w:p>
    <w:p w14:paraId="0FA201C3" w14:textId="157A72B4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6D2ADA4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2918520A" w:rsidR="004B265A" w:rsidRDefault="004B265A" w:rsidP="004B265A">
      <w:pPr>
        <w:pStyle w:val="Agenda2"/>
      </w:pPr>
      <w:r w:rsidRPr="00A81496">
        <w:t>Welcome address from the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1BA9A048" w14:textId="17F13D2C" w:rsidR="001F0538" w:rsidRPr="00D853FE" w:rsidRDefault="001F0538" w:rsidP="001F0538">
      <w:pPr>
        <w:pStyle w:val="Agenda2"/>
        <w:numPr>
          <w:ilvl w:val="2"/>
          <w:numId w:val="17"/>
        </w:numPr>
        <w:ind w:left="1418"/>
      </w:pPr>
      <w:r>
        <w:t>ARM Social Programme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1E7B893C" w14:textId="55FE28BB" w:rsidR="001E5FF3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324011A5" w14:textId="71EFE252" w:rsidR="001E5FF3" w:rsidRPr="00576C6D" w:rsidRDefault="005A5896" w:rsidP="00576C6D">
      <w:pPr>
        <w:pStyle w:val="Agenda2"/>
      </w:pPr>
      <w:r w:rsidRPr="00576C6D">
        <w:t>Input papers to ARM 1</w:t>
      </w:r>
      <w:r w:rsidR="008832D6">
        <w:t>3</w:t>
      </w:r>
    </w:p>
    <w:p w14:paraId="1D2D3A6F" w14:textId="3596B85E" w:rsidR="005A5896" w:rsidRPr="00576C6D" w:rsidRDefault="005A5896" w:rsidP="00576C6D">
      <w:pPr>
        <w:pStyle w:val="Agenda2"/>
      </w:pPr>
      <w:r w:rsidRPr="00576C6D">
        <w:t>Input papers not related to an existing task</w:t>
      </w:r>
    </w:p>
    <w:p w14:paraId="736B52C9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19E28725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  <w:t>Minsu Jeon</w:t>
      </w:r>
      <w:r w:rsidR="001570D2">
        <w:tab/>
      </w:r>
    </w:p>
    <w:p w14:paraId="698E7CCC" w14:textId="13AF1132" w:rsidR="00A81496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  <w:t>Dave Lewald</w:t>
      </w:r>
    </w:p>
    <w:p w14:paraId="39045125" w14:textId="71CFEC7D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  <w:t>Minsu Jeon</w:t>
      </w:r>
    </w:p>
    <w:p w14:paraId="1EB12BE4" w14:textId="4E39C12F" w:rsidR="004B265A" w:rsidRDefault="00F649C5" w:rsidP="004B265A">
      <w:pPr>
        <w:pStyle w:val="Agenda2"/>
      </w:pPr>
      <w:r>
        <w:t>e</w:t>
      </w:r>
      <w:r w:rsidR="004B265A" w:rsidRPr="001A409B">
        <w:t xml:space="preserve">-Navigation Underway </w:t>
      </w:r>
      <w:r w:rsidR="001F0538">
        <w:t>/ Digital@Sea</w:t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1F0538">
        <w:t>Minsu Jeon</w:t>
      </w:r>
    </w:p>
    <w:p w14:paraId="4BA3A3E4" w14:textId="11ECB29E" w:rsidR="005935DC" w:rsidRDefault="005935DC">
      <w:pPr>
        <w:pStyle w:val="Agenda2"/>
      </w:pPr>
      <w:r>
        <w:t>IHO/IALA liaison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F0538">
        <w:tab/>
      </w:r>
      <w:r w:rsidR="001F0538">
        <w:tab/>
        <w:t>Minsu Jeon</w:t>
      </w:r>
    </w:p>
    <w:p w14:paraId="54196158" w14:textId="0F499F60" w:rsidR="00A81496" w:rsidRPr="008E5BC8" w:rsidRDefault="00417CD4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CC11DD">
        <w:rPr>
          <w:rFonts w:ascii="Calibri" w:hAnsi="Calibri"/>
        </w:rPr>
        <w:t>Online presentations (via webinars on specific dates and times to be announced)</w:t>
      </w:r>
      <w:r w:rsidR="00F306E3">
        <w:t xml:space="preserve">   </w:t>
      </w:r>
    </w:p>
    <w:p w14:paraId="6898F014" w14:textId="28D53500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 (2018 - 2022)</w:t>
      </w:r>
    </w:p>
    <w:p w14:paraId="105F161F" w14:textId="10A1977F" w:rsidR="001E5132" w:rsidRDefault="001E5132" w:rsidP="001E5132">
      <w:pPr>
        <w:pStyle w:val="Agenda2"/>
      </w:pPr>
      <w:r>
        <w:t xml:space="preserve">ARM Task Plan </w:t>
      </w:r>
      <w:r w:rsidR="00AD59EE">
        <w:t xml:space="preserve"> </w:t>
      </w:r>
    </w:p>
    <w:p w14:paraId="165EFB13" w14:textId="3D4FE8CF" w:rsidR="00F14CDE" w:rsidRDefault="001E5132" w:rsidP="00576C6D">
      <w:pPr>
        <w:pStyle w:val="Agenda2"/>
      </w:pPr>
      <w:r>
        <w:t>Action plan for ARM1</w:t>
      </w:r>
      <w:r w:rsidR="008E5BC8">
        <w:t>3</w:t>
      </w:r>
    </w:p>
    <w:p w14:paraId="333E50DA" w14:textId="7C8C7F6D" w:rsidR="00B77EB4" w:rsidRPr="00E91A5E" w:rsidRDefault="00B77EB4" w:rsidP="00B77EB4">
      <w:pPr>
        <w:pStyle w:val="Agenda2"/>
      </w:pPr>
      <w:r>
        <w:t>ARM</w:t>
      </w:r>
      <w:r>
        <w:t xml:space="preserve"> task</w:t>
      </w:r>
      <w:r>
        <w:t xml:space="preserve"> proposals</w:t>
      </w:r>
      <w:r>
        <w:t xml:space="preserve"> for work programme 2022 – 2026</w:t>
      </w:r>
    </w:p>
    <w:p w14:paraId="3DA31762" w14:textId="1C821D4F" w:rsidR="00B77EB4" w:rsidRPr="00576C6D" w:rsidRDefault="00B77EB4" w:rsidP="00B77EB4">
      <w:pPr>
        <w:pStyle w:val="Agenda2"/>
      </w:pPr>
      <w:r>
        <w:t>IALA Standards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lastRenderedPageBreak/>
        <w:t>Visual signalling</w:t>
      </w:r>
    </w:p>
    <w:p w14:paraId="137DC884" w14:textId="21B33D22" w:rsidR="001F0A76" w:rsidRPr="00B06CD0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15064E7D" w14:textId="1A128A75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 xml:space="preserve">ortrayal 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0F8276D4" w:rsidR="007B5831" w:rsidRDefault="007B5831" w:rsidP="0076334F">
      <w:pPr>
        <w:pStyle w:val="Agenda2"/>
      </w:pPr>
      <w:r w:rsidRPr="007B5831">
        <w:t>Harmonised maritime connectivity framework (CMDS) Maritime IoT ( 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8E36638" w14:textId="541E436C" w:rsidR="006D59FB" w:rsidRDefault="006D59FB" w:rsidP="00576C6D">
      <w:pPr>
        <w:pStyle w:val="Agenda2"/>
      </w:pPr>
      <w:r w:rsidRPr="006D59FB">
        <w:t>Workshop</w:t>
      </w:r>
      <w:r>
        <w:t>(s)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Pr="00E37734" w:rsidRDefault="00E119F9" w:rsidP="00576C6D">
      <w:pPr>
        <w:pStyle w:val="Agenda2"/>
      </w:pPr>
      <w:r w:rsidRPr="00E119F9">
        <w:t>Seminar</w:t>
      </w:r>
    </w:p>
    <w:p w14:paraId="6CB844B5" w14:textId="11EFC5E2" w:rsidR="00A81496" w:rsidRPr="007067FD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31E50B9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0D0B957D" w14:textId="03C5FF2A" w:rsidR="00F8342F" w:rsidRDefault="00170755" w:rsidP="001610D6">
      <w:pPr>
        <w:pStyle w:val="Agenda2"/>
      </w:pPr>
      <w:r>
        <w:t>Committee wide</w:t>
      </w:r>
      <w:r w:rsidR="002B1B81">
        <w:t xml:space="preserve"> (Task Plan)</w:t>
      </w:r>
    </w:p>
    <w:p w14:paraId="10728C71" w14:textId="77777777" w:rsidR="00F8342F" w:rsidRDefault="00F8342F" w:rsidP="001610D6">
      <w:pPr>
        <w:pStyle w:val="Agenda2"/>
      </w:pPr>
      <w:r>
        <w:t>WG1</w:t>
      </w:r>
    </w:p>
    <w:p w14:paraId="15828F17" w14:textId="77777777" w:rsidR="00F8342F" w:rsidRDefault="00F8342F" w:rsidP="001610D6">
      <w:pPr>
        <w:pStyle w:val="Agenda2"/>
      </w:pPr>
      <w:r>
        <w:t>WG2</w:t>
      </w:r>
    </w:p>
    <w:p w14:paraId="4CB81622" w14:textId="77777777" w:rsidR="00B978F9" w:rsidRPr="00D853FE" w:rsidRDefault="00F8342F" w:rsidP="001610D6">
      <w:pPr>
        <w:pStyle w:val="Agenda2"/>
      </w:pPr>
      <w:r>
        <w:t>WG3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458545BC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6D3E0D" w:rsidRPr="00D22788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C521E" w14:textId="77777777" w:rsidR="00C77841" w:rsidRDefault="00C77841" w:rsidP="000F23DA">
      <w:r>
        <w:separator/>
      </w:r>
    </w:p>
  </w:endnote>
  <w:endnote w:type="continuationSeparator" w:id="0">
    <w:p w14:paraId="430176FA" w14:textId="77777777" w:rsidR="00C77841" w:rsidRDefault="00C77841" w:rsidP="000F23DA">
      <w:r>
        <w:continuationSeparator/>
      </w:r>
    </w:p>
  </w:endnote>
  <w:endnote w:type="continuationNotice" w:id="1">
    <w:p w14:paraId="2ECA587B" w14:textId="77777777" w:rsidR="00C77841" w:rsidRDefault="00C77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53208" w14:textId="1F3B183A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8E5BC8">
      <w:rPr>
        <w:rFonts w:ascii="Calibri" w:hAnsi="Calibri"/>
        <w:sz w:val="20"/>
        <w:szCs w:val="20"/>
      </w:rPr>
      <w:t>16</w:t>
    </w:r>
    <w:r w:rsidR="007067FD" w:rsidRPr="007067FD">
      <w:rPr>
        <w:rFonts w:ascii="Calibri" w:hAnsi="Calibri"/>
        <w:sz w:val="20"/>
        <w:szCs w:val="20"/>
      </w:rPr>
      <w:t xml:space="preserve"> </w:t>
    </w:r>
    <w:r w:rsidR="008E5BC8">
      <w:rPr>
        <w:rFonts w:ascii="Calibri" w:hAnsi="Calibri"/>
        <w:sz w:val="20"/>
        <w:szCs w:val="20"/>
      </w:rPr>
      <w:t>March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</w:t>
    </w:r>
    <w:r w:rsidR="008E5BC8">
      <w:rPr>
        <w:rFonts w:ascii="Calibri" w:hAnsi="Calibri"/>
        <w:sz w:val="20"/>
        <w:szCs w:val="20"/>
      </w:rPr>
      <w:t>1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DD401" w14:textId="77777777" w:rsidR="00C77841" w:rsidRDefault="00C77841" w:rsidP="000F23DA">
      <w:r>
        <w:separator/>
      </w:r>
    </w:p>
  </w:footnote>
  <w:footnote w:type="continuationSeparator" w:id="0">
    <w:p w14:paraId="1DFCA4BD" w14:textId="77777777" w:rsidR="00C77841" w:rsidRDefault="00C77841" w:rsidP="000F23DA">
      <w:r>
        <w:continuationSeparator/>
      </w:r>
    </w:p>
  </w:footnote>
  <w:footnote w:type="continuationNotice" w:id="1">
    <w:p w14:paraId="009810FD" w14:textId="77777777" w:rsidR="00C77841" w:rsidRDefault="00C77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E22F4" w14:textId="2D16E498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774923">
      <w:rPr>
        <w:rFonts w:ascii="Calibri" w:hAnsi="Calibri"/>
      </w:rPr>
      <w:t>3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4"/>
  </w:num>
  <w:num w:numId="15">
    <w:abstractNumId w:val="5"/>
  </w:num>
  <w:num w:numId="16">
    <w:abstractNumId w:val="13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1D1F"/>
    <w:rsid w:val="0000391C"/>
    <w:rsid w:val="00005381"/>
    <w:rsid w:val="00010CDA"/>
    <w:rsid w:val="00011F52"/>
    <w:rsid w:val="00012AE0"/>
    <w:rsid w:val="00015954"/>
    <w:rsid w:val="00024E75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D75"/>
    <w:rsid w:val="0009430C"/>
    <w:rsid w:val="000A0DFD"/>
    <w:rsid w:val="000A51FE"/>
    <w:rsid w:val="000A599B"/>
    <w:rsid w:val="000A6271"/>
    <w:rsid w:val="000B0348"/>
    <w:rsid w:val="000B13A3"/>
    <w:rsid w:val="000C1D02"/>
    <w:rsid w:val="000C55F8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A2D"/>
    <w:rsid w:val="001B4094"/>
    <w:rsid w:val="001B6510"/>
    <w:rsid w:val="001B715A"/>
    <w:rsid w:val="001B737D"/>
    <w:rsid w:val="001C6BDD"/>
    <w:rsid w:val="001D30AC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55F0"/>
    <w:rsid w:val="00271A83"/>
    <w:rsid w:val="0027535F"/>
    <w:rsid w:val="0028307A"/>
    <w:rsid w:val="0028318D"/>
    <w:rsid w:val="0028751F"/>
    <w:rsid w:val="00293C98"/>
    <w:rsid w:val="002A23E2"/>
    <w:rsid w:val="002A4487"/>
    <w:rsid w:val="002A7EB4"/>
    <w:rsid w:val="002B1B81"/>
    <w:rsid w:val="002B31B9"/>
    <w:rsid w:val="002C30C6"/>
    <w:rsid w:val="002C47CE"/>
    <w:rsid w:val="002D2DE9"/>
    <w:rsid w:val="002D3C1F"/>
    <w:rsid w:val="002D3E8B"/>
    <w:rsid w:val="002D5C0C"/>
    <w:rsid w:val="002D68BA"/>
    <w:rsid w:val="002E13AA"/>
    <w:rsid w:val="002E5334"/>
    <w:rsid w:val="002E6B74"/>
    <w:rsid w:val="00301265"/>
    <w:rsid w:val="003012C4"/>
    <w:rsid w:val="00302850"/>
    <w:rsid w:val="00315464"/>
    <w:rsid w:val="00316AD5"/>
    <w:rsid w:val="00331F07"/>
    <w:rsid w:val="00335F2A"/>
    <w:rsid w:val="00341C73"/>
    <w:rsid w:val="00342A0B"/>
    <w:rsid w:val="00343E48"/>
    <w:rsid w:val="00347961"/>
    <w:rsid w:val="00356CD0"/>
    <w:rsid w:val="003644F1"/>
    <w:rsid w:val="00366F46"/>
    <w:rsid w:val="00367DD6"/>
    <w:rsid w:val="00373907"/>
    <w:rsid w:val="003747E3"/>
    <w:rsid w:val="00375A53"/>
    <w:rsid w:val="00380DAF"/>
    <w:rsid w:val="00383709"/>
    <w:rsid w:val="0038529C"/>
    <w:rsid w:val="00390EA4"/>
    <w:rsid w:val="003979BD"/>
    <w:rsid w:val="003A016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11C64"/>
    <w:rsid w:val="00417CD4"/>
    <w:rsid w:val="00420107"/>
    <w:rsid w:val="00423332"/>
    <w:rsid w:val="004235D2"/>
    <w:rsid w:val="00426135"/>
    <w:rsid w:val="0042662F"/>
    <w:rsid w:val="0042715E"/>
    <w:rsid w:val="0043160E"/>
    <w:rsid w:val="00433CF5"/>
    <w:rsid w:val="00443A79"/>
    <w:rsid w:val="00443E0D"/>
    <w:rsid w:val="00447E32"/>
    <w:rsid w:val="004511D3"/>
    <w:rsid w:val="00457925"/>
    <w:rsid w:val="004610A9"/>
    <w:rsid w:val="004610B6"/>
    <w:rsid w:val="004657FF"/>
    <w:rsid w:val="004661AD"/>
    <w:rsid w:val="00470E6A"/>
    <w:rsid w:val="00474372"/>
    <w:rsid w:val="00474C3C"/>
    <w:rsid w:val="0047509F"/>
    <w:rsid w:val="004806CF"/>
    <w:rsid w:val="004827EC"/>
    <w:rsid w:val="00483C0E"/>
    <w:rsid w:val="00485573"/>
    <w:rsid w:val="00494CF3"/>
    <w:rsid w:val="004A56EB"/>
    <w:rsid w:val="004A5CD5"/>
    <w:rsid w:val="004B265A"/>
    <w:rsid w:val="004C26E9"/>
    <w:rsid w:val="004C3A35"/>
    <w:rsid w:val="004D784A"/>
    <w:rsid w:val="004E0CBE"/>
    <w:rsid w:val="004E6FB5"/>
    <w:rsid w:val="004F082F"/>
    <w:rsid w:val="004F1AC8"/>
    <w:rsid w:val="004F3524"/>
    <w:rsid w:val="00500FA9"/>
    <w:rsid w:val="00504613"/>
    <w:rsid w:val="005068D3"/>
    <w:rsid w:val="005076B6"/>
    <w:rsid w:val="005129B0"/>
    <w:rsid w:val="005133A2"/>
    <w:rsid w:val="005203AE"/>
    <w:rsid w:val="00521345"/>
    <w:rsid w:val="00524D90"/>
    <w:rsid w:val="00526DF0"/>
    <w:rsid w:val="0053363C"/>
    <w:rsid w:val="00534D70"/>
    <w:rsid w:val="005353EB"/>
    <w:rsid w:val="00535E3A"/>
    <w:rsid w:val="00542A56"/>
    <w:rsid w:val="00545CC4"/>
    <w:rsid w:val="00547CDC"/>
    <w:rsid w:val="00551FFF"/>
    <w:rsid w:val="0055499C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1D5C"/>
    <w:rsid w:val="005A5896"/>
    <w:rsid w:val="005A6C66"/>
    <w:rsid w:val="005B32A3"/>
    <w:rsid w:val="005C566C"/>
    <w:rsid w:val="005C7E69"/>
    <w:rsid w:val="005D23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486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5AC8"/>
    <w:rsid w:val="00677FC5"/>
    <w:rsid w:val="006A58E7"/>
    <w:rsid w:val="006A630C"/>
    <w:rsid w:val="006B5D1C"/>
    <w:rsid w:val="006C3D99"/>
    <w:rsid w:val="006D0664"/>
    <w:rsid w:val="006D3789"/>
    <w:rsid w:val="006D3E0D"/>
    <w:rsid w:val="006D59FB"/>
    <w:rsid w:val="006E0AEE"/>
    <w:rsid w:val="006E63DE"/>
    <w:rsid w:val="006F2A74"/>
    <w:rsid w:val="007067FD"/>
    <w:rsid w:val="0070734B"/>
    <w:rsid w:val="007118F5"/>
    <w:rsid w:val="00714A18"/>
    <w:rsid w:val="00721AA1"/>
    <w:rsid w:val="00721D72"/>
    <w:rsid w:val="00733C92"/>
    <w:rsid w:val="00741D0A"/>
    <w:rsid w:val="00747C11"/>
    <w:rsid w:val="00750A18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A0BFF"/>
    <w:rsid w:val="007A2766"/>
    <w:rsid w:val="007A3FE3"/>
    <w:rsid w:val="007B5831"/>
    <w:rsid w:val="007B66FC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41D60"/>
    <w:rsid w:val="008435B9"/>
    <w:rsid w:val="00850977"/>
    <w:rsid w:val="0085654D"/>
    <w:rsid w:val="00861160"/>
    <w:rsid w:val="008678C6"/>
    <w:rsid w:val="00871C0A"/>
    <w:rsid w:val="008832D6"/>
    <w:rsid w:val="00894980"/>
    <w:rsid w:val="00895501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B5B"/>
    <w:rsid w:val="008F6D34"/>
    <w:rsid w:val="00911857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6005E"/>
    <w:rsid w:val="00960BB8"/>
    <w:rsid w:val="00960F7F"/>
    <w:rsid w:val="00962F82"/>
    <w:rsid w:val="00964F5C"/>
    <w:rsid w:val="009677A1"/>
    <w:rsid w:val="00970065"/>
    <w:rsid w:val="009805D6"/>
    <w:rsid w:val="009926D8"/>
    <w:rsid w:val="00994492"/>
    <w:rsid w:val="009968EA"/>
    <w:rsid w:val="009A74A7"/>
    <w:rsid w:val="009A78BA"/>
    <w:rsid w:val="009B73C7"/>
    <w:rsid w:val="009D0482"/>
    <w:rsid w:val="009D09EA"/>
    <w:rsid w:val="009D0ADD"/>
    <w:rsid w:val="009D3EB8"/>
    <w:rsid w:val="009D46D3"/>
    <w:rsid w:val="009E0B7D"/>
    <w:rsid w:val="009E2C15"/>
    <w:rsid w:val="009E43A8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43A4"/>
    <w:rsid w:val="00A547F7"/>
    <w:rsid w:val="00A5518D"/>
    <w:rsid w:val="00A569F1"/>
    <w:rsid w:val="00A635D6"/>
    <w:rsid w:val="00A66E5B"/>
    <w:rsid w:val="00A70A78"/>
    <w:rsid w:val="00A71887"/>
    <w:rsid w:val="00A76894"/>
    <w:rsid w:val="00A80CE8"/>
    <w:rsid w:val="00A81496"/>
    <w:rsid w:val="00A84816"/>
    <w:rsid w:val="00A87BC1"/>
    <w:rsid w:val="00A92BFC"/>
    <w:rsid w:val="00A93AED"/>
    <w:rsid w:val="00AA5B4F"/>
    <w:rsid w:val="00AA713B"/>
    <w:rsid w:val="00AB2294"/>
    <w:rsid w:val="00AB3A51"/>
    <w:rsid w:val="00AB63F8"/>
    <w:rsid w:val="00AC5122"/>
    <w:rsid w:val="00AD59EE"/>
    <w:rsid w:val="00AE0D5D"/>
    <w:rsid w:val="00AE2142"/>
    <w:rsid w:val="00AE6137"/>
    <w:rsid w:val="00AE6CFD"/>
    <w:rsid w:val="00AE7A16"/>
    <w:rsid w:val="00B06152"/>
    <w:rsid w:val="00B06CD0"/>
    <w:rsid w:val="00B073C9"/>
    <w:rsid w:val="00B16092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61CC8"/>
    <w:rsid w:val="00B66996"/>
    <w:rsid w:val="00B67C69"/>
    <w:rsid w:val="00B7357F"/>
    <w:rsid w:val="00B77EB4"/>
    <w:rsid w:val="00B81614"/>
    <w:rsid w:val="00B81660"/>
    <w:rsid w:val="00B8341C"/>
    <w:rsid w:val="00B864A5"/>
    <w:rsid w:val="00B869FB"/>
    <w:rsid w:val="00B90A27"/>
    <w:rsid w:val="00B90F04"/>
    <w:rsid w:val="00B93AAD"/>
    <w:rsid w:val="00B93D17"/>
    <w:rsid w:val="00B9554D"/>
    <w:rsid w:val="00B9728D"/>
    <w:rsid w:val="00B978F9"/>
    <w:rsid w:val="00BA26F0"/>
    <w:rsid w:val="00BA4494"/>
    <w:rsid w:val="00BA623B"/>
    <w:rsid w:val="00BA7F36"/>
    <w:rsid w:val="00BB7387"/>
    <w:rsid w:val="00BB79DC"/>
    <w:rsid w:val="00BC321D"/>
    <w:rsid w:val="00BC6441"/>
    <w:rsid w:val="00BD206B"/>
    <w:rsid w:val="00BD3CB8"/>
    <w:rsid w:val="00BE6167"/>
    <w:rsid w:val="00BF4DCE"/>
    <w:rsid w:val="00C0730E"/>
    <w:rsid w:val="00C16D96"/>
    <w:rsid w:val="00C20065"/>
    <w:rsid w:val="00C26130"/>
    <w:rsid w:val="00C31C4D"/>
    <w:rsid w:val="00C41C71"/>
    <w:rsid w:val="00C42031"/>
    <w:rsid w:val="00C46773"/>
    <w:rsid w:val="00C65BF6"/>
    <w:rsid w:val="00C66AA9"/>
    <w:rsid w:val="00C74B5C"/>
    <w:rsid w:val="00C77841"/>
    <w:rsid w:val="00C84CE2"/>
    <w:rsid w:val="00C8604F"/>
    <w:rsid w:val="00C8756D"/>
    <w:rsid w:val="00C93115"/>
    <w:rsid w:val="00CA1915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4324"/>
    <w:rsid w:val="00D17A34"/>
    <w:rsid w:val="00D214C0"/>
    <w:rsid w:val="00D22788"/>
    <w:rsid w:val="00D24133"/>
    <w:rsid w:val="00D26628"/>
    <w:rsid w:val="00D32C8F"/>
    <w:rsid w:val="00D3382B"/>
    <w:rsid w:val="00D44173"/>
    <w:rsid w:val="00D521FC"/>
    <w:rsid w:val="00D52DFB"/>
    <w:rsid w:val="00D54F6F"/>
    <w:rsid w:val="00D5698A"/>
    <w:rsid w:val="00D57398"/>
    <w:rsid w:val="00D7619E"/>
    <w:rsid w:val="00D76FD7"/>
    <w:rsid w:val="00D80069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C5F4D"/>
    <w:rsid w:val="00DE2CA3"/>
    <w:rsid w:val="00DE656B"/>
    <w:rsid w:val="00DF053C"/>
    <w:rsid w:val="00E00BE9"/>
    <w:rsid w:val="00E031B4"/>
    <w:rsid w:val="00E1174A"/>
    <w:rsid w:val="00E119F9"/>
    <w:rsid w:val="00E17091"/>
    <w:rsid w:val="00E174C7"/>
    <w:rsid w:val="00E26BB1"/>
    <w:rsid w:val="00E37734"/>
    <w:rsid w:val="00E557BF"/>
    <w:rsid w:val="00E5639D"/>
    <w:rsid w:val="00E621A1"/>
    <w:rsid w:val="00E6347F"/>
    <w:rsid w:val="00E75DD4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C1D"/>
    <w:rsid w:val="00F00A0C"/>
    <w:rsid w:val="00F14CDE"/>
    <w:rsid w:val="00F22EC8"/>
    <w:rsid w:val="00F23AA8"/>
    <w:rsid w:val="00F267DB"/>
    <w:rsid w:val="00F306E3"/>
    <w:rsid w:val="00F3129F"/>
    <w:rsid w:val="00F370E1"/>
    <w:rsid w:val="00F37E3F"/>
    <w:rsid w:val="00F42688"/>
    <w:rsid w:val="00F44780"/>
    <w:rsid w:val="00F46F6F"/>
    <w:rsid w:val="00F51387"/>
    <w:rsid w:val="00F51E08"/>
    <w:rsid w:val="00F60608"/>
    <w:rsid w:val="00F62217"/>
    <w:rsid w:val="00F649C5"/>
    <w:rsid w:val="00F66602"/>
    <w:rsid w:val="00F71B11"/>
    <w:rsid w:val="00F73133"/>
    <w:rsid w:val="00F80EE3"/>
    <w:rsid w:val="00F8342F"/>
    <w:rsid w:val="00F8487E"/>
    <w:rsid w:val="00FA0C59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B9E330"/>
  <w15:docId w15:val="{08279397-BCD7-4A9C-9B19-409F10E6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E33C1-4739-4ACE-99F0-BDC892D78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13</cp:revision>
  <cp:lastPrinted>2013-08-08T21:22:00Z</cp:lastPrinted>
  <dcterms:created xsi:type="dcterms:W3CDTF">2021-02-25T12:00:00Z</dcterms:created>
  <dcterms:modified xsi:type="dcterms:W3CDTF">2021-02-25T15:44:00Z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</Properties>
</file>