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6F488530" w:rsidR="00420A38" w:rsidRPr="00A72757" w:rsidRDefault="00420A38" w:rsidP="000049D8">
      <w:pPr>
        <w:pStyle w:val="Header"/>
        <w:tabs>
          <w:tab w:val="right" w:pos="5954"/>
        </w:tabs>
        <w:spacing w:after="240"/>
        <w:jc w:val="right"/>
        <w:rPr>
          <w:rFonts w:ascii="Calibri" w:hAnsi="Calibri"/>
          <w:b/>
          <w:bCs/>
          <w:color w:val="00558C"/>
          <w:sz w:val="24"/>
          <w:szCs w:val="24"/>
        </w:rPr>
      </w:pPr>
      <w:r w:rsidRPr="00A72757">
        <w:rPr>
          <w:rFonts w:ascii="Calibri" w:hAnsi="Calibri"/>
          <w:b/>
          <w:bCs/>
          <w:color w:val="00558C"/>
          <w:sz w:val="24"/>
          <w:szCs w:val="24"/>
        </w:rPr>
        <w:t>Input paper</w:t>
      </w:r>
      <w:r w:rsidR="00037DF4" w:rsidRPr="00A72757">
        <w:rPr>
          <w:rFonts w:ascii="Calibri" w:hAnsi="Calibri"/>
          <w:b/>
          <w:bCs/>
          <w:color w:val="00558C"/>
          <w:sz w:val="24"/>
          <w:szCs w:val="24"/>
        </w:rPr>
        <w:t xml:space="preserve">: </w:t>
      </w:r>
      <w:r w:rsidRPr="00A72757">
        <w:rPr>
          <w:rStyle w:val="FootnoteReference"/>
          <w:rFonts w:ascii="Calibri" w:hAnsi="Calibri"/>
          <w:b/>
          <w:bCs/>
          <w:color w:val="00558C"/>
          <w:sz w:val="24"/>
          <w:szCs w:val="24"/>
        </w:rPr>
        <w:footnoteReference w:id="1"/>
      </w:r>
      <w:r w:rsidR="000049D8" w:rsidRPr="00A72757">
        <w:rPr>
          <w:rFonts w:ascii="Calibri" w:hAnsi="Calibri"/>
          <w:b/>
          <w:bCs/>
          <w:color w:val="00558C"/>
          <w:sz w:val="24"/>
          <w:szCs w:val="24"/>
        </w:rPr>
        <w:t xml:space="preserve">  </w:t>
      </w:r>
      <w:r w:rsidR="00041529">
        <w:rPr>
          <w:rFonts w:ascii="Calibri" w:hAnsi="Calibri"/>
          <w:color w:val="00558C"/>
          <w:sz w:val="24"/>
          <w:szCs w:val="24"/>
        </w:rPr>
        <w:t>ARM</w:t>
      </w:r>
      <w:r w:rsidR="00AB53F6">
        <w:rPr>
          <w:rFonts w:ascii="Calibri" w:hAnsi="Calibri"/>
          <w:color w:val="00558C"/>
          <w:sz w:val="24"/>
          <w:szCs w:val="24"/>
        </w:rPr>
        <w:t>14</w:t>
      </w:r>
      <w:r w:rsidRPr="00A72757">
        <w:rPr>
          <w:rFonts w:ascii="Calibri" w:hAnsi="Calibri"/>
          <w:color w:val="00558C"/>
          <w:sz w:val="24"/>
          <w:szCs w:val="24"/>
        </w:rPr>
        <w:t>-</w:t>
      </w:r>
      <w:r w:rsidR="00466BB0">
        <w:rPr>
          <w:rFonts w:ascii="Calibri" w:hAnsi="Calibri"/>
          <w:color w:val="00558C"/>
          <w:sz w:val="24"/>
          <w:szCs w:val="24"/>
        </w:rPr>
        <w:t>3.2.11</w:t>
      </w:r>
    </w:p>
    <w:p w14:paraId="22E94D0E" w14:textId="77777777" w:rsidR="00D019CE" w:rsidRPr="007A395D" w:rsidRDefault="00D019CE" w:rsidP="00FE5674">
      <w:pPr>
        <w:pStyle w:val="BodyText"/>
        <w:tabs>
          <w:tab w:val="left" w:pos="2835"/>
        </w:tabs>
        <w:rPr>
          <w:rFonts w:ascii="Calibri" w:hAnsi="Calibri"/>
        </w:rPr>
      </w:pPr>
    </w:p>
    <w:p w14:paraId="7FBFFE1D" w14:textId="12B00AE6" w:rsidR="00A72757" w:rsidRPr="00110203" w:rsidRDefault="00E558C3" w:rsidP="00A72757">
      <w:pPr>
        <w:pStyle w:val="BodyText"/>
        <w:tabs>
          <w:tab w:val="left" w:pos="2835"/>
        </w:tabs>
        <w:spacing w:after="0"/>
        <w:rPr>
          <w:rFonts w:ascii="Calibri" w:hAnsi="Calibri"/>
          <w:b/>
          <w:bCs/>
          <w:color w:val="00558C"/>
          <w:sz w:val="24"/>
          <w:szCs w:val="24"/>
        </w:rPr>
      </w:pPr>
      <w:r w:rsidRPr="00A72757">
        <w:rPr>
          <w:rFonts w:ascii="Calibri" w:hAnsi="Calibri"/>
          <w:b/>
          <w:bCs/>
          <w:color w:val="00558C"/>
          <w:sz w:val="24"/>
          <w:szCs w:val="24"/>
        </w:rPr>
        <w:t>Input paper for the following Committee(s):</w:t>
      </w:r>
      <w:r w:rsidRPr="00A72757">
        <w:rPr>
          <w:rFonts w:ascii="Calibri" w:hAnsi="Calibri"/>
          <w:color w:val="00558C"/>
        </w:rPr>
        <w:t xml:space="preserve"> </w:t>
      </w:r>
      <w:r w:rsidR="00110203" w:rsidRPr="007A395D">
        <w:rPr>
          <w:rFonts w:ascii="Calibri" w:hAnsi="Calibri"/>
        </w:rPr>
        <w:tab/>
      </w:r>
      <w:r w:rsidR="00110203">
        <w:rPr>
          <w:rFonts w:ascii="Calibri" w:hAnsi="Calibri"/>
        </w:rPr>
        <w:tab/>
      </w:r>
      <w:r w:rsidR="00110203" w:rsidRPr="00110203">
        <w:rPr>
          <w:rFonts w:ascii="Calibri" w:hAnsi="Calibri"/>
          <w:b/>
          <w:bCs/>
          <w:color w:val="00558C"/>
          <w:sz w:val="24"/>
          <w:szCs w:val="24"/>
        </w:rPr>
        <w:t>Purpose of paper:</w:t>
      </w:r>
    </w:p>
    <w:p w14:paraId="370CFB53" w14:textId="218953A1" w:rsidR="0080294B" w:rsidRPr="007A395D" w:rsidRDefault="00A72757" w:rsidP="00FE5674">
      <w:pPr>
        <w:pStyle w:val="BodyText"/>
        <w:tabs>
          <w:tab w:val="left" w:pos="2835"/>
        </w:tabs>
        <w:rPr>
          <w:rFonts w:ascii="Calibri" w:hAnsi="Calibri"/>
        </w:rPr>
      </w:pPr>
      <w:r w:rsidRPr="00C02DDD">
        <w:rPr>
          <w:rFonts w:ascii="Calibri" w:hAnsi="Calibri"/>
          <w:sz w:val="18"/>
          <w:szCs w:val="18"/>
        </w:rPr>
        <w:t>(Select</w:t>
      </w:r>
      <w:r w:rsidR="00A01B17" w:rsidRPr="00C02DDD">
        <w:rPr>
          <w:rFonts w:ascii="Calibri" w:hAnsi="Calibri"/>
          <w:sz w:val="18"/>
          <w:szCs w:val="18"/>
        </w:rPr>
        <w:t xml:space="preserve"> </w:t>
      </w:r>
      <w:r w:rsidR="00E558C3" w:rsidRPr="007A395D">
        <w:rPr>
          <w:rFonts w:ascii="Calibri" w:hAnsi="Calibri"/>
          <w:sz w:val="18"/>
          <w:szCs w:val="18"/>
        </w:rPr>
        <w:t>as appropriate</w:t>
      </w:r>
      <w:r w:rsidR="00110203">
        <w:rPr>
          <w:rFonts w:ascii="Calibri" w:hAnsi="Calibri"/>
          <w:sz w:val="18"/>
          <w:szCs w:val="18"/>
        </w:rPr>
        <w:t>)</w:t>
      </w:r>
      <w:r w:rsidR="00E558C3" w:rsidRPr="007A395D">
        <w:rPr>
          <w:rFonts w:ascii="Calibri" w:hAnsi="Calibri"/>
          <w:sz w:val="18"/>
          <w:szCs w:val="18"/>
        </w:rPr>
        <w:tab/>
      </w:r>
    </w:p>
    <w:p w14:paraId="78786733" w14:textId="28A05864" w:rsidR="0080294B" w:rsidRPr="00B0084A" w:rsidRDefault="00F31406" w:rsidP="00037DF4">
      <w:pPr>
        <w:pStyle w:val="BodyText"/>
        <w:tabs>
          <w:tab w:val="left" w:pos="1843"/>
        </w:tabs>
        <w:rPr>
          <w:rFonts w:ascii="Calibri" w:hAnsi="Calibri" w:cs="Arial"/>
          <w:b/>
        </w:rPr>
      </w:pPr>
      <w:sdt>
        <w:sdtPr>
          <w:rPr>
            <w:rFonts w:ascii="Calibri" w:hAnsi="Calibri" w:cs="Arial"/>
            <w:b/>
            <w:sz w:val="24"/>
            <w:szCs w:val="24"/>
          </w:rPr>
          <w:id w:val="-2075572951"/>
          <w14:checkbox>
            <w14:checked w14:val="1"/>
            <w14:checkedState w14:val="2612" w14:font="MS Gothic"/>
            <w14:uncheckedState w14:val="2610" w14:font="MS Gothic"/>
          </w14:checkbox>
        </w:sdtPr>
        <w:sdtEndPr/>
        <w:sdtContent>
          <w:r w:rsidR="00041529">
            <w:rPr>
              <w:rFonts w:ascii="MS Gothic" w:eastAsia="MS Gothic" w:hAnsi="MS Gothic" w:cs="Arial" w:hint="eastAsia"/>
              <w:b/>
              <w:sz w:val="24"/>
              <w:szCs w:val="24"/>
            </w:rPr>
            <w:t>☒</w:t>
          </w:r>
        </w:sdtContent>
      </w:sdt>
      <w:r w:rsidR="00221E08"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sdt>
        <w:sdtPr>
          <w:rPr>
            <w:rFonts w:ascii="Calibri" w:hAnsi="Calibri" w:cs="Arial"/>
            <w:b/>
            <w:sz w:val="24"/>
            <w:szCs w:val="24"/>
          </w:rPr>
          <w:id w:val="1103151903"/>
          <w14:checkbox>
            <w14:checked w14:val="0"/>
            <w14:checkedState w14:val="2612" w14:font="MS Gothic"/>
            <w14:uncheckedState w14:val="2610" w14:font="MS Gothic"/>
          </w14:checkbox>
        </w:sdtPr>
        <w:sdtEndPr/>
        <w:sdtContent>
          <w:r w:rsidR="00041529">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bookmarkStart w:id="0" w:name="_Hlk81060441"/>
      <w:sdt>
        <w:sdtPr>
          <w:rPr>
            <w:rFonts w:ascii="Calibri" w:hAnsi="Calibri" w:cs="Arial"/>
            <w:b/>
            <w:sz w:val="24"/>
            <w:szCs w:val="24"/>
          </w:rPr>
          <w:id w:val="-363756475"/>
          <w14:checkbox>
            <w14:checked w14:val="0"/>
            <w14:checkedState w14:val="2612" w14:font="MS Gothic"/>
            <w14:uncheckedState w14:val="2610" w14:font="MS Gothic"/>
          </w14:checkbox>
        </w:sdtPr>
        <w:sdtEndPr/>
        <w:sdtContent>
          <w:r w:rsidR="00110203">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bookmarkEnd w:id="0"/>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sdt>
        <w:sdtPr>
          <w:rPr>
            <w:rFonts w:ascii="Calibri" w:hAnsi="Calibri" w:cs="Arial"/>
            <w:b/>
            <w:sz w:val="24"/>
            <w:szCs w:val="24"/>
          </w:rPr>
          <w:id w:val="-1999726360"/>
          <w14:checkbox>
            <w14:checked w14:val="0"/>
            <w14:checkedState w14:val="2612" w14:font="MS Gothic"/>
            <w14:uncheckedState w14:val="2610" w14:font="MS Gothic"/>
          </w14:checkbox>
        </w:sdtPr>
        <w:sdtEndPr/>
        <w:sdtContent>
          <w:r w:rsidR="00110203">
            <w:rPr>
              <w:rFonts w:ascii="MS Gothic" w:eastAsia="MS Gothic" w:hAnsi="MS Gothic" w:cs="Arial" w:hint="eastAsia"/>
              <w:b/>
              <w:sz w:val="24"/>
              <w:szCs w:val="24"/>
            </w:rPr>
            <w:t>☐</w:t>
          </w:r>
        </w:sdtContent>
      </w:sdt>
      <w:r w:rsidR="00110203" w:rsidRPr="007A395D">
        <w:rPr>
          <w:rFonts w:ascii="Calibri" w:hAnsi="Calibri" w:cs="Arial"/>
          <w:sz w:val="24"/>
          <w:szCs w:val="24"/>
        </w:rPr>
        <w:t xml:space="preserve"> </w:t>
      </w:r>
      <w:r w:rsidR="0080294B" w:rsidRPr="00B0084A">
        <w:rPr>
          <w:rFonts w:ascii="Calibri" w:hAnsi="Calibri" w:cs="Arial"/>
        </w:rPr>
        <w:t>Input</w:t>
      </w:r>
    </w:p>
    <w:p w14:paraId="0BC79547" w14:textId="6F79AC0B" w:rsidR="0080294B" w:rsidRPr="00B0084A" w:rsidRDefault="00F31406" w:rsidP="00037DF4">
      <w:pPr>
        <w:pStyle w:val="BodyText"/>
        <w:tabs>
          <w:tab w:val="left" w:pos="1843"/>
        </w:tabs>
        <w:rPr>
          <w:rFonts w:ascii="Calibri" w:hAnsi="Calibri"/>
        </w:rPr>
      </w:pPr>
      <w:sdt>
        <w:sdtPr>
          <w:rPr>
            <w:rFonts w:ascii="Calibri" w:hAnsi="Calibri" w:cs="Arial"/>
            <w:b/>
          </w:rPr>
          <w:id w:val="1358232040"/>
          <w14:checkbox>
            <w14:checked w14:val="0"/>
            <w14:checkedState w14:val="2612" w14:font="MS Gothic"/>
            <w14:uncheckedState w14:val="2610" w14:font="MS Gothic"/>
          </w14:checkbox>
        </w:sdtPr>
        <w:sdtEnd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ENAV</w:t>
      </w:r>
      <w:r w:rsidR="0080294B" w:rsidRPr="00B0084A">
        <w:rPr>
          <w:rFonts w:ascii="Calibri" w:hAnsi="Calibri" w:cs="Arial"/>
          <w:b/>
        </w:rPr>
        <w:tab/>
      </w:r>
      <w:sdt>
        <w:sdtPr>
          <w:rPr>
            <w:rFonts w:ascii="Calibri" w:hAnsi="Calibri" w:cs="Arial"/>
            <w:b/>
          </w:rPr>
          <w:id w:val="1574472571"/>
          <w14:checkbox>
            <w14:checked w14:val="0"/>
            <w14:checkedState w14:val="2612" w14:font="MS Gothic"/>
            <w14:uncheckedState w14:val="2610" w14:font="MS Gothic"/>
          </w14:checkbox>
        </w:sdtPr>
        <w:sdtEnd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w:t>
      </w:r>
      <w:r w:rsidR="003D2DC1" w:rsidRPr="00B0084A">
        <w:rPr>
          <w:rFonts w:ascii="Calibri" w:hAnsi="Calibri" w:cs="Arial"/>
        </w:rPr>
        <w:t>VTS</w:t>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sdt>
        <w:sdtPr>
          <w:rPr>
            <w:rFonts w:ascii="Calibri" w:hAnsi="Calibri" w:cs="Arial"/>
            <w:b/>
          </w:rPr>
          <w:id w:val="1701977003"/>
          <w14:checkbox>
            <w14:checked w14:val="1"/>
            <w14:checkedState w14:val="2612" w14:font="MS Gothic"/>
            <w14:uncheckedState w14:val="2610" w14:font="MS Gothic"/>
          </w14:checkbox>
        </w:sdtPr>
        <w:sdtEndPr/>
        <w:sdtContent>
          <w:r w:rsidR="00AB53F6">
            <w:rPr>
              <w:rFonts w:ascii="MS Gothic" w:eastAsia="MS Gothic" w:hAnsi="MS Gothic" w:cs="Arial" w:hint="eastAsia"/>
              <w:b/>
            </w:rPr>
            <w:t>☒</w:t>
          </w:r>
        </w:sdtContent>
      </w:sdt>
      <w:r w:rsidR="00110203" w:rsidRPr="00B0084A">
        <w:rPr>
          <w:rFonts w:ascii="Calibri" w:hAnsi="Calibri" w:cs="Arial"/>
        </w:rPr>
        <w:t xml:space="preserve"> </w:t>
      </w:r>
      <w:r w:rsidR="0080294B" w:rsidRPr="00B0084A">
        <w:rPr>
          <w:rFonts w:ascii="Calibri" w:hAnsi="Calibri" w:cs="Arial"/>
        </w:rPr>
        <w:t>Information</w:t>
      </w:r>
    </w:p>
    <w:p w14:paraId="3E1C02C4" w14:textId="77777777" w:rsidR="0080294B" w:rsidRPr="007A395D" w:rsidRDefault="0080294B" w:rsidP="00FE5674">
      <w:pPr>
        <w:pStyle w:val="BodyText"/>
        <w:tabs>
          <w:tab w:val="left" w:pos="2835"/>
        </w:tabs>
        <w:rPr>
          <w:rFonts w:ascii="Calibri" w:hAnsi="Calibri"/>
        </w:rPr>
      </w:pPr>
    </w:p>
    <w:p w14:paraId="4DD25FD9" w14:textId="35E1D4DB" w:rsidR="00A446C9" w:rsidRPr="007A395D" w:rsidRDefault="00A446C9" w:rsidP="00FE5674">
      <w:pPr>
        <w:pStyle w:val="BodyText"/>
        <w:tabs>
          <w:tab w:val="left" w:pos="2835"/>
        </w:tabs>
        <w:rPr>
          <w:rFonts w:ascii="Calibri" w:hAnsi="Calibri"/>
        </w:rPr>
      </w:pPr>
      <w:r w:rsidRPr="00C02DDD">
        <w:rPr>
          <w:rFonts w:ascii="Calibri" w:hAnsi="Calibri"/>
          <w:b/>
          <w:bCs/>
          <w:color w:val="00558C"/>
          <w:sz w:val="24"/>
          <w:szCs w:val="24"/>
        </w:rPr>
        <w:t>Agenda item</w:t>
      </w:r>
      <w:r w:rsidR="00037DF4" w:rsidRPr="007A395D">
        <w:rPr>
          <w:rFonts w:ascii="Calibri" w:hAnsi="Calibri"/>
        </w:rPr>
        <w:t xml:space="preserve"> </w:t>
      </w:r>
      <w:r w:rsidR="00037DF4" w:rsidRPr="007A395D">
        <w:rPr>
          <w:rStyle w:val="FootnoteReference"/>
          <w:rFonts w:ascii="Calibri" w:hAnsi="Calibri"/>
          <w:sz w:val="22"/>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466BB0">
        <w:rPr>
          <w:rFonts w:ascii="Calibri" w:hAnsi="Calibri"/>
        </w:rPr>
        <w:t>3.2</w:t>
      </w:r>
    </w:p>
    <w:p w14:paraId="1AB3E246" w14:textId="00659C53" w:rsidR="00A446C9" w:rsidRPr="007A395D" w:rsidRDefault="0080294B" w:rsidP="00FE5674">
      <w:pPr>
        <w:pStyle w:val="BodyText"/>
        <w:tabs>
          <w:tab w:val="left" w:pos="2835"/>
        </w:tabs>
        <w:rPr>
          <w:rFonts w:ascii="Calibri" w:hAnsi="Calibri"/>
        </w:rPr>
      </w:pPr>
      <w:r w:rsidRPr="00C02DDD">
        <w:rPr>
          <w:rFonts w:ascii="Calibri" w:hAnsi="Calibri"/>
          <w:b/>
          <w:bCs/>
          <w:color w:val="00558C"/>
          <w:sz w:val="24"/>
          <w:szCs w:val="24"/>
        </w:rPr>
        <w:t xml:space="preserve">Technical </w:t>
      </w:r>
      <w:r w:rsidR="00B0084A" w:rsidRPr="00C02DDD">
        <w:rPr>
          <w:rFonts w:ascii="Calibri" w:hAnsi="Calibri"/>
          <w:b/>
          <w:bCs/>
          <w:color w:val="00558C"/>
          <w:sz w:val="24"/>
          <w:szCs w:val="24"/>
        </w:rPr>
        <w:t>d</w:t>
      </w:r>
      <w:r w:rsidRPr="00C02DDD">
        <w:rPr>
          <w:rFonts w:ascii="Calibri" w:hAnsi="Calibri"/>
          <w:b/>
          <w:bCs/>
          <w:color w:val="00558C"/>
          <w:sz w:val="24"/>
          <w:szCs w:val="24"/>
        </w:rPr>
        <w:t xml:space="preserve">omain/ </w:t>
      </w:r>
      <w:r w:rsidR="00A446C9" w:rsidRPr="00C02DDD">
        <w:rPr>
          <w:rFonts w:ascii="Calibri" w:hAnsi="Calibri"/>
          <w:b/>
          <w:bCs/>
          <w:color w:val="00558C"/>
          <w:sz w:val="24"/>
          <w:szCs w:val="24"/>
        </w:rPr>
        <w:t xml:space="preserve">Task </w:t>
      </w:r>
      <w:r w:rsidR="00B0084A" w:rsidRPr="00C02DDD">
        <w:rPr>
          <w:rFonts w:ascii="Calibri" w:hAnsi="Calibri"/>
          <w:b/>
          <w:bCs/>
          <w:color w:val="00558C"/>
          <w:sz w:val="24"/>
          <w:szCs w:val="24"/>
        </w:rPr>
        <w:t>n</w:t>
      </w:r>
      <w:r w:rsidR="00A446C9" w:rsidRPr="00C02DDD">
        <w:rPr>
          <w:rFonts w:ascii="Calibri" w:hAnsi="Calibri"/>
          <w:b/>
          <w:bCs/>
          <w:color w:val="00558C"/>
          <w:sz w:val="24"/>
          <w:szCs w:val="24"/>
        </w:rPr>
        <w:t>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7EC751C9" w14:textId="77777777" w:rsidR="00FD2F24" w:rsidRPr="001F7C17" w:rsidRDefault="00FD2F24" w:rsidP="00FD2F24">
      <w:pPr>
        <w:pStyle w:val="BodyText"/>
        <w:tabs>
          <w:tab w:val="left" w:pos="2835"/>
        </w:tabs>
        <w:rPr>
          <w:rFonts w:ascii="Calibri" w:hAnsi="Calibri"/>
          <w:lang w:val="en-US"/>
        </w:rPr>
      </w:pPr>
      <w:r w:rsidRPr="001F7C17">
        <w:rPr>
          <w:rFonts w:ascii="Calibri" w:hAnsi="Calibri"/>
          <w:b/>
          <w:bCs/>
          <w:color w:val="00558C"/>
          <w:sz w:val="24"/>
          <w:szCs w:val="24"/>
          <w:lang w:val="en-US"/>
        </w:rPr>
        <w:t>Author(s)/Submitter(s)</w:t>
      </w:r>
      <w:r w:rsidRPr="001F7C17">
        <w:rPr>
          <w:rFonts w:ascii="Calibri" w:hAnsi="Calibri"/>
          <w:lang w:val="en-US"/>
        </w:rPr>
        <w:tab/>
      </w:r>
      <w:r w:rsidRPr="001F7C17">
        <w:rPr>
          <w:rFonts w:ascii="Calibri" w:hAnsi="Calibri"/>
          <w:lang w:val="en-US"/>
        </w:rPr>
        <w:tab/>
      </w:r>
      <w:r w:rsidRPr="001F7C17">
        <w:rPr>
          <w:rFonts w:ascii="Calibri" w:hAnsi="Calibri"/>
          <w:lang w:val="en-US"/>
        </w:rPr>
        <w:tab/>
        <w:t xml:space="preserve">Marcos López, Sergio </w:t>
      </w:r>
      <w:proofErr w:type="spellStart"/>
      <w:r w:rsidRPr="001F7C17">
        <w:rPr>
          <w:rFonts w:ascii="Calibri" w:hAnsi="Calibri"/>
          <w:lang w:val="en-US"/>
        </w:rPr>
        <w:t>Blesa</w:t>
      </w:r>
      <w:proofErr w:type="spellEnd"/>
      <w:r w:rsidRPr="001F7C17">
        <w:rPr>
          <w:rFonts w:ascii="Calibri" w:hAnsi="Calibri"/>
          <w:lang w:val="en-US"/>
        </w:rPr>
        <w:t xml:space="preserve">, Jorge Martínez, </w:t>
      </w:r>
      <w:proofErr w:type="spellStart"/>
      <w:r w:rsidRPr="001F7C17">
        <w:rPr>
          <w:rFonts w:ascii="Calibri" w:hAnsi="Calibri"/>
          <w:lang w:val="en-US"/>
        </w:rPr>
        <w:t>Gema</w:t>
      </w:r>
      <w:proofErr w:type="spellEnd"/>
      <w:r w:rsidRPr="001F7C17">
        <w:rPr>
          <w:rFonts w:ascii="Calibri" w:hAnsi="Calibri"/>
          <w:lang w:val="en-US"/>
        </w:rPr>
        <w:t xml:space="preserve"> Cueto / GMV</w:t>
      </w:r>
    </w:p>
    <w:p w14:paraId="3F999A29" w14:textId="5D47E5E1" w:rsidR="00FD2F24" w:rsidRPr="001F7C17" w:rsidRDefault="00FD2F24" w:rsidP="00FD2F24">
      <w:pPr>
        <w:pStyle w:val="BodyText"/>
        <w:tabs>
          <w:tab w:val="left" w:pos="2835"/>
        </w:tabs>
        <w:rPr>
          <w:rFonts w:ascii="Calibri" w:hAnsi="Calibri"/>
          <w:lang w:val="en-US"/>
        </w:rPr>
      </w:pPr>
      <w:r w:rsidRPr="001F7C17">
        <w:rPr>
          <w:rFonts w:ascii="Calibri" w:hAnsi="Calibri"/>
          <w:lang w:val="en-US"/>
        </w:rPr>
        <w:tab/>
      </w:r>
      <w:r w:rsidRPr="001F7C17">
        <w:rPr>
          <w:rFonts w:ascii="Calibri" w:hAnsi="Calibri"/>
          <w:lang w:val="en-US"/>
        </w:rPr>
        <w:tab/>
      </w:r>
      <w:r w:rsidRPr="001F7C17">
        <w:rPr>
          <w:rFonts w:ascii="Calibri" w:hAnsi="Calibri"/>
          <w:lang w:val="en-US"/>
        </w:rPr>
        <w:tab/>
        <w:t xml:space="preserve">Manuel López, Phillip </w:t>
      </w:r>
      <w:proofErr w:type="spellStart"/>
      <w:r w:rsidRPr="001F7C17">
        <w:rPr>
          <w:rFonts w:ascii="Calibri" w:hAnsi="Calibri"/>
          <w:lang w:val="en-US"/>
        </w:rPr>
        <w:t>Scheidemann</w:t>
      </w:r>
      <w:proofErr w:type="spellEnd"/>
      <w:r w:rsidRPr="001F7C17">
        <w:rPr>
          <w:rFonts w:ascii="Calibri" w:hAnsi="Calibri"/>
          <w:lang w:val="en-US"/>
        </w:rPr>
        <w:t xml:space="preserve"> / EUSPA</w:t>
      </w:r>
    </w:p>
    <w:p w14:paraId="02BBE067" w14:textId="77777777" w:rsidR="00FD2F24" w:rsidRPr="001F7C17" w:rsidRDefault="00FD2F24" w:rsidP="00FD2F24">
      <w:pPr>
        <w:pStyle w:val="BodyText"/>
        <w:tabs>
          <w:tab w:val="left" w:pos="2835"/>
        </w:tabs>
        <w:rPr>
          <w:rFonts w:ascii="Calibri" w:hAnsi="Calibri"/>
          <w:lang w:val="en-US"/>
        </w:rPr>
      </w:pPr>
      <w:r w:rsidRPr="001F7C17">
        <w:rPr>
          <w:rFonts w:ascii="Calibri" w:hAnsi="Calibri"/>
          <w:lang w:val="en-US"/>
        </w:rPr>
        <w:tab/>
      </w:r>
      <w:r w:rsidRPr="001F7C17">
        <w:rPr>
          <w:rFonts w:ascii="Calibri" w:hAnsi="Calibri"/>
          <w:lang w:val="en-US"/>
        </w:rPr>
        <w:tab/>
      </w:r>
      <w:r w:rsidRPr="001F7C17">
        <w:rPr>
          <w:rFonts w:ascii="Calibri" w:hAnsi="Calibri"/>
          <w:lang w:val="en-US"/>
        </w:rPr>
        <w:tab/>
        <w:t>Karel Callewaert / VVA</w:t>
      </w:r>
    </w:p>
    <w:p w14:paraId="6A1A00B6" w14:textId="77777777" w:rsidR="00AB53F6" w:rsidRPr="001F7C17" w:rsidRDefault="00AB53F6" w:rsidP="00FE5674">
      <w:pPr>
        <w:pStyle w:val="BodyText"/>
        <w:tabs>
          <w:tab w:val="left" w:pos="2835"/>
        </w:tabs>
        <w:rPr>
          <w:rFonts w:ascii="Calibri" w:hAnsi="Calibri"/>
          <w:color w:val="FF0000"/>
          <w:lang w:val="en-US"/>
        </w:rPr>
      </w:pPr>
    </w:p>
    <w:p w14:paraId="60BCC120" w14:textId="39D2D195" w:rsidR="0080294B" w:rsidRPr="001F7C17" w:rsidRDefault="00774730" w:rsidP="00C02DDD">
      <w:pPr>
        <w:pStyle w:val="BodyText"/>
        <w:tabs>
          <w:tab w:val="left" w:pos="7860"/>
        </w:tabs>
        <w:rPr>
          <w:rFonts w:ascii="Calibri" w:hAnsi="Calibri"/>
          <w:lang w:val="en-US"/>
        </w:rPr>
      </w:pPr>
      <w:r w:rsidRPr="001F7C17">
        <w:rPr>
          <w:rFonts w:ascii="Calibri" w:hAnsi="Calibri"/>
          <w:lang w:val="en-US"/>
        </w:rPr>
        <w:tab/>
      </w:r>
    </w:p>
    <w:p w14:paraId="4834080C" w14:textId="11E12861" w:rsidR="00A446C9" w:rsidRPr="00605E43" w:rsidRDefault="00A91CF0" w:rsidP="0035243F">
      <w:pPr>
        <w:pStyle w:val="Title"/>
      </w:pPr>
      <w:r>
        <w:t xml:space="preserve">analysis of </w:t>
      </w:r>
      <w:r w:rsidR="0016324C" w:rsidRPr="0016324C">
        <w:t>GNSS user requirements for buoys</w:t>
      </w:r>
      <w:r>
        <w:t xml:space="preserve"> and added value from galileo and sbas</w:t>
      </w:r>
    </w:p>
    <w:p w14:paraId="2CC2DB54" w14:textId="3A19B041" w:rsidR="009874F9" w:rsidRPr="009874F9" w:rsidRDefault="00537C84" w:rsidP="009874F9">
      <w:pPr>
        <w:pStyle w:val="Heading1"/>
      </w:pPr>
      <w:r>
        <w:t>Introduction</w:t>
      </w:r>
    </w:p>
    <w:p w14:paraId="0E5C8B13" w14:textId="24B81742" w:rsidR="00B6455D" w:rsidRDefault="00B6455D" w:rsidP="00537C84">
      <w:pPr>
        <w:jc w:val="both"/>
        <w:rPr>
          <w:sz w:val="22"/>
        </w:rPr>
      </w:pPr>
      <w:r w:rsidRPr="00333742">
        <w:rPr>
          <w:sz w:val="22"/>
        </w:rPr>
        <w:t xml:space="preserve">GNSS-enabled buoys, which have been classified into scientific buoys and those linked to fishing aggregating devices, have different purposes depending on their main end-users, </w:t>
      </w:r>
      <w:r w:rsidR="006B613C" w:rsidRPr="00333742">
        <w:rPr>
          <w:sz w:val="22"/>
        </w:rPr>
        <w:t>purpose,</w:t>
      </w:r>
      <w:r w:rsidRPr="00333742">
        <w:rPr>
          <w:sz w:val="22"/>
        </w:rPr>
        <w:t xml:space="preserve"> and function. While smart fishing buoys are used to detect fish banks, such as </w:t>
      </w:r>
      <w:r w:rsidR="006B613C">
        <w:rPr>
          <w:sz w:val="22"/>
        </w:rPr>
        <w:t>t</w:t>
      </w:r>
      <w:r w:rsidRPr="00333742">
        <w:rPr>
          <w:sz w:val="22"/>
        </w:rPr>
        <w:t xml:space="preserve">una, </w:t>
      </w:r>
      <w:r w:rsidR="00B30F7D">
        <w:rPr>
          <w:sz w:val="22"/>
        </w:rPr>
        <w:t>o</w:t>
      </w:r>
      <w:r w:rsidRPr="00333742">
        <w:rPr>
          <w:sz w:val="22"/>
        </w:rPr>
        <w:t xml:space="preserve">cean monitoring buoys </w:t>
      </w:r>
      <w:r w:rsidR="006A4BF8">
        <w:rPr>
          <w:sz w:val="22"/>
        </w:rPr>
        <w:t>are</w:t>
      </w:r>
      <w:r w:rsidRPr="00333742">
        <w:rPr>
          <w:sz w:val="22"/>
        </w:rPr>
        <w:t xml:space="preserve"> be used for various purposes </w:t>
      </w:r>
      <w:r w:rsidR="006A4BF8">
        <w:rPr>
          <w:sz w:val="22"/>
        </w:rPr>
        <w:t>ranging from</w:t>
      </w:r>
      <w:r w:rsidRPr="00333742">
        <w:rPr>
          <w:sz w:val="22"/>
        </w:rPr>
        <w:t xml:space="preserve"> climate change </w:t>
      </w:r>
      <w:r w:rsidR="00707EE3" w:rsidRPr="00333742">
        <w:rPr>
          <w:sz w:val="22"/>
        </w:rPr>
        <w:t>research</w:t>
      </w:r>
      <w:r w:rsidRPr="00333742">
        <w:rPr>
          <w:sz w:val="22"/>
        </w:rPr>
        <w:t xml:space="preserve">, water quality monitoring, </w:t>
      </w:r>
      <w:proofErr w:type="spellStart"/>
      <w:r w:rsidRPr="00333742">
        <w:rPr>
          <w:sz w:val="22"/>
        </w:rPr>
        <w:t>metocean</w:t>
      </w:r>
      <w:proofErr w:type="spellEnd"/>
      <w:r w:rsidRPr="00333742">
        <w:rPr>
          <w:sz w:val="22"/>
        </w:rPr>
        <w:t xml:space="preserve"> studies and many others. </w:t>
      </w:r>
    </w:p>
    <w:p w14:paraId="3F7281A4" w14:textId="77777777" w:rsidR="00412822" w:rsidRPr="00333742" w:rsidRDefault="00412822" w:rsidP="00537C84">
      <w:pPr>
        <w:jc w:val="both"/>
        <w:rPr>
          <w:sz w:val="22"/>
        </w:rPr>
      </w:pPr>
    </w:p>
    <w:p w14:paraId="402E0586" w14:textId="77777777" w:rsidR="00F94DDD" w:rsidRDefault="00BC70BA" w:rsidP="00537C84">
      <w:pPr>
        <w:jc w:val="both"/>
        <w:rPr>
          <w:sz w:val="22"/>
        </w:rPr>
      </w:pPr>
      <w:r w:rsidRPr="00BC70BA">
        <w:rPr>
          <w:sz w:val="22"/>
        </w:rPr>
        <w:t>The current installed base of GNSS-enabled buoys seems to be practically based on GPS-only chipsets</w:t>
      </w:r>
      <w:r>
        <w:rPr>
          <w:sz w:val="22"/>
        </w:rPr>
        <w:t xml:space="preserve">. </w:t>
      </w:r>
      <w:r w:rsidR="006E5540" w:rsidRPr="00FF18FF">
        <w:rPr>
          <w:sz w:val="22"/>
        </w:rPr>
        <w:t xml:space="preserve">Thanks to the appearance of multiple navigation satellite systems, multi-constellation receivers are becoming widely available so it is reasonable to assess whether these </w:t>
      </w:r>
      <w:r w:rsidR="00F94DDD">
        <w:rPr>
          <w:sz w:val="22"/>
        </w:rPr>
        <w:t xml:space="preserve">type or receivers </w:t>
      </w:r>
      <w:r w:rsidR="006E5540" w:rsidRPr="00FF18FF">
        <w:rPr>
          <w:sz w:val="22"/>
        </w:rPr>
        <w:t xml:space="preserve">may be of interest for GNSS-enabled buoys. </w:t>
      </w:r>
    </w:p>
    <w:p w14:paraId="71C2888C" w14:textId="65BA0A77" w:rsidR="00F94DDD" w:rsidRDefault="00F94DDD" w:rsidP="00537C84">
      <w:pPr>
        <w:jc w:val="both"/>
        <w:rPr>
          <w:sz w:val="22"/>
        </w:rPr>
      </w:pPr>
    </w:p>
    <w:p w14:paraId="0391AC76" w14:textId="77777777" w:rsidR="00537C84" w:rsidRDefault="00537C84" w:rsidP="00537C84">
      <w:pPr>
        <w:keepNext/>
        <w:jc w:val="both"/>
      </w:pPr>
      <w:r>
        <w:rPr>
          <w:noProof/>
          <w:lang w:val="es-ES" w:eastAsia="es-ES"/>
        </w:rPr>
        <w:drawing>
          <wp:anchor distT="0" distB="0" distL="114300" distR="114300" simplePos="0" relativeHeight="251659264" behindDoc="1" locked="0" layoutInCell="1" allowOverlap="1" wp14:anchorId="52A78B1E" wp14:editId="0090CDB4">
            <wp:simplePos x="0" y="0"/>
            <wp:positionH relativeFrom="margin">
              <wp:posOffset>69850</wp:posOffset>
            </wp:positionH>
            <wp:positionV relativeFrom="paragraph">
              <wp:posOffset>216535</wp:posOffset>
            </wp:positionV>
            <wp:extent cx="2912110" cy="1281430"/>
            <wp:effectExtent l="19050" t="19050" r="21590" b="13970"/>
            <wp:wrapTight wrapText="bothSides">
              <wp:wrapPolygon edited="0">
                <wp:start x="-141" y="-321"/>
                <wp:lineTo x="-141" y="21514"/>
                <wp:lineTo x="21619" y="21514"/>
                <wp:lineTo x="21619" y="-321"/>
                <wp:lineTo x="-141" y="-321"/>
              </wp:wrapPolygon>
            </wp:wrapTight>
            <wp:docPr id="2" name="Imagen 2" descr="Principales zonas de pesca: Calader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incipales zonas de pesca: Caladeros"/>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2912110" cy="128143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Pr>
          <w:noProof/>
          <w:lang w:val="es-ES" w:eastAsia="es-ES"/>
        </w:rPr>
        <mc:AlternateContent>
          <mc:Choice Requires="wps">
            <w:drawing>
              <wp:anchor distT="0" distB="0" distL="114300" distR="114300" simplePos="0" relativeHeight="251660288" behindDoc="1" locked="0" layoutInCell="1" allowOverlap="1" wp14:anchorId="4E3010A9" wp14:editId="24FC0BEC">
                <wp:simplePos x="0" y="0"/>
                <wp:positionH relativeFrom="column">
                  <wp:posOffset>0</wp:posOffset>
                </wp:positionH>
                <wp:positionV relativeFrom="paragraph">
                  <wp:posOffset>1551305</wp:posOffset>
                </wp:positionV>
                <wp:extent cx="2962910" cy="635"/>
                <wp:effectExtent l="0" t="0" r="0" b="0"/>
                <wp:wrapTight wrapText="bothSides">
                  <wp:wrapPolygon edited="0">
                    <wp:start x="0" y="0"/>
                    <wp:lineTo x="0" y="21600"/>
                    <wp:lineTo x="21600" y="21600"/>
                    <wp:lineTo x="21600" y="0"/>
                  </wp:wrapPolygon>
                </wp:wrapTight>
                <wp:docPr id="6" name="Text Box 6"/>
                <wp:cNvGraphicFramePr/>
                <a:graphic xmlns:a="http://schemas.openxmlformats.org/drawingml/2006/main">
                  <a:graphicData uri="http://schemas.microsoft.com/office/word/2010/wordprocessingShape">
                    <wps:wsp>
                      <wps:cNvSpPr txBox="1"/>
                      <wps:spPr>
                        <a:xfrm>
                          <a:off x="0" y="0"/>
                          <a:ext cx="2962910" cy="635"/>
                        </a:xfrm>
                        <a:prstGeom prst="rect">
                          <a:avLst/>
                        </a:prstGeom>
                        <a:solidFill>
                          <a:prstClr val="white"/>
                        </a:solidFill>
                        <a:ln>
                          <a:noFill/>
                        </a:ln>
                      </wps:spPr>
                      <wps:txbx>
                        <w:txbxContent>
                          <w:p w14:paraId="35E74011" w14:textId="77777777" w:rsidR="00537C84" w:rsidRPr="001F7C17" w:rsidRDefault="00537C84" w:rsidP="00537C84">
                            <w:pPr>
                              <w:pStyle w:val="Caption"/>
                              <w:rPr>
                                <w:noProof/>
                                <w:sz w:val="18"/>
                                <w:lang w:val="en-US" w:eastAsia="es-ES"/>
                              </w:rPr>
                            </w:pPr>
                            <w:r>
                              <w:t xml:space="preserve">Figure </w:t>
                            </w:r>
                            <w:r w:rsidR="00514803">
                              <w:rPr>
                                <w:noProof/>
                              </w:rPr>
                              <w:fldChar w:fldCharType="begin"/>
                            </w:r>
                            <w:r w:rsidR="00514803">
                              <w:rPr>
                                <w:noProof/>
                              </w:rPr>
                              <w:instrText xml:space="preserve"> STYLEREF 1 \s </w:instrText>
                            </w:r>
                            <w:r w:rsidR="00514803">
                              <w:rPr>
                                <w:noProof/>
                              </w:rPr>
                              <w:fldChar w:fldCharType="separate"/>
                            </w:r>
                            <w:r>
                              <w:rPr>
                                <w:noProof/>
                              </w:rPr>
                              <w:t>1</w:t>
                            </w:r>
                            <w:r w:rsidR="00514803">
                              <w:rPr>
                                <w:noProof/>
                              </w:rPr>
                              <w:fldChar w:fldCharType="end"/>
                            </w:r>
                            <w:r>
                              <w:noBreakHyphen/>
                            </w:r>
                            <w:r w:rsidR="00514803">
                              <w:rPr>
                                <w:noProof/>
                              </w:rPr>
                              <w:fldChar w:fldCharType="begin"/>
                            </w:r>
                            <w:r w:rsidR="00514803">
                              <w:rPr>
                                <w:noProof/>
                              </w:rPr>
                              <w:instrText xml:space="preserve"> SEQ Figure \* ARABIC \s 1 </w:instrText>
                            </w:r>
                            <w:r w:rsidR="00514803">
                              <w:rPr>
                                <w:noProof/>
                              </w:rPr>
                              <w:fldChar w:fldCharType="separate"/>
                            </w:r>
                            <w:r>
                              <w:rPr>
                                <w:noProof/>
                              </w:rPr>
                              <w:t>1</w:t>
                            </w:r>
                            <w:r w:rsidR="00514803">
                              <w:rPr>
                                <w:noProof/>
                              </w:rPr>
                              <w:fldChar w:fldCharType="end"/>
                            </w:r>
                            <w:r>
                              <w:t>. Main Location of Fishing Activities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4E3010A9" id="_x0000_t202" coordsize="21600,21600" o:spt="202" path="m,l,21600r21600,l21600,xe">
                <v:stroke joinstyle="miter"/>
                <v:path gradientshapeok="t" o:connecttype="rect"/>
              </v:shapetype>
              <v:shape id="Text Box 6" o:spid="_x0000_s1026" type="#_x0000_t202" style="position:absolute;left:0;text-align:left;margin-left:0;margin-top:122.15pt;width:233.3pt;height:.05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" stroked="f">
                <v:textbox style="mso-fit-shape-to-text:t" inset="0,0,0,0">
                  <w:txbxContent>
                    <w:p w14:paraId="35E74011" w14:textId="77777777" w:rsidR="00537C84" w:rsidRPr="001F7C17" w:rsidRDefault="00537C84" w:rsidP="00537C84">
                      <w:pPr>
                        <w:pStyle w:val="Caption"/>
                        <w:rPr>
                          <w:noProof/>
                          <w:sz w:val="18"/>
                          <w:lang w:val="en-US" w:eastAsia="es-ES"/>
                        </w:rPr>
                      </w:pPr>
                      <w:r>
                        <w:t xml:space="preserve">Figure </w:t>
                      </w:r>
                      <w:r w:rsidR="00514803">
                        <w:rPr>
                          <w:noProof/>
                        </w:rPr>
                        <w:fldChar w:fldCharType="begin"/>
                      </w:r>
                      <w:r w:rsidR="00514803">
                        <w:rPr>
                          <w:noProof/>
                        </w:rPr>
                        <w:instrText xml:space="preserve"> STYLEREF 1 \s </w:instrText>
                      </w:r>
                      <w:r w:rsidR="00514803">
                        <w:rPr>
                          <w:noProof/>
                        </w:rPr>
                        <w:fldChar w:fldCharType="separate"/>
                      </w:r>
                      <w:r>
                        <w:rPr>
                          <w:noProof/>
                        </w:rPr>
                        <w:t>1</w:t>
                      </w:r>
                      <w:r w:rsidR="00514803">
                        <w:rPr>
                          <w:noProof/>
                        </w:rPr>
                        <w:fldChar w:fldCharType="end"/>
                      </w:r>
                      <w:r>
                        <w:noBreakHyphen/>
                      </w:r>
                      <w:r w:rsidR="00514803">
                        <w:rPr>
                          <w:noProof/>
                        </w:rPr>
                        <w:fldChar w:fldCharType="begin"/>
                      </w:r>
                      <w:r w:rsidR="00514803">
                        <w:rPr>
                          <w:noProof/>
                        </w:rPr>
                        <w:instrText xml:space="preserve"> SEQ Figure \* ARABIC \s 1 </w:instrText>
                      </w:r>
                      <w:r w:rsidR="00514803">
                        <w:rPr>
                          <w:noProof/>
                        </w:rPr>
                        <w:fldChar w:fldCharType="separate"/>
                      </w:r>
                      <w:r>
                        <w:rPr>
                          <w:noProof/>
                        </w:rPr>
                        <w:t>1</w:t>
                      </w:r>
                      <w:r w:rsidR="00514803">
                        <w:rPr>
                          <w:noProof/>
                        </w:rPr>
                        <w:fldChar w:fldCharType="end"/>
                      </w:r>
                      <w:r>
                        <w:t>. Main Location of Fishing Activities</w:t>
                      </w:r>
                    </w:p>
                  </w:txbxContent>
                </v:textbox>
                <w10:wrap type="tight"/>
              </v:shape>
            </w:pict>
          </mc:Fallback>
        </mc:AlternateContent>
      </w:r>
      <w:r w:rsidRPr="001F7C17">
        <w:rPr>
          <w:noProof/>
          <w:color w:val="1F497D"/>
          <w:lang w:val="en-US" w:eastAsia="es-ES"/>
        </w:rPr>
        <w:t xml:space="preserve"> </w:t>
      </w:r>
      <w:r>
        <w:rPr>
          <w:noProof/>
          <w:color w:val="1F497D"/>
          <w:lang w:val="es-ES" w:eastAsia="es-ES"/>
        </w:rPr>
        <w:drawing>
          <wp:inline distT="0" distB="0" distL="0" distR="0" wp14:anchorId="74622A95" wp14:editId="75088BC3">
            <wp:extent cx="2875917" cy="1643380"/>
            <wp:effectExtent l="19050" t="19050" r="19685" b="13970"/>
            <wp:docPr id="1" name="Imagen 1" descr="dart_loc.gif (700×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rt_loc.gif (700×400)"/>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2945156" cy="1682945"/>
                    </a:xfrm>
                    <a:prstGeom prst="rect">
                      <a:avLst/>
                    </a:prstGeom>
                    <a:noFill/>
                    <a:ln>
                      <a:solidFill>
                        <a:schemeClr val="tx1"/>
                      </a:solidFill>
                    </a:ln>
                  </pic:spPr>
                </pic:pic>
              </a:graphicData>
            </a:graphic>
          </wp:inline>
        </w:drawing>
      </w:r>
    </w:p>
    <w:p w14:paraId="0691EE02" w14:textId="77777777" w:rsidR="00537C84" w:rsidRDefault="00537C84" w:rsidP="00537C84">
      <w:pPr>
        <w:pStyle w:val="Caption"/>
        <w:jc w:val="both"/>
      </w:pPr>
      <w:r>
        <w:t xml:space="preserve">Figure </w:t>
      </w:r>
      <w:r w:rsidR="00514803">
        <w:rPr>
          <w:noProof/>
        </w:rPr>
        <w:fldChar w:fldCharType="begin"/>
      </w:r>
      <w:r w:rsidR="00514803">
        <w:rPr>
          <w:noProof/>
        </w:rPr>
        <w:instrText xml:space="preserve"> STYLEREF 1 \s </w:instrText>
      </w:r>
      <w:r w:rsidR="00514803">
        <w:rPr>
          <w:noProof/>
        </w:rPr>
        <w:fldChar w:fldCharType="separate"/>
      </w:r>
      <w:r>
        <w:rPr>
          <w:noProof/>
        </w:rPr>
        <w:t>1</w:t>
      </w:r>
      <w:r w:rsidR="00514803">
        <w:rPr>
          <w:noProof/>
        </w:rPr>
        <w:fldChar w:fldCharType="end"/>
      </w:r>
      <w:r>
        <w:noBreakHyphen/>
      </w:r>
      <w:r w:rsidR="00514803">
        <w:rPr>
          <w:noProof/>
        </w:rPr>
        <w:fldChar w:fldCharType="begin"/>
      </w:r>
      <w:r w:rsidR="00514803">
        <w:rPr>
          <w:noProof/>
        </w:rPr>
        <w:instrText xml:space="preserve"> SEQ Figure \* ARABIC \s 1 </w:instrText>
      </w:r>
      <w:r w:rsidR="00514803">
        <w:rPr>
          <w:noProof/>
        </w:rPr>
        <w:fldChar w:fldCharType="separate"/>
      </w:r>
      <w:r>
        <w:rPr>
          <w:noProof/>
        </w:rPr>
        <w:t>2</w:t>
      </w:r>
      <w:r w:rsidR="00514803">
        <w:rPr>
          <w:noProof/>
        </w:rPr>
        <w:fldChar w:fldCharType="end"/>
      </w:r>
      <w:r>
        <w:t xml:space="preserve">. Location of </w:t>
      </w:r>
      <w:r w:rsidRPr="00474A05">
        <w:t>Tsunami detection buoys</w:t>
      </w:r>
    </w:p>
    <w:p w14:paraId="27646C9D" w14:textId="77777777" w:rsidR="00537C84" w:rsidRPr="00961597" w:rsidRDefault="00537C84" w:rsidP="00537C84">
      <w:pPr>
        <w:jc w:val="both"/>
        <w:rPr>
          <w:rFonts w:cstheme="minorHAnsi"/>
          <w:sz w:val="22"/>
          <w:szCs w:val="28"/>
        </w:rPr>
      </w:pPr>
      <w:r w:rsidRPr="00961597">
        <w:rPr>
          <w:rFonts w:cstheme="minorHAnsi"/>
          <w:sz w:val="22"/>
          <w:szCs w:val="32"/>
        </w:rPr>
        <w:t xml:space="preserve"> </w:t>
      </w:r>
    </w:p>
    <w:p w14:paraId="2D306D8B" w14:textId="77777777" w:rsidR="00537C84" w:rsidRDefault="00537C84" w:rsidP="00537C84">
      <w:pPr>
        <w:jc w:val="both"/>
        <w:rPr>
          <w:sz w:val="22"/>
        </w:rPr>
      </w:pPr>
    </w:p>
    <w:p w14:paraId="326AD838" w14:textId="1AE0EC22" w:rsidR="00537C84" w:rsidRDefault="00537C84" w:rsidP="00537C84">
      <w:pPr>
        <w:pStyle w:val="Heading1"/>
        <w:jc w:val="both"/>
      </w:pPr>
      <w:r>
        <w:lastRenderedPageBreak/>
        <w:t>GNSS user requirements</w:t>
      </w:r>
    </w:p>
    <w:p w14:paraId="465725F4" w14:textId="786909A9" w:rsidR="00BF281C" w:rsidRDefault="00072FB5" w:rsidP="00537C84">
      <w:pPr>
        <w:jc w:val="both"/>
        <w:rPr>
          <w:sz w:val="22"/>
        </w:rPr>
      </w:pPr>
      <w:r>
        <w:rPr>
          <w:sz w:val="22"/>
        </w:rPr>
        <w:t>Based on available literature as well as consultation with some of the major manufacturers of both ocean monitoring buoys as well as fishing buoys, the following GNSS performance requirements were identified</w:t>
      </w:r>
      <w:r w:rsidR="00707EE3">
        <w:rPr>
          <w:sz w:val="22"/>
        </w:rPr>
        <w:t>, respectively for ocean monitoring buoys as well as for fishing aggregating devices.</w:t>
      </w:r>
    </w:p>
    <w:p w14:paraId="3E27B091" w14:textId="77777777" w:rsidR="00BF281C" w:rsidRPr="00BF281C" w:rsidRDefault="00BF281C" w:rsidP="00537C84">
      <w:pPr>
        <w:jc w:val="both"/>
        <w:rPr>
          <w:sz w:val="22"/>
        </w:rPr>
      </w:pPr>
    </w:p>
    <w:p w14:paraId="39DA86DB" w14:textId="77777777" w:rsidR="0025624E" w:rsidRPr="003E5D7B" w:rsidRDefault="0025624E" w:rsidP="00537C84">
      <w:pPr>
        <w:pStyle w:val="Bullet1"/>
        <w:numPr>
          <w:ilvl w:val="0"/>
          <w:numId w:val="0"/>
        </w:numPr>
        <w:jc w:val="both"/>
        <w:rPr>
          <w:b/>
          <w:bCs/>
        </w:rPr>
      </w:pPr>
      <w:r w:rsidRPr="003E5D7B">
        <w:rPr>
          <w:b/>
          <w:bCs/>
        </w:rPr>
        <w:t>Accuracy (positioning)</w:t>
      </w:r>
    </w:p>
    <w:p w14:paraId="0F743F53" w14:textId="2A8DBC7F" w:rsidR="0025624E" w:rsidRPr="0025624E" w:rsidRDefault="0025624E" w:rsidP="00537C84">
      <w:pPr>
        <w:pStyle w:val="Bullet1"/>
        <w:jc w:val="both"/>
      </w:pPr>
      <w:r w:rsidRPr="0025624E">
        <w:t>Certain applications for scientific buoys in rivers or harbours may benefit from high accuracy GNSS</w:t>
      </w:r>
      <w:r w:rsidR="00870218">
        <w:t xml:space="preserve"> (i.e. </w:t>
      </w:r>
      <w:r w:rsidR="006746F5">
        <w:t>10m (95%) or less,</w:t>
      </w:r>
      <w:r w:rsidRPr="0025624E">
        <w:t xml:space="preserve"> but there is not a general demand of high accuracy horizontal performance neither for scientific buoys applications </w:t>
      </w:r>
      <w:r w:rsidR="00690CB0">
        <w:t>(stakeholder</w:t>
      </w:r>
      <w:r w:rsidR="0008300A">
        <w:t>s</w:t>
      </w:r>
      <w:r w:rsidR="00690CB0">
        <w:t xml:space="preserve"> indicated </w:t>
      </w:r>
      <w:r w:rsidR="00E91CAF">
        <w:t>that a stand-alone GNSS and single cons</w:t>
      </w:r>
      <w:r w:rsidR="000F4E67">
        <w:t>tellations currently meet requirements</w:t>
      </w:r>
      <w:r w:rsidR="0008300A">
        <w:t xml:space="preserve">) </w:t>
      </w:r>
      <w:r w:rsidRPr="0025624E">
        <w:t>nor for fishing aggregating devices</w:t>
      </w:r>
      <w:r w:rsidR="000F4E67">
        <w:t xml:space="preserve"> (stakeholders indicated that a stand-alone GNSS and single constellations currently meet requirements)</w:t>
      </w:r>
      <w:r w:rsidRPr="0025624E">
        <w:t>. GNSS positioning is used mainly to locate the area a certain buoy is in to get close enough to spot it visually or to locate the scientific data logged by other sensors. Therefore single-constellation and GPS-only systems are enough to fulfil this objective.</w:t>
      </w:r>
    </w:p>
    <w:p w14:paraId="5CC10958" w14:textId="2DEF68D8" w:rsidR="00BD01FE" w:rsidRPr="0025624E" w:rsidRDefault="00BD01FE" w:rsidP="00BD01FE">
      <w:pPr>
        <w:pStyle w:val="Bullet1"/>
        <w:jc w:val="both"/>
      </w:pPr>
      <w:r>
        <w:t xml:space="preserve">When it comes to the need for vertical accuracy, it can be noted that a research project has been launched to investigate the use of high-precision RTK GNSS sensors on buoys deployed on rivers and inland waterways. This type of buoy application could support the improvement of inland waterway navigation by providing accurate information </w:t>
      </w:r>
      <w:r w:rsidR="00F714C9">
        <w:t>(</w:t>
      </w:r>
      <w:r w:rsidR="006A56C4">
        <w:t xml:space="preserve">i.e. </w:t>
      </w:r>
      <w:r w:rsidR="00466931">
        <w:t xml:space="preserve">10 cm or less) </w:t>
      </w:r>
      <w:r>
        <w:t>on water depth and vertical bridge clearance.</w:t>
      </w:r>
    </w:p>
    <w:p w14:paraId="79AE1CBB" w14:textId="0159B7DD" w:rsidR="0025624E" w:rsidRDefault="0025624E" w:rsidP="00537C84">
      <w:pPr>
        <w:pStyle w:val="Bullet1"/>
        <w:jc w:val="both"/>
      </w:pPr>
      <w:r w:rsidRPr="0025624E">
        <w:t>Galileo HAS</w:t>
      </w:r>
      <w:r w:rsidR="008B5ACD">
        <w:t xml:space="preserve">, which would </w:t>
      </w:r>
      <w:r w:rsidR="00163866">
        <w:t>be able to provide a horizontal accuracy of 20cm and a vertical accuracy of 40cm</w:t>
      </w:r>
      <w:r w:rsidR="000F0988">
        <w:t>,</w:t>
      </w:r>
      <w:r w:rsidRPr="0025624E">
        <w:t xml:space="preserve"> </w:t>
      </w:r>
      <w:r w:rsidR="00874E67">
        <w:t xml:space="preserve">or any other PPP-based solution </w:t>
      </w:r>
      <w:r w:rsidRPr="0025624E">
        <w:t xml:space="preserve">could reduce the cost of the dual systems used nowadays (seabed </w:t>
      </w:r>
      <w:proofErr w:type="spellStart"/>
      <w:r w:rsidRPr="0025624E">
        <w:t>tsunameter</w:t>
      </w:r>
      <w:proofErr w:type="spellEnd"/>
      <w:r w:rsidRPr="0025624E">
        <w:t xml:space="preserve"> and floating buoy for external communication) to measure wave height but the actual role of the GNSS receiver in these height estimations has to be more precisely detailed in order to assess its feasibility.</w:t>
      </w:r>
    </w:p>
    <w:p w14:paraId="421F0A3C" w14:textId="77777777" w:rsidR="0055707F" w:rsidRPr="00961597" w:rsidRDefault="0055707F" w:rsidP="00537C84">
      <w:pPr>
        <w:jc w:val="both"/>
        <w:rPr>
          <w:rFonts w:cstheme="minorHAnsi"/>
          <w:sz w:val="22"/>
          <w:szCs w:val="32"/>
        </w:rPr>
      </w:pPr>
    </w:p>
    <w:p w14:paraId="0150935C" w14:textId="28BCA917" w:rsidR="003E5D7B" w:rsidRPr="003E5D7B" w:rsidRDefault="008B69F3" w:rsidP="00537C84">
      <w:pPr>
        <w:pStyle w:val="Bullet1"/>
        <w:numPr>
          <w:ilvl w:val="0"/>
          <w:numId w:val="0"/>
        </w:numPr>
        <w:jc w:val="both"/>
        <w:rPr>
          <w:b/>
          <w:bCs/>
        </w:rPr>
      </w:pPr>
      <w:r w:rsidRPr="003E5D7B">
        <w:rPr>
          <w:b/>
          <w:bCs/>
        </w:rPr>
        <w:t>Accuracy (Timing and synchronization)</w:t>
      </w:r>
    </w:p>
    <w:p w14:paraId="4A92E938" w14:textId="5B4108B5" w:rsidR="00756C8D" w:rsidRDefault="00756C8D" w:rsidP="00FB6622">
      <w:pPr>
        <w:pStyle w:val="Bullet1"/>
        <w:jc w:val="both"/>
      </w:pPr>
      <w:r>
        <w:t>There is the need of introducing timing features in specific areas like for example when a net of buoys is used to detect the propagation of waves or for synchronization of lanterns which may indicate designed paths of entry to ports. Besides, the level of precision provided by GNSS for timing is more than enough than the required value of a tenth</w:t>
      </w:r>
      <w:r w:rsidR="00BA3062">
        <w:t>s</w:t>
      </w:r>
      <w:r>
        <w:t xml:space="preserve"> of seconds. </w:t>
      </w:r>
    </w:p>
    <w:p w14:paraId="78F90851" w14:textId="77777777" w:rsidR="0055707F" w:rsidRPr="00961597" w:rsidRDefault="0055707F" w:rsidP="00537C84">
      <w:pPr>
        <w:jc w:val="both"/>
        <w:rPr>
          <w:rFonts w:cstheme="minorHAnsi"/>
          <w:sz w:val="22"/>
          <w:szCs w:val="32"/>
        </w:rPr>
      </w:pPr>
    </w:p>
    <w:p w14:paraId="0BD05345" w14:textId="2BB7B23A" w:rsidR="0056057A" w:rsidRDefault="0055707F" w:rsidP="00537C84">
      <w:pPr>
        <w:jc w:val="both"/>
        <w:rPr>
          <w:rFonts w:cstheme="minorHAnsi"/>
          <w:b/>
          <w:sz w:val="22"/>
          <w:szCs w:val="32"/>
        </w:rPr>
      </w:pPr>
      <w:r w:rsidRPr="00961597">
        <w:rPr>
          <w:rFonts w:cstheme="minorHAnsi"/>
          <w:b/>
          <w:sz w:val="22"/>
          <w:szCs w:val="32"/>
        </w:rPr>
        <w:t>Availability</w:t>
      </w:r>
    </w:p>
    <w:p w14:paraId="564082DF" w14:textId="41DE5DE3" w:rsidR="0056057A" w:rsidRDefault="0056057A" w:rsidP="00FB6622">
      <w:pPr>
        <w:pStyle w:val="Bullet1"/>
        <w:jc w:val="both"/>
      </w:pPr>
      <w:r>
        <w:t xml:space="preserve">Looking at the applications where buoys will be used and extracting from interviews the necessity of measures few times a day, the availability becomes a minor issue in terms of GNSS performance. IMO Resolution A.1046(27) requirements </w:t>
      </w:r>
      <w:r w:rsidR="00A67467">
        <w:t xml:space="preserve">of at least 99.8%, </w:t>
      </w:r>
      <w:r>
        <w:t>already fulfilled by most GNSS systems would then be valid.</w:t>
      </w:r>
    </w:p>
    <w:p w14:paraId="7CAE73D1" w14:textId="77777777" w:rsidR="0055707F" w:rsidRPr="00961597" w:rsidRDefault="0055707F" w:rsidP="00537C84">
      <w:pPr>
        <w:jc w:val="both"/>
        <w:rPr>
          <w:rFonts w:cstheme="minorHAnsi"/>
          <w:sz w:val="22"/>
          <w:szCs w:val="32"/>
        </w:rPr>
      </w:pPr>
    </w:p>
    <w:p w14:paraId="5A423BC1" w14:textId="652E52D9" w:rsidR="0055707F" w:rsidRDefault="0055707F" w:rsidP="00537C84">
      <w:pPr>
        <w:jc w:val="both"/>
        <w:rPr>
          <w:sz w:val="22"/>
        </w:rPr>
      </w:pPr>
      <w:r w:rsidRPr="00961597">
        <w:rPr>
          <w:rFonts w:cstheme="minorHAnsi"/>
          <w:b/>
          <w:sz w:val="22"/>
          <w:szCs w:val="32"/>
        </w:rPr>
        <w:t>Continuity</w:t>
      </w:r>
    </w:p>
    <w:p w14:paraId="12F6EE8A" w14:textId="5CDE335D" w:rsidR="00753A8C" w:rsidRDefault="00753A8C" w:rsidP="00FB6622">
      <w:pPr>
        <w:pStyle w:val="Bullet1"/>
        <w:jc w:val="both"/>
      </w:pPr>
      <w:r>
        <w:t>Being the continuity directly related to the availability of GNSS and following what was stated for the availability, not huge levels of continuity are required for the applications studied in scientific and fishing buoys.</w:t>
      </w:r>
      <w:r w:rsidRPr="009D4143">
        <w:t xml:space="preserve"> </w:t>
      </w:r>
      <w:r>
        <w:t xml:space="preserve">IMO Resolution A.1046(27) requirements </w:t>
      </w:r>
      <w:r w:rsidR="00486CFD">
        <w:t>of at least 99.</w:t>
      </w:r>
      <w:r w:rsidR="00A67467">
        <w:t>97</w:t>
      </w:r>
      <w:r w:rsidR="003304D0">
        <w:t>%, already</w:t>
      </w:r>
      <w:r>
        <w:t xml:space="preserve"> fulfilled by most GNSS systems</w:t>
      </w:r>
      <w:r w:rsidR="00616D13">
        <w:t>,</w:t>
      </w:r>
      <w:r>
        <w:t xml:space="preserve"> would then be valid.</w:t>
      </w:r>
    </w:p>
    <w:p w14:paraId="0D0B63BC" w14:textId="77777777" w:rsidR="0055707F" w:rsidRPr="00961597" w:rsidRDefault="0055707F" w:rsidP="00537C84">
      <w:pPr>
        <w:jc w:val="both"/>
        <w:rPr>
          <w:rFonts w:cstheme="minorHAnsi"/>
          <w:sz w:val="22"/>
          <w:szCs w:val="32"/>
        </w:rPr>
      </w:pPr>
    </w:p>
    <w:p w14:paraId="6828FE8C" w14:textId="67411F6D" w:rsidR="00753A8C" w:rsidRDefault="0055707F" w:rsidP="00537C84">
      <w:pPr>
        <w:jc w:val="both"/>
        <w:rPr>
          <w:rFonts w:cstheme="minorHAnsi"/>
          <w:b/>
          <w:sz w:val="22"/>
          <w:szCs w:val="32"/>
        </w:rPr>
      </w:pPr>
      <w:r w:rsidRPr="00961597">
        <w:rPr>
          <w:rFonts w:cstheme="minorHAnsi"/>
          <w:b/>
          <w:sz w:val="22"/>
          <w:szCs w:val="32"/>
        </w:rPr>
        <w:t>Integrit</w:t>
      </w:r>
      <w:r w:rsidR="004D5471">
        <w:rPr>
          <w:rFonts w:cstheme="minorHAnsi"/>
          <w:b/>
          <w:sz w:val="22"/>
          <w:szCs w:val="32"/>
        </w:rPr>
        <w:t>y</w:t>
      </w:r>
    </w:p>
    <w:p w14:paraId="0A95BEC4" w14:textId="1F110671" w:rsidR="002878CB" w:rsidRDefault="002878CB" w:rsidP="00FB6622">
      <w:pPr>
        <w:pStyle w:val="Bullet1"/>
        <w:jc w:val="both"/>
      </w:pPr>
      <w:r>
        <w:t xml:space="preserve">Just one of the interviewed companies showed interest in the integrity inclusion on the buoys in order to have a position stamp with legal implications. Therefore, in this case </w:t>
      </w:r>
      <w:r w:rsidR="00874E67">
        <w:t xml:space="preserve">SBAS </w:t>
      </w:r>
      <w:r>
        <w:t xml:space="preserve">was seen as a good candidate not only because of the integrity provided, but also by its level of reliability. Even though, the power consumption and the time for which the receivers remain connected </w:t>
      </w:r>
      <w:r w:rsidR="001F7C17">
        <w:t>may have</w:t>
      </w:r>
      <w:r>
        <w:t xml:space="preserve"> a negative impact </w:t>
      </w:r>
      <w:r>
        <w:lastRenderedPageBreak/>
        <w:t>increasing the battery consumption</w:t>
      </w:r>
      <w:r w:rsidR="001F7C17">
        <w:t>, also for integrity algorithms like RAIM or ARAIM</w:t>
      </w:r>
      <w:r>
        <w:t>. A careful trade-off between benefits and costs should be analysed; however, it seems that integrity is not widely required by users and the costs may not compensate the benefits for these users.</w:t>
      </w:r>
    </w:p>
    <w:p w14:paraId="0C3C6615" w14:textId="4E2EE4F7" w:rsidR="0055707F" w:rsidRDefault="0055707F" w:rsidP="00537C84">
      <w:pPr>
        <w:jc w:val="both"/>
        <w:rPr>
          <w:rFonts w:cstheme="minorHAnsi"/>
          <w:b/>
          <w:sz w:val="22"/>
          <w:szCs w:val="32"/>
        </w:rPr>
      </w:pPr>
    </w:p>
    <w:p w14:paraId="7812C892" w14:textId="03A57803" w:rsidR="002D6F44" w:rsidRDefault="002D6F44" w:rsidP="00537C84">
      <w:pPr>
        <w:jc w:val="both"/>
        <w:rPr>
          <w:rFonts w:cstheme="minorHAnsi"/>
          <w:b/>
          <w:sz w:val="22"/>
          <w:szCs w:val="32"/>
        </w:rPr>
      </w:pPr>
    </w:p>
    <w:p w14:paraId="7DF9BF03" w14:textId="77777777" w:rsidR="002D6F44" w:rsidRPr="00961597" w:rsidRDefault="002D6F44" w:rsidP="00537C84">
      <w:pPr>
        <w:jc w:val="both"/>
        <w:rPr>
          <w:rFonts w:cstheme="minorHAnsi"/>
          <w:b/>
          <w:sz w:val="22"/>
          <w:szCs w:val="32"/>
        </w:rPr>
      </w:pPr>
    </w:p>
    <w:p w14:paraId="634F4C27" w14:textId="15CC29C7" w:rsidR="004D5471" w:rsidRDefault="0055707F" w:rsidP="00537C84">
      <w:pPr>
        <w:jc w:val="both"/>
        <w:rPr>
          <w:rFonts w:cstheme="minorHAnsi"/>
          <w:b/>
          <w:sz w:val="22"/>
          <w:szCs w:val="32"/>
        </w:rPr>
      </w:pPr>
      <w:r w:rsidRPr="00961597">
        <w:rPr>
          <w:rFonts w:cstheme="minorHAnsi"/>
          <w:b/>
          <w:sz w:val="22"/>
          <w:szCs w:val="32"/>
        </w:rPr>
        <w:t>Authentication</w:t>
      </w:r>
    </w:p>
    <w:p w14:paraId="36D64034" w14:textId="6B30EA99" w:rsidR="004D5471" w:rsidRPr="004D5471" w:rsidRDefault="004D5471" w:rsidP="00537C84">
      <w:pPr>
        <w:pStyle w:val="Bullet1"/>
        <w:jc w:val="both"/>
      </w:pPr>
      <w:r w:rsidRPr="004D5471">
        <w:t>It is concluded that the use of authentication mechanisms like</w:t>
      </w:r>
      <w:r w:rsidR="00A91CF0">
        <w:t xml:space="preserve"> the one that will be provided by</w:t>
      </w:r>
      <w:r w:rsidRPr="004D5471">
        <w:t xml:space="preserve"> </w:t>
      </w:r>
      <w:r w:rsidR="00874E67">
        <w:t>Galileo</w:t>
      </w:r>
      <w:r w:rsidR="00A91CF0">
        <w:t xml:space="preserve"> in the coming years</w:t>
      </w:r>
      <w:r w:rsidR="00874E67">
        <w:t xml:space="preserve"> </w:t>
      </w:r>
      <w:r w:rsidR="00A91CF0">
        <w:t>(</w:t>
      </w:r>
      <w:r w:rsidRPr="004D5471">
        <w:t>OS-NMA</w:t>
      </w:r>
      <w:r w:rsidR="00A91CF0">
        <w:t>)</w:t>
      </w:r>
      <w:r w:rsidR="00874E67">
        <w:t xml:space="preserve"> </w:t>
      </w:r>
      <w:r w:rsidRPr="004D5471">
        <w:t>is not required due to the lack of threats in the environment of application of the buoys, which could highly affect the GNSS solution. In addition, the increased battery consumption as well as the necessity of a reliable timing source which will make it more expensive may not be accepted by the users.</w:t>
      </w:r>
    </w:p>
    <w:p w14:paraId="51872D80" w14:textId="49E9751F" w:rsidR="00933A05" w:rsidRDefault="00933A05" w:rsidP="00537C84">
      <w:pPr>
        <w:jc w:val="both"/>
        <w:rPr>
          <w:rFonts w:cstheme="minorHAnsi"/>
          <w:sz w:val="22"/>
          <w:szCs w:val="32"/>
        </w:rPr>
      </w:pPr>
    </w:p>
    <w:p w14:paraId="499C8CBC" w14:textId="39CBE3A4" w:rsidR="004D5471" w:rsidRDefault="0055707F" w:rsidP="00537C84">
      <w:pPr>
        <w:jc w:val="both"/>
        <w:rPr>
          <w:rFonts w:cstheme="minorHAnsi"/>
          <w:b/>
          <w:sz w:val="22"/>
          <w:szCs w:val="32"/>
        </w:rPr>
      </w:pPr>
      <w:r w:rsidRPr="00961597">
        <w:rPr>
          <w:rFonts w:cstheme="minorHAnsi"/>
          <w:b/>
          <w:sz w:val="22"/>
          <w:szCs w:val="32"/>
        </w:rPr>
        <w:t>Initialization time (TTFF)</w:t>
      </w:r>
    </w:p>
    <w:p w14:paraId="2DF90635" w14:textId="77777777" w:rsidR="00FB7166" w:rsidRDefault="00FB7166" w:rsidP="00FB6622">
      <w:pPr>
        <w:pStyle w:val="Bullet1"/>
        <w:jc w:val="both"/>
      </w:pPr>
      <w:r>
        <w:t>The initialization time (TTFF) may affect the total time that the receiver must be on in order to converge to the proper GNSS solution. This duration directly affects the battery consumption, which as it was showed before, results in a critical element of the buoys. Therefore, the introduction of a constellation which may reduce the TTFF, as Galileo may do, was of interest for the interviewed companies.</w:t>
      </w:r>
    </w:p>
    <w:p w14:paraId="6DD6556F" w14:textId="77777777" w:rsidR="00FF4D12" w:rsidRDefault="00FF4D12" w:rsidP="00537C84">
      <w:pPr>
        <w:jc w:val="both"/>
        <w:rPr>
          <w:rFonts w:cstheme="minorHAnsi"/>
          <w:b/>
          <w:sz w:val="22"/>
          <w:szCs w:val="32"/>
        </w:rPr>
      </w:pPr>
    </w:p>
    <w:p w14:paraId="619D63E9" w14:textId="72DA4F81" w:rsidR="00537C84" w:rsidRDefault="0055707F" w:rsidP="00537C84">
      <w:pPr>
        <w:jc w:val="both"/>
        <w:rPr>
          <w:rFonts w:cstheme="minorHAnsi"/>
          <w:b/>
          <w:sz w:val="22"/>
          <w:szCs w:val="32"/>
        </w:rPr>
      </w:pPr>
      <w:r w:rsidRPr="00961597">
        <w:rPr>
          <w:rFonts w:cstheme="minorHAnsi"/>
          <w:b/>
          <w:sz w:val="22"/>
          <w:szCs w:val="32"/>
        </w:rPr>
        <w:t>Coverage</w:t>
      </w:r>
    </w:p>
    <w:p w14:paraId="1FDF7CEF" w14:textId="77777777" w:rsidR="00537C84" w:rsidRDefault="00537C84" w:rsidP="00FB6622">
      <w:pPr>
        <w:pStyle w:val="Bullet1"/>
        <w:jc w:val="both"/>
      </w:pPr>
      <w:r>
        <w:t xml:space="preserve">The satellite orbit inclination of Galileo helps to increase the coverage of the European system, thanks to reaching latitudes closer to the poles. Therefore, more satellites are visible at those locations which reduces the TTFF and improves the accuracy which may be of interest for many applications. </w:t>
      </w:r>
    </w:p>
    <w:p w14:paraId="5C15CD06" w14:textId="77777777" w:rsidR="005760C0" w:rsidRDefault="005760C0" w:rsidP="00537C84">
      <w:pPr>
        <w:jc w:val="both"/>
        <w:rPr>
          <w:sz w:val="22"/>
        </w:rPr>
      </w:pPr>
    </w:p>
    <w:p w14:paraId="57BAEBB7" w14:textId="566144C0" w:rsidR="005811BE" w:rsidRPr="00F158F6" w:rsidRDefault="005811BE" w:rsidP="005811BE">
      <w:pPr>
        <w:pStyle w:val="BodyText"/>
        <w:rPr>
          <w:rFonts w:eastAsia="Calibri" w:cstheme="minorHAnsi"/>
          <w:lang w:eastAsia="de-DE"/>
        </w:rPr>
      </w:pPr>
      <w:r>
        <w:rPr>
          <w:rFonts w:cstheme="minorHAnsi"/>
          <w:lang w:eastAsia="de-DE"/>
        </w:rPr>
        <w:t>For further information about the project please contact Manuel López Martínez (GSA, &lt;Manuel.LOPEZMARTINEZ@euspa.europa.eu&gt;) or Karel Callewaert (</w:t>
      </w:r>
      <w:r w:rsidR="002D6F44">
        <w:rPr>
          <w:rFonts w:cstheme="minorHAnsi"/>
          <w:lang w:eastAsia="de-DE"/>
        </w:rPr>
        <w:t>VVA, &lt;</w:t>
      </w:r>
      <w:r w:rsidR="002D6F44" w:rsidRPr="002D6F44">
        <w:t>k.callewaert@vva.it</w:t>
      </w:r>
      <w:r w:rsidR="002D6F44">
        <w:rPr>
          <w:rFonts w:cstheme="minorHAnsi"/>
          <w:lang w:eastAsia="de-DE"/>
        </w:rPr>
        <w:t xml:space="preserve">&gt;) or </w:t>
      </w:r>
      <w:proofErr w:type="spellStart"/>
      <w:r>
        <w:rPr>
          <w:rFonts w:cstheme="minorHAnsi"/>
          <w:lang w:eastAsia="de-DE"/>
        </w:rPr>
        <w:t>Gema</w:t>
      </w:r>
      <w:proofErr w:type="spellEnd"/>
      <w:r>
        <w:rPr>
          <w:rFonts w:cstheme="minorHAnsi"/>
          <w:lang w:eastAsia="de-DE"/>
        </w:rPr>
        <w:t xml:space="preserve"> Cueto-</w:t>
      </w:r>
      <w:proofErr w:type="spellStart"/>
      <w:r>
        <w:rPr>
          <w:rFonts w:cstheme="minorHAnsi"/>
          <w:lang w:eastAsia="de-DE"/>
        </w:rPr>
        <w:t>Felgueroso</w:t>
      </w:r>
      <w:proofErr w:type="spellEnd"/>
      <w:r>
        <w:rPr>
          <w:rFonts w:cstheme="minorHAnsi"/>
          <w:lang w:eastAsia="de-DE"/>
        </w:rPr>
        <w:t xml:space="preserve"> (</w:t>
      </w:r>
      <w:r w:rsidR="002D6F44">
        <w:rPr>
          <w:rFonts w:cstheme="minorHAnsi"/>
          <w:lang w:eastAsia="de-DE"/>
        </w:rPr>
        <w:t xml:space="preserve">GMV, </w:t>
      </w:r>
      <w:r>
        <w:rPr>
          <w:rFonts w:cstheme="minorHAnsi"/>
          <w:lang w:eastAsia="de-DE"/>
        </w:rPr>
        <w:t>gcueto@gmv.com).</w:t>
      </w:r>
    </w:p>
    <w:p w14:paraId="37D53C6A" w14:textId="77777777" w:rsidR="005811BE" w:rsidRPr="00FF18FF" w:rsidRDefault="005811BE" w:rsidP="00537C84">
      <w:pPr>
        <w:jc w:val="both"/>
        <w:rPr>
          <w:sz w:val="22"/>
        </w:rPr>
      </w:pPr>
    </w:p>
    <w:p w14:paraId="3C575A26" w14:textId="657FF68C" w:rsidR="001C44A3" w:rsidRPr="00605E43" w:rsidRDefault="00BD4E6F" w:rsidP="00537C84">
      <w:pPr>
        <w:pStyle w:val="Heading1"/>
        <w:jc w:val="both"/>
      </w:pPr>
      <w:r w:rsidRPr="00605E43">
        <w:t>Purpose</w:t>
      </w:r>
      <w:r w:rsidR="004D1D85" w:rsidRPr="00605E43">
        <w:t xml:space="preserve"> of the document</w:t>
      </w:r>
    </w:p>
    <w:p w14:paraId="29822034" w14:textId="23736F05" w:rsidR="00E45701" w:rsidRDefault="00E45701" w:rsidP="00537C84">
      <w:pPr>
        <w:pStyle w:val="Heading1"/>
        <w:numPr>
          <w:ilvl w:val="0"/>
          <w:numId w:val="0"/>
        </w:numPr>
        <w:jc w:val="both"/>
        <w:rPr>
          <w:rFonts w:asciiTheme="minorHAnsi" w:eastAsiaTheme="minorHAnsi" w:hAnsiTheme="minorHAnsi" w:cstheme="minorHAnsi"/>
          <w:b w:val="0"/>
          <w:bCs w:val="0"/>
          <w:caps w:val="0"/>
          <w:color w:val="auto"/>
          <w:sz w:val="22"/>
          <w:szCs w:val="22"/>
          <w:lang w:eastAsia="de-DE"/>
        </w:rPr>
      </w:pPr>
      <w:r w:rsidRPr="00E45701">
        <w:rPr>
          <w:rFonts w:asciiTheme="minorHAnsi" w:eastAsiaTheme="minorHAnsi" w:hAnsiTheme="minorHAnsi" w:cstheme="minorHAnsi"/>
          <w:b w:val="0"/>
          <w:bCs w:val="0"/>
          <w:caps w:val="0"/>
          <w:color w:val="auto"/>
          <w:sz w:val="22"/>
          <w:szCs w:val="22"/>
          <w:lang w:eastAsia="de-DE"/>
        </w:rPr>
        <w:t xml:space="preserve">This paper serves the purpose to inform the IALA ARM Committee Members about the identification of user requirements for ocean monitoring and fishing </w:t>
      </w:r>
      <w:r w:rsidR="009C4D50">
        <w:rPr>
          <w:rFonts w:asciiTheme="minorHAnsi" w:eastAsiaTheme="minorHAnsi" w:hAnsiTheme="minorHAnsi" w:cstheme="minorHAnsi"/>
          <w:b w:val="0"/>
          <w:bCs w:val="0"/>
          <w:caps w:val="0"/>
          <w:color w:val="auto"/>
          <w:sz w:val="22"/>
          <w:szCs w:val="22"/>
          <w:lang w:eastAsia="de-DE"/>
        </w:rPr>
        <w:t>b</w:t>
      </w:r>
      <w:r w:rsidRPr="00E45701">
        <w:rPr>
          <w:rFonts w:asciiTheme="minorHAnsi" w:eastAsiaTheme="minorHAnsi" w:hAnsiTheme="minorHAnsi" w:cstheme="minorHAnsi"/>
          <w:b w:val="0"/>
          <w:bCs w:val="0"/>
          <w:caps w:val="0"/>
          <w:color w:val="auto"/>
          <w:sz w:val="22"/>
          <w:szCs w:val="22"/>
          <w:lang w:eastAsia="de-DE"/>
        </w:rPr>
        <w:t>uoys</w:t>
      </w:r>
      <w:r w:rsidR="001412D1">
        <w:rPr>
          <w:rFonts w:asciiTheme="minorHAnsi" w:eastAsiaTheme="minorHAnsi" w:hAnsiTheme="minorHAnsi" w:cstheme="minorHAnsi"/>
          <w:b w:val="0"/>
          <w:bCs w:val="0"/>
          <w:caps w:val="0"/>
          <w:color w:val="auto"/>
          <w:sz w:val="22"/>
          <w:szCs w:val="22"/>
          <w:lang w:eastAsia="de-DE"/>
        </w:rPr>
        <w:t xml:space="preserve">, studied under </w:t>
      </w:r>
      <w:r w:rsidR="0040473F">
        <w:rPr>
          <w:rFonts w:asciiTheme="minorHAnsi" w:eastAsiaTheme="minorHAnsi" w:hAnsiTheme="minorHAnsi" w:cstheme="minorHAnsi"/>
          <w:b w:val="0"/>
          <w:bCs w:val="0"/>
          <w:caps w:val="0"/>
          <w:color w:val="auto"/>
          <w:sz w:val="22"/>
          <w:szCs w:val="22"/>
          <w:lang w:eastAsia="de-DE"/>
        </w:rPr>
        <w:t xml:space="preserve">the </w:t>
      </w:r>
      <w:r w:rsidR="0040473F" w:rsidRPr="0040473F">
        <w:rPr>
          <w:rFonts w:asciiTheme="minorHAnsi" w:eastAsiaTheme="minorHAnsi" w:hAnsiTheme="minorHAnsi" w:cstheme="minorHAnsi"/>
          <w:b w:val="0"/>
          <w:bCs w:val="0"/>
          <w:caps w:val="0"/>
          <w:color w:val="auto"/>
          <w:sz w:val="22"/>
          <w:szCs w:val="22"/>
          <w:lang w:eastAsia="de-DE"/>
        </w:rPr>
        <w:t xml:space="preserve">Framework Contract GSA/OP/09/16/Lot 3 </w:t>
      </w:r>
      <w:r w:rsidR="009C4D50">
        <w:rPr>
          <w:rFonts w:asciiTheme="minorHAnsi" w:eastAsiaTheme="minorHAnsi" w:hAnsiTheme="minorHAnsi" w:cstheme="minorHAnsi"/>
          <w:b w:val="0"/>
          <w:bCs w:val="0"/>
          <w:caps w:val="0"/>
          <w:color w:val="auto"/>
          <w:sz w:val="22"/>
          <w:szCs w:val="22"/>
          <w:lang w:eastAsia="de-DE"/>
        </w:rPr>
        <w:t xml:space="preserve">that </w:t>
      </w:r>
      <w:r w:rsidR="0040473F" w:rsidRPr="0040473F">
        <w:rPr>
          <w:rFonts w:asciiTheme="minorHAnsi" w:eastAsiaTheme="minorHAnsi" w:hAnsiTheme="minorHAnsi" w:cstheme="minorHAnsi"/>
          <w:b w:val="0"/>
          <w:bCs w:val="0"/>
          <w:caps w:val="0"/>
          <w:color w:val="auto"/>
          <w:sz w:val="22"/>
          <w:szCs w:val="22"/>
          <w:lang w:eastAsia="de-DE"/>
        </w:rPr>
        <w:t>focused on the adoption of EGNSS differentiators in Transport and Emergency response applications</w:t>
      </w:r>
      <w:r w:rsidR="004D7B05">
        <w:rPr>
          <w:rFonts w:asciiTheme="minorHAnsi" w:eastAsiaTheme="minorHAnsi" w:hAnsiTheme="minorHAnsi" w:cstheme="minorHAnsi"/>
          <w:b w:val="0"/>
          <w:bCs w:val="0"/>
          <w:caps w:val="0"/>
          <w:color w:val="auto"/>
          <w:sz w:val="22"/>
          <w:szCs w:val="22"/>
          <w:lang w:eastAsia="de-DE"/>
        </w:rPr>
        <w:t xml:space="preserve">, prepared </w:t>
      </w:r>
      <w:r w:rsidR="00FB27EF">
        <w:rPr>
          <w:rFonts w:asciiTheme="minorHAnsi" w:eastAsiaTheme="minorHAnsi" w:hAnsiTheme="minorHAnsi" w:cstheme="minorHAnsi"/>
          <w:b w:val="0"/>
          <w:bCs w:val="0"/>
          <w:caps w:val="0"/>
          <w:color w:val="auto"/>
          <w:sz w:val="22"/>
          <w:szCs w:val="22"/>
          <w:lang w:eastAsia="de-DE"/>
        </w:rPr>
        <w:t>by VVA</w:t>
      </w:r>
      <w:r w:rsidR="005811BE">
        <w:rPr>
          <w:rFonts w:asciiTheme="minorHAnsi" w:eastAsiaTheme="minorHAnsi" w:hAnsiTheme="minorHAnsi" w:cstheme="minorHAnsi"/>
          <w:b w:val="0"/>
          <w:bCs w:val="0"/>
          <w:caps w:val="0"/>
          <w:color w:val="auto"/>
          <w:sz w:val="22"/>
          <w:szCs w:val="22"/>
          <w:lang w:eastAsia="de-DE"/>
        </w:rPr>
        <w:t xml:space="preserve"> and </w:t>
      </w:r>
      <w:r w:rsidR="004D7B05">
        <w:rPr>
          <w:rFonts w:asciiTheme="minorHAnsi" w:eastAsiaTheme="minorHAnsi" w:hAnsiTheme="minorHAnsi" w:cstheme="minorHAnsi"/>
          <w:b w:val="0"/>
          <w:bCs w:val="0"/>
          <w:caps w:val="0"/>
          <w:color w:val="auto"/>
          <w:sz w:val="22"/>
          <w:szCs w:val="22"/>
          <w:lang w:eastAsia="de-DE"/>
        </w:rPr>
        <w:t xml:space="preserve">GMV for EUSPA. </w:t>
      </w:r>
    </w:p>
    <w:p w14:paraId="1E76C9F8" w14:textId="77777777" w:rsidR="002D6F44" w:rsidRPr="002D6F44" w:rsidRDefault="002D6F44" w:rsidP="002D6F44">
      <w:pPr>
        <w:pStyle w:val="BodyText"/>
      </w:pPr>
    </w:p>
    <w:p w14:paraId="1D083D92" w14:textId="0D62FC9F" w:rsidR="00180DDA" w:rsidRPr="007A395D" w:rsidRDefault="00180DDA" w:rsidP="00537C84">
      <w:pPr>
        <w:pStyle w:val="Heading1"/>
        <w:jc w:val="both"/>
      </w:pPr>
      <w:r w:rsidRPr="007A395D">
        <w:t>References</w:t>
      </w:r>
    </w:p>
    <w:p w14:paraId="0229C924" w14:textId="2C16223A" w:rsidR="00954B1D" w:rsidRPr="00734176" w:rsidRDefault="00C2237B" w:rsidP="00537C84">
      <w:pPr>
        <w:pStyle w:val="Reference"/>
      </w:pPr>
      <w:r>
        <w:t xml:space="preserve">2008 </w:t>
      </w:r>
      <w:r w:rsidR="00263E60" w:rsidRPr="00734176">
        <w:t>Federal Radionavigation Plan</w:t>
      </w:r>
      <w:r>
        <w:t xml:space="preserve">, </w:t>
      </w:r>
      <w:r w:rsidR="00734176" w:rsidRPr="00734176">
        <w:t xml:space="preserve">American </w:t>
      </w:r>
      <w:r w:rsidR="00B4289B">
        <w:t xml:space="preserve">Department of </w:t>
      </w:r>
      <w:proofErr w:type="spellStart"/>
      <w:r w:rsidR="00B4289B">
        <w:t>Defense</w:t>
      </w:r>
      <w:proofErr w:type="spellEnd"/>
      <w:r w:rsidR="00B4289B">
        <w:t>, Department of Homeland Security, and Department of Transportation</w:t>
      </w:r>
    </w:p>
    <w:p w14:paraId="11EBAC95" w14:textId="70AD8C38" w:rsidR="00954B1D" w:rsidRPr="00B4289B" w:rsidRDefault="00585DEE" w:rsidP="00537C84">
      <w:pPr>
        <w:pStyle w:val="Reference"/>
      </w:pPr>
      <w:r w:rsidRPr="00B4289B">
        <w:t>Resolution A.915(22): Revised Maritime Policy and Requirements for a Future GNSS, IMO</w:t>
      </w:r>
    </w:p>
    <w:p w14:paraId="598D2002" w14:textId="4B9796E2" w:rsidR="009C2729" w:rsidRDefault="009C2729" w:rsidP="00537C84">
      <w:pPr>
        <w:pStyle w:val="Reference"/>
      </w:pPr>
      <w:r w:rsidRPr="00EF1CA6">
        <w:t>Performance and Monitoring of DGNSS Services in the Frequency Band 283.5-325khz, IALA</w:t>
      </w:r>
    </w:p>
    <w:p w14:paraId="118440BC" w14:textId="13DBEE6E" w:rsidR="009B5E90" w:rsidRDefault="00037CAE" w:rsidP="00537C84">
      <w:pPr>
        <w:pStyle w:val="Reference"/>
      </w:pPr>
      <w:r>
        <w:t xml:space="preserve">The State of World Fisheries and Aquaculture 2020, </w:t>
      </w:r>
      <w:r w:rsidRPr="00201190">
        <w:t>FAO</w:t>
      </w:r>
    </w:p>
    <w:p w14:paraId="7756BEE9" w14:textId="77777777" w:rsidR="00D64F6D" w:rsidRPr="00EF1CA6" w:rsidRDefault="00D64F6D" w:rsidP="00537C84">
      <w:pPr>
        <w:pStyle w:val="BodyText"/>
      </w:pPr>
    </w:p>
    <w:p w14:paraId="7A8D2F27" w14:textId="77777777" w:rsidR="00A446C9" w:rsidRPr="007A395D" w:rsidRDefault="00A446C9" w:rsidP="00537C84">
      <w:pPr>
        <w:pStyle w:val="Heading1"/>
        <w:jc w:val="both"/>
      </w:pPr>
      <w:r w:rsidRPr="007A395D">
        <w:lastRenderedPageBreak/>
        <w:t>Action requested of the Committee</w:t>
      </w:r>
    </w:p>
    <w:p w14:paraId="43D69C6D" w14:textId="77777777" w:rsidR="007B34A5" w:rsidRDefault="007B34A5" w:rsidP="00537C84">
      <w:pPr>
        <w:pStyle w:val="BodyText"/>
        <w:rPr>
          <w:rFonts w:ascii="Calibri" w:eastAsia="Calibri" w:hAnsi="Calibri" w:cs="Calibri"/>
          <w:lang w:eastAsia="en-GB"/>
        </w:rPr>
      </w:pPr>
      <w:r>
        <w:rPr>
          <w:rFonts w:ascii="Calibri" w:hAnsi="Calibri"/>
        </w:rPr>
        <w:t>The Committee is requested to:</w:t>
      </w:r>
    </w:p>
    <w:p w14:paraId="1B3BD97E" w14:textId="77777777" w:rsidR="007B34A5" w:rsidRDefault="007B34A5" w:rsidP="00537C84">
      <w:pPr>
        <w:pStyle w:val="List1"/>
      </w:pPr>
      <w:r>
        <w:t>Note the information within this paper.</w:t>
      </w:r>
    </w:p>
    <w:p w14:paraId="1E3EC6A8" w14:textId="5E3C0DC8" w:rsidR="007B34A5" w:rsidRDefault="007B34A5" w:rsidP="00537C84">
      <w:pPr>
        <w:pStyle w:val="List1"/>
      </w:pPr>
      <w:r>
        <w:t xml:space="preserve">Include the proposed </w:t>
      </w:r>
      <w:r w:rsidR="00924629">
        <w:t>information paper into</w:t>
      </w:r>
      <w:r>
        <w:t xml:space="preserve"> the IALA documentation if so considered by the discussion</w:t>
      </w:r>
    </w:p>
    <w:p w14:paraId="5BF82B37" w14:textId="4052CE0F" w:rsidR="00F158F6" w:rsidRDefault="00F158F6">
      <w:pPr>
        <w:spacing w:line="240" w:lineRule="auto"/>
        <w:rPr>
          <w:rFonts w:eastAsia="Times New Roman" w:cs="Times New Roman"/>
          <w:sz w:val="22"/>
          <w:szCs w:val="20"/>
          <w:lang w:eastAsia="en-GB"/>
        </w:rPr>
      </w:pPr>
    </w:p>
    <w:p w14:paraId="16AE6650" w14:textId="21E350F5" w:rsidR="004D1D85" w:rsidRPr="007A395D" w:rsidRDefault="004D1D85" w:rsidP="007B34A5">
      <w:pPr>
        <w:pStyle w:val="AppendixHead3"/>
        <w:numPr>
          <w:ilvl w:val="0"/>
          <w:numId w:val="0"/>
        </w:numPr>
      </w:pPr>
    </w:p>
    <w:sectPr w:rsidR="004D1D85" w:rsidRPr="007A395D" w:rsidSect="0082480E">
      <w:headerReference w:type="default" r:id="rId15"/>
      <w:footerReference w:type="default" r:id="rId16"/>
      <w:headerReference w:type="first" r:id="rId17"/>
      <w:footerReference w:type="first" r:id="rId1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DC61A0" w14:textId="77777777" w:rsidR="00F31406" w:rsidRDefault="00F31406" w:rsidP="00362CD9">
      <w:r>
        <w:separator/>
      </w:r>
    </w:p>
  </w:endnote>
  <w:endnote w:type="continuationSeparator" w:id="0">
    <w:p w14:paraId="4C0F1006" w14:textId="77777777" w:rsidR="00F31406" w:rsidRDefault="00F31406"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20B07040202020202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95564" w14:textId="77777777" w:rsidR="003351C4" w:rsidRDefault="003351C4" w:rsidP="004533B7">
    <w:pPr>
      <w:pStyle w:val="Footerportrait"/>
    </w:pPr>
  </w:p>
  <w:p w14:paraId="50E06A6A" w14:textId="335F0D5C" w:rsidR="004533B7" w:rsidRPr="00C907DF" w:rsidRDefault="007F024E" w:rsidP="004533B7">
    <w:pPr>
      <w:pStyle w:val="Footerportrait"/>
    </w:pPr>
    <w:r>
      <w:t>GNSS User Requirements for Ocean Monitoring Buoys</w:t>
    </w:r>
    <w:r w:rsidR="004533B7" w:rsidRPr="00C907DF">
      <w:tab/>
    </w:r>
    <w:r w:rsidR="004533B7">
      <w:t xml:space="preserve">P </w:t>
    </w:r>
    <w:r w:rsidR="004533B7" w:rsidRPr="00C907DF">
      <w:rPr>
        <w:rStyle w:val="PageNumber"/>
        <w:szCs w:val="15"/>
      </w:rPr>
      <w:fldChar w:fldCharType="begin"/>
    </w:r>
    <w:r w:rsidR="004533B7" w:rsidRPr="00C907DF">
      <w:rPr>
        <w:rStyle w:val="PageNumber"/>
        <w:szCs w:val="15"/>
      </w:rPr>
      <w:instrText xml:space="preserve">PAGE  </w:instrText>
    </w:r>
    <w:r w:rsidR="004533B7" w:rsidRPr="00C907DF">
      <w:rPr>
        <w:rStyle w:val="PageNumber"/>
        <w:szCs w:val="15"/>
      </w:rPr>
      <w:fldChar w:fldCharType="separate"/>
    </w:r>
    <w:r w:rsidR="001F7C17">
      <w:rPr>
        <w:rStyle w:val="PageNumber"/>
        <w:szCs w:val="15"/>
      </w:rPr>
      <w:t>3</w:t>
    </w:r>
    <w:r w:rsidR="004533B7" w:rsidRPr="00C907DF">
      <w:rPr>
        <w:rStyle w:val="PageNumber"/>
        <w:szCs w:val="15"/>
      </w:rPr>
      <w:fldChar w:fldCharType="end"/>
    </w:r>
  </w:p>
  <w:p w14:paraId="08F0EF88" w14:textId="696D6978" w:rsidR="00362CD9" w:rsidRPr="00B93155" w:rsidRDefault="00362CD9">
    <w:pPr>
      <w:pStyle w:val="Footer"/>
      <w:rPr>
        <w:rFonts w:ascii="Calibri" w:hAnsi="Calibri"/>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2E3AD" w14:textId="77777777" w:rsidR="00637047" w:rsidRDefault="00637047" w:rsidP="00637047">
    <w:pPr>
      <w:pStyle w:val="Footerportrait"/>
    </w:pPr>
    <w:r>
      <w:tab/>
    </w:r>
  </w:p>
  <w:p w14:paraId="3A693EAD" w14:textId="7497918A" w:rsidR="00637047" w:rsidRPr="00C907DF" w:rsidRDefault="00ED40CD" w:rsidP="00637047">
    <w:pPr>
      <w:pStyle w:val="Footerportrait"/>
    </w:pPr>
    <w:r>
      <w:rPr>
        <w:b w:val="0"/>
        <w:bCs/>
        <w:lang w:val="es-ES"/>
      </w:rPr>
      <w:fldChar w:fldCharType="begin"/>
    </w:r>
    <w:r>
      <w:rPr>
        <w:b w:val="0"/>
        <w:bCs/>
        <w:lang w:val="es-ES"/>
      </w:rPr>
      <w:instrText xml:space="preserve"> STYLEREF  Title  \* MERGEFORMAT </w:instrText>
    </w:r>
    <w:r>
      <w:rPr>
        <w:b w:val="0"/>
        <w:bCs/>
        <w:lang w:val="es-ES"/>
      </w:rPr>
      <w:fldChar w:fldCharType="separate"/>
    </w:r>
    <w:r w:rsidR="007B34A5">
      <w:rPr>
        <w:b w:val="0"/>
        <w:bCs/>
        <w:lang w:val="es-ES"/>
      </w:rPr>
      <w:t>¡Error! Utilice la pestaña Inicio para aplicar Title al texto que desea que aparezca aquí.</w:t>
    </w:r>
    <w:r>
      <w:rPr>
        <w:b w:val="0"/>
        <w:bCs/>
        <w:lang w:val="es-ES"/>
      </w:rPr>
      <w:fldChar w:fldCharType="end"/>
    </w:r>
    <w:r w:rsidR="00637047" w:rsidRPr="00F158F6">
      <w:rPr>
        <w:lang w:val="es-ES"/>
      </w:rPr>
      <w:tab/>
    </w:r>
    <w:r w:rsidR="00637047">
      <w:t xml:space="preserve">P </w:t>
    </w:r>
    <w:r w:rsidR="00637047" w:rsidRPr="00C907DF">
      <w:rPr>
        <w:rStyle w:val="PageNumber"/>
        <w:szCs w:val="15"/>
      </w:rPr>
      <w:fldChar w:fldCharType="begin"/>
    </w:r>
    <w:r w:rsidR="00637047" w:rsidRPr="00C907DF">
      <w:rPr>
        <w:rStyle w:val="PageNumber"/>
        <w:szCs w:val="15"/>
      </w:rPr>
      <w:instrText xml:space="preserve">PAGE  </w:instrText>
    </w:r>
    <w:r w:rsidR="00637047" w:rsidRPr="00C907DF">
      <w:rPr>
        <w:rStyle w:val="PageNumber"/>
        <w:szCs w:val="15"/>
      </w:rPr>
      <w:fldChar w:fldCharType="separate"/>
    </w:r>
    <w:r w:rsidR="007B34A5">
      <w:rPr>
        <w:rStyle w:val="PageNumber"/>
        <w:szCs w:val="15"/>
      </w:rPr>
      <w:t>1</w:t>
    </w:r>
    <w:r w:rsidR="00637047" w:rsidRPr="00C907DF">
      <w:rPr>
        <w:rStyle w:val="PageNumber"/>
        <w:szCs w:val="15"/>
      </w:rPr>
      <w:fldChar w:fldCharType="end"/>
    </w:r>
  </w:p>
  <w:p w14:paraId="72964471" w14:textId="77777777" w:rsidR="00637047" w:rsidRPr="00ED2A8D" w:rsidRDefault="00637047" w:rsidP="00637047">
    <w:pPr>
      <w:pStyle w:val="Footer"/>
    </w:pPr>
  </w:p>
  <w:p w14:paraId="72687741" w14:textId="09CC9BD7" w:rsidR="00637047" w:rsidRDefault="00637047" w:rsidP="00C02DDD">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1AF151" w14:textId="77777777" w:rsidR="00F31406" w:rsidRDefault="00F31406" w:rsidP="00362CD9">
      <w:r>
        <w:separator/>
      </w:r>
    </w:p>
  </w:footnote>
  <w:footnote w:type="continuationSeparator" w:id="0">
    <w:p w14:paraId="770F6CE8" w14:textId="77777777" w:rsidR="00F31406" w:rsidRDefault="00F31406" w:rsidP="00362CD9">
      <w:r>
        <w:continuationSeparator/>
      </w:r>
    </w:p>
  </w:footnote>
  <w:footnote w:id="1">
    <w:p w14:paraId="741FE09C" w14:textId="56CC54BF" w:rsidR="00420A38" w:rsidRPr="00C02DDD" w:rsidRDefault="00420A38">
      <w:pPr>
        <w:pStyle w:val="FootnoteText"/>
      </w:pPr>
      <w:r w:rsidRPr="00C02DDD">
        <w:footnoteRef/>
      </w:r>
      <w:r>
        <w:t xml:space="preserve"> </w:t>
      </w:r>
      <w:r w:rsidR="00EA5A97" w:rsidRPr="00C02DDD">
        <w:t>Input document number, to be assigned by the Committee Secretary</w:t>
      </w:r>
    </w:p>
  </w:footnote>
  <w:footnote w:id="2">
    <w:p w14:paraId="13DFA22D" w14:textId="3BCF7A71" w:rsidR="00037DF4" w:rsidRPr="00037DF4" w:rsidRDefault="00037DF4">
      <w:pPr>
        <w:pStyle w:val="FootnoteText"/>
      </w:pPr>
      <w:r w:rsidRPr="00C02DDD">
        <w:footnoteRef/>
      </w:r>
      <w:r w:rsidRPr="00037DF4">
        <w:t xml:space="preserve"> </w:t>
      </w:r>
      <w:r w:rsidRPr="00C02DDD">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CAE2E27" w:rsidR="007C346C" w:rsidRDefault="007A395D" w:rsidP="007A395D">
    <w:pPr>
      <w:pStyle w:val="Header"/>
      <w:jc w:val="right"/>
    </w:pPr>
    <w:r>
      <w:rPr>
        <w:noProof/>
        <w:lang w:val="es-ES" w:eastAsia="es-ES"/>
      </w:rPr>
      <w:drawing>
        <wp:anchor distT="0" distB="0" distL="114300" distR="114300" simplePos="0" relativeHeight="251665408" behindDoc="0" locked="0" layoutInCell="1" allowOverlap="1" wp14:anchorId="1057C1DB" wp14:editId="38CFFC24">
          <wp:simplePos x="0" y="0"/>
          <wp:positionH relativeFrom="column">
            <wp:posOffset>6055995</wp:posOffset>
          </wp:positionH>
          <wp:positionV relativeFrom="paragraph">
            <wp:posOffset>-185420</wp:posOffset>
          </wp:positionV>
          <wp:extent cx="574675" cy="560070"/>
          <wp:effectExtent l="0" t="0" r="0" b="0"/>
          <wp:wrapSquare wrapText="bothSides"/>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lang w:val="es-ES" w:eastAsia="es-ES"/>
      </w:rPr>
      <w:drawing>
        <wp:anchor distT="0" distB="0" distL="114300" distR="114300" simplePos="0" relativeHeight="251658240" behindDoc="0" locked="0" layoutInCell="1" allowOverlap="1" wp14:anchorId="45EB1AFA" wp14:editId="007CFB3E">
          <wp:simplePos x="0" y="0"/>
          <wp:positionH relativeFrom="column">
            <wp:posOffset>2522855</wp:posOffset>
          </wp:positionH>
          <wp:positionV relativeFrom="paragraph">
            <wp:posOffset>-100330</wp:posOffset>
          </wp:positionV>
          <wp:extent cx="852713" cy="831071"/>
          <wp:effectExtent l="0" t="0" r="0" b="0"/>
          <wp:wrapSquare wrapText="bothSides"/>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526CEAB2"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2"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4"/>
  </w:num>
  <w:num w:numId="3">
    <w:abstractNumId w:val="1"/>
  </w:num>
  <w:num w:numId="4">
    <w:abstractNumId w:val="20"/>
  </w:num>
  <w:num w:numId="5">
    <w:abstractNumId w:val="12"/>
  </w:num>
  <w:num w:numId="6">
    <w:abstractNumId w:val="7"/>
  </w:num>
  <w:num w:numId="7">
    <w:abstractNumId w:val="18"/>
  </w:num>
  <w:num w:numId="8">
    <w:abstractNumId w:val="6"/>
  </w:num>
  <w:num w:numId="9">
    <w:abstractNumId w:val="16"/>
  </w:num>
  <w:num w:numId="10">
    <w:abstractNumId w:val="13"/>
  </w:num>
  <w:num w:numId="11">
    <w:abstractNumId w:val="15"/>
  </w:num>
  <w:num w:numId="12">
    <w:abstractNumId w:val="23"/>
  </w:num>
  <w:num w:numId="13">
    <w:abstractNumId w:val="3"/>
  </w:num>
  <w:num w:numId="14">
    <w:abstractNumId w:val="8"/>
  </w:num>
  <w:num w:numId="15">
    <w:abstractNumId w:val="4"/>
  </w:num>
  <w:num w:numId="16">
    <w:abstractNumId w:val="2"/>
  </w:num>
  <w:num w:numId="17">
    <w:abstractNumId w:val="19"/>
  </w:num>
  <w:num w:numId="18">
    <w:abstractNumId w:val="22"/>
  </w:num>
  <w:num w:numId="19">
    <w:abstractNumId w:val="5"/>
  </w:num>
  <w:num w:numId="20">
    <w:abstractNumId w:val="17"/>
  </w:num>
  <w:num w:numId="21">
    <w:abstractNumId w:val="11"/>
  </w:num>
  <w:num w:numId="22">
    <w:abstractNumId w:val="21"/>
  </w:num>
  <w:num w:numId="23">
    <w:abstractNumId w:val="10"/>
  </w:num>
  <w:num w:numId="24">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G3NDKyALLMTM3NjJV0lIJTi4sz8/NACgxrAXLxrRssAAAA"/>
  </w:docVars>
  <w:rsids>
    <w:rsidRoot w:val="00FE5674"/>
    <w:rsid w:val="000005D3"/>
    <w:rsid w:val="000049D8"/>
    <w:rsid w:val="00026341"/>
    <w:rsid w:val="00030E51"/>
    <w:rsid w:val="00036B9E"/>
    <w:rsid w:val="00037CAE"/>
    <w:rsid w:val="00037DF4"/>
    <w:rsid w:val="00041529"/>
    <w:rsid w:val="0004700E"/>
    <w:rsid w:val="00057FCA"/>
    <w:rsid w:val="0006656B"/>
    <w:rsid w:val="00070C13"/>
    <w:rsid w:val="000715C9"/>
    <w:rsid w:val="00072FB5"/>
    <w:rsid w:val="0008300A"/>
    <w:rsid w:val="00084F33"/>
    <w:rsid w:val="000A77A7"/>
    <w:rsid w:val="000B1353"/>
    <w:rsid w:val="000B1707"/>
    <w:rsid w:val="000C0A26"/>
    <w:rsid w:val="000C1213"/>
    <w:rsid w:val="000C1B3E"/>
    <w:rsid w:val="000C349E"/>
    <w:rsid w:val="000C7CA4"/>
    <w:rsid w:val="000D1BC4"/>
    <w:rsid w:val="000F0988"/>
    <w:rsid w:val="000F31F1"/>
    <w:rsid w:val="000F4E67"/>
    <w:rsid w:val="000F6B8F"/>
    <w:rsid w:val="001034AB"/>
    <w:rsid w:val="00110203"/>
    <w:rsid w:val="00110AE7"/>
    <w:rsid w:val="001241C8"/>
    <w:rsid w:val="001412D1"/>
    <w:rsid w:val="00154A51"/>
    <w:rsid w:val="001575DE"/>
    <w:rsid w:val="0016324C"/>
    <w:rsid w:val="00163866"/>
    <w:rsid w:val="00177F4D"/>
    <w:rsid w:val="00180DDA"/>
    <w:rsid w:val="00197F63"/>
    <w:rsid w:val="001A0F83"/>
    <w:rsid w:val="001A2454"/>
    <w:rsid w:val="001B2A2D"/>
    <w:rsid w:val="001B737D"/>
    <w:rsid w:val="001C44A3"/>
    <w:rsid w:val="001C77BB"/>
    <w:rsid w:val="001D7914"/>
    <w:rsid w:val="001E0345"/>
    <w:rsid w:val="001E0E15"/>
    <w:rsid w:val="001F2746"/>
    <w:rsid w:val="001F528A"/>
    <w:rsid w:val="001F704E"/>
    <w:rsid w:val="001F7C17"/>
    <w:rsid w:val="00201722"/>
    <w:rsid w:val="002125B0"/>
    <w:rsid w:val="00221E08"/>
    <w:rsid w:val="002264DB"/>
    <w:rsid w:val="00237D7C"/>
    <w:rsid w:val="002405A7"/>
    <w:rsid w:val="00240882"/>
    <w:rsid w:val="00243228"/>
    <w:rsid w:val="00251483"/>
    <w:rsid w:val="00255CAA"/>
    <w:rsid w:val="0025624E"/>
    <w:rsid w:val="0025741F"/>
    <w:rsid w:val="00263E60"/>
    <w:rsid w:val="00264305"/>
    <w:rsid w:val="0027023F"/>
    <w:rsid w:val="00275E7B"/>
    <w:rsid w:val="00277485"/>
    <w:rsid w:val="00286FEF"/>
    <w:rsid w:val="002878CB"/>
    <w:rsid w:val="002957C5"/>
    <w:rsid w:val="002A0346"/>
    <w:rsid w:val="002A0929"/>
    <w:rsid w:val="002A4487"/>
    <w:rsid w:val="002B49E9"/>
    <w:rsid w:val="002B7491"/>
    <w:rsid w:val="002C632E"/>
    <w:rsid w:val="002D3E8B"/>
    <w:rsid w:val="002D4575"/>
    <w:rsid w:val="002D5C0C"/>
    <w:rsid w:val="002D6F44"/>
    <w:rsid w:val="002E03D1"/>
    <w:rsid w:val="002E3BE0"/>
    <w:rsid w:val="002E6B74"/>
    <w:rsid w:val="002E6FCA"/>
    <w:rsid w:val="00311055"/>
    <w:rsid w:val="00314F44"/>
    <w:rsid w:val="00327E9F"/>
    <w:rsid w:val="003304D0"/>
    <w:rsid w:val="00333742"/>
    <w:rsid w:val="003351C4"/>
    <w:rsid w:val="00351694"/>
    <w:rsid w:val="0035243F"/>
    <w:rsid w:val="00356CD0"/>
    <w:rsid w:val="0036164B"/>
    <w:rsid w:val="00362CD9"/>
    <w:rsid w:val="0037411D"/>
    <w:rsid w:val="003761CA"/>
    <w:rsid w:val="0038049E"/>
    <w:rsid w:val="00380DAF"/>
    <w:rsid w:val="003972CE"/>
    <w:rsid w:val="003B2635"/>
    <w:rsid w:val="003B28F5"/>
    <w:rsid w:val="003B7B7D"/>
    <w:rsid w:val="003C54CB"/>
    <w:rsid w:val="003C7A2A"/>
    <w:rsid w:val="003D25A2"/>
    <w:rsid w:val="003D2DC1"/>
    <w:rsid w:val="003D69D0"/>
    <w:rsid w:val="003E5D7B"/>
    <w:rsid w:val="003F2918"/>
    <w:rsid w:val="003F430E"/>
    <w:rsid w:val="003F51BF"/>
    <w:rsid w:val="0040473F"/>
    <w:rsid w:val="004064A0"/>
    <w:rsid w:val="0041088C"/>
    <w:rsid w:val="0041230E"/>
    <w:rsid w:val="00412822"/>
    <w:rsid w:val="00420A38"/>
    <w:rsid w:val="00426DB3"/>
    <w:rsid w:val="00431B19"/>
    <w:rsid w:val="00434FE5"/>
    <w:rsid w:val="004533B7"/>
    <w:rsid w:val="00456576"/>
    <w:rsid w:val="004661AD"/>
    <w:rsid w:val="00466931"/>
    <w:rsid w:val="00466BB0"/>
    <w:rsid w:val="004822F0"/>
    <w:rsid w:val="00486CFD"/>
    <w:rsid w:val="00487A44"/>
    <w:rsid w:val="0049429F"/>
    <w:rsid w:val="004D1D85"/>
    <w:rsid w:val="004D3C3A"/>
    <w:rsid w:val="004D5471"/>
    <w:rsid w:val="004D7B05"/>
    <w:rsid w:val="004E1CD1"/>
    <w:rsid w:val="004E6CB1"/>
    <w:rsid w:val="004F7616"/>
    <w:rsid w:val="0050690E"/>
    <w:rsid w:val="005107EB"/>
    <w:rsid w:val="00510B2F"/>
    <w:rsid w:val="00514803"/>
    <w:rsid w:val="00521345"/>
    <w:rsid w:val="00521B7D"/>
    <w:rsid w:val="00526DF0"/>
    <w:rsid w:val="00537C84"/>
    <w:rsid w:val="00544D88"/>
    <w:rsid w:val="00545714"/>
    <w:rsid w:val="005457E7"/>
    <w:rsid w:val="00545CC4"/>
    <w:rsid w:val="00551FFF"/>
    <w:rsid w:val="0055707F"/>
    <w:rsid w:val="0056057A"/>
    <w:rsid w:val="005607A2"/>
    <w:rsid w:val="00566AD7"/>
    <w:rsid w:val="00570552"/>
    <w:rsid w:val="0057198B"/>
    <w:rsid w:val="00572D3B"/>
    <w:rsid w:val="00573CFE"/>
    <w:rsid w:val="005760C0"/>
    <w:rsid w:val="005811BE"/>
    <w:rsid w:val="00585DEE"/>
    <w:rsid w:val="005969F2"/>
    <w:rsid w:val="00597FAE"/>
    <w:rsid w:val="005B32A3"/>
    <w:rsid w:val="005C0D44"/>
    <w:rsid w:val="005C536B"/>
    <w:rsid w:val="005C566C"/>
    <w:rsid w:val="005C68D9"/>
    <w:rsid w:val="005C7E69"/>
    <w:rsid w:val="005D734F"/>
    <w:rsid w:val="005E262D"/>
    <w:rsid w:val="005F1C01"/>
    <w:rsid w:val="005F23D3"/>
    <w:rsid w:val="005F7E20"/>
    <w:rsid w:val="00605180"/>
    <w:rsid w:val="00605E43"/>
    <w:rsid w:val="006153BB"/>
    <w:rsid w:val="00616D13"/>
    <w:rsid w:val="006279F9"/>
    <w:rsid w:val="00635ADD"/>
    <w:rsid w:val="00637047"/>
    <w:rsid w:val="0066311E"/>
    <w:rsid w:val="006652C3"/>
    <w:rsid w:val="006746F5"/>
    <w:rsid w:val="00690CB0"/>
    <w:rsid w:val="00691FD0"/>
    <w:rsid w:val="00692148"/>
    <w:rsid w:val="006962E2"/>
    <w:rsid w:val="006A1A1E"/>
    <w:rsid w:val="006A4BF8"/>
    <w:rsid w:val="006A56C4"/>
    <w:rsid w:val="006B613C"/>
    <w:rsid w:val="006C4732"/>
    <w:rsid w:val="006C5948"/>
    <w:rsid w:val="006E0390"/>
    <w:rsid w:val="006E2121"/>
    <w:rsid w:val="006E5540"/>
    <w:rsid w:val="006F2A74"/>
    <w:rsid w:val="00700A0B"/>
    <w:rsid w:val="00707EE3"/>
    <w:rsid w:val="007118F5"/>
    <w:rsid w:val="00712AA4"/>
    <w:rsid w:val="007146C4"/>
    <w:rsid w:val="00721AA1"/>
    <w:rsid w:val="00724B67"/>
    <w:rsid w:val="00734176"/>
    <w:rsid w:val="00753A8C"/>
    <w:rsid w:val="007547F8"/>
    <w:rsid w:val="00756C8D"/>
    <w:rsid w:val="00763AB3"/>
    <w:rsid w:val="00765622"/>
    <w:rsid w:val="00770B6C"/>
    <w:rsid w:val="00774730"/>
    <w:rsid w:val="00783FEA"/>
    <w:rsid w:val="007926DC"/>
    <w:rsid w:val="007A3203"/>
    <w:rsid w:val="007A395D"/>
    <w:rsid w:val="007B34A5"/>
    <w:rsid w:val="007C346C"/>
    <w:rsid w:val="007D63E3"/>
    <w:rsid w:val="007F024E"/>
    <w:rsid w:val="0080294B"/>
    <w:rsid w:val="00822136"/>
    <w:rsid w:val="0082480E"/>
    <w:rsid w:val="0083060C"/>
    <w:rsid w:val="00850293"/>
    <w:rsid w:val="00851373"/>
    <w:rsid w:val="00851BA6"/>
    <w:rsid w:val="0085535A"/>
    <w:rsid w:val="0085654D"/>
    <w:rsid w:val="00856D50"/>
    <w:rsid w:val="00861160"/>
    <w:rsid w:val="00861801"/>
    <w:rsid w:val="0086654F"/>
    <w:rsid w:val="00870218"/>
    <w:rsid w:val="008702A8"/>
    <w:rsid w:val="0087239B"/>
    <w:rsid w:val="00874E67"/>
    <w:rsid w:val="00892CA4"/>
    <w:rsid w:val="008A356F"/>
    <w:rsid w:val="008A3ECA"/>
    <w:rsid w:val="008A4653"/>
    <w:rsid w:val="008A4717"/>
    <w:rsid w:val="008A50CC"/>
    <w:rsid w:val="008B5ACD"/>
    <w:rsid w:val="008B69F3"/>
    <w:rsid w:val="008D1694"/>
    <w:rsid w:val="008D79CB"/>
    <w:rsid w:val="008E28CC"/>
    <w:rsid w:val="008F07BC"/>
    <w:rsid w:val="008F303D"/>
    <w:rsid w:val="008F35B1"/>
    <w:rsid w:val="008F3BE5"/>
    <w:rsid w:val="00904066"/>
    <w:rsid w:val="00924629"/>
    <w:rsid w:val="0092692B"/>
    <w:rsid w:val="00933A05"/>
    <w:rsid w:val="00943E9C"/>
    <w:rsid w:val="00953F4D"/>
    <w:rsid w:val="00954B1D"/>
    <w:rsid w:val="00960BB8"/>
    <w:rsid w:val="00961597"/>
    <w:rsid w:val="00964F5C"/>
    <w:rsid w:val="00973B57"/>
    <w:rsid w:val="009831C0"/>
    <w:rsid w:val="009874F9"/>
    <w:rsid w:val="0099161D"/>
    <w:rsid w:val="009B5E90"/>
    <w:rsid w:val="009C2729"/>
    <w:rsid w:val="009C4D50"/>
    <w:rsid w:val="009C5F41"/>
    <w:rsid w:val="009D2125"/>
    <w:rsid w:val="009E0A43"/>
    <w:rsid w:val="009E1ECF"/>
    <w:rsid w:val="009E4F02"/>
    <w:rsid w:val="00A01B17"/>
    <w:rsid w:val="00A0389B"/>
    <w:rsid w:val="00A26017"/>
    <w:rsid w:val="00A32F20"/>
    <w:rsid w:val="00A41F1D"/>
    <w:rsid w:val="00A446C9"/>
    <w:rsid w:val="00A5209F"/>
    <w:rsid w:val="00A56C33"/>
    <w:rsid w:val="00A635D6"/>
    <w:rsid w:val="00A67467"/>
    <w:rsid w:val="00A72757"/>
    <w:rsid w:val="00A800A9"/>
    <w:rsid w:val="00A8553A"/>
    <w:rsid w:val="00A91CF0"/>
    <w:rsid w:val="00A93AED"/>
    <w:rsid w:val="00AB53F6"/>
    <w:rsid w:val="00AE1319"/>
    <w:rsid w:val="00AE34BB"/>
    <w:rsid w:val="00AF7A9E"/>
    <w:rsid w:val="00B0084A"/>
    <w:rsid w:val="00B0520E"/>
    <w:rsid w:val="00B226F2"/>
    <w:rsid w:val="00B22AA8"/>
    <w:rsid w:val="00B274DF"/>
    <w:rsid w:val="00B30AB9"/>
    <w:rsid w:val="00B30F7D"/>
    <w:rsid w:val="00B351F6"/>
    <w:rsid w:val="00B3647A"/>
    <w:rsid w:val="00B4289B"/>
    <w:rsid w:val="00B56BDF"/>
    <w:rsid w:val="00B6455D"/>
    <w:rsid w:val="00B65403"/>
    <w:rsid w:val="00B65812"/>
    <w:rsid w:val="00B661C7"/>
    <w:rsid w:val="00B80530"/>
    <w:rsid w:val="00B85CD6"/>
    <w:rsid w:val="00B865CB"/>
    <w:rsid w:val="00B87C76"/>
    <w:rsid w:val="00B90A27"/>
    <w:rsid w:val="00B93155"/>
    <w:rsid w:val="00B93C77"/>
    <w:rsid w:val="00B9554D"/>
    <w:rsid w:val="00B96D43"/>
    <w:rsid w:val="00B96DFE"/>
    <w:rsid w:val="00BA03D4"/>
    <w:rsid w:val="00BA3062"/>
    <w:rsid w:val="00BA4DA9"/>
    <w:rsid w:val="00BB2B9F"/>
    <w:rsid w:val="00BB7D9E"/>
    <w:rsid w:val="00BC2334"/>
    <w:rsid w:val="00BC70BA"/>
    <w:rsid w:val="00BD01FE"/>
    <w:rsid w:val="00BD3CB8"/>
    <w:rsid w:val="00BD3F82"/>
    <w:rsid w:val="00BD4E6F"/>
    <w:rsid w:val="00BE0FFB"/>
    <w:rsid w:val="00BE700D"/>
    <w:rsid w:val="00BF281C"/>
    <w:rsid w:val="00BF32F0"/>
    <w:rsid w:val="00BF4DCE"/>
    <w:rsid w:val="00C02249"/>
    <w:rsid w:val="00C02DDD"/>
    <w:rsid w:val="00C02DE7"/>
    <w:rsid w:val="00C05CE5"/>
    <w:rsid w:val="00C07520"/>
    <w:rsid w:val="00C2237B"/>
    <w:rsid w:val="00C341A9"/>
    <w:rsid w:val="00C37ACE"/>
    <w:rsid w:val="00C52A4D"/>
    <w:rsid w:val="00C6171E"/>
    <w:rsid w:val="00C84EDD"/>
    <w:rsid w:val="00C865DF"/>
    <w:rsid w:val="00C87190"/>
    <w:rsid w:val="00CA6F2C"/>
    <w:rsid w:val="00CC79CE"/>
    <w:rsid w:val="00CD476B"/>
    <w:rsid w:val="00CD7C76"/>
    <w:rsid w:val="00CF1871"/>
    <w:rsid w:val="00D019CE"/>
    <w:rsid w:val="00D1133E"/>
    <w:rsid w:val="00D17A34"/>
    <w:rsid w:val="00D26628"/>
    <w:rsid w:val="00D332B3"/>
    <w:rsid w:val="00D344BA"/>
    <w:rsid w:val="00D3528B"/>
    <w:rsid w:val="00D423E5"/>
    <w:rsid w:val="00D55207"/>
    <w:rsid w:val="00D60825"/>
    <w:rsid w:val="00D64F6D"/>
    <w:rsid w:val="00D6558A"/>
    <w:rsid w:val="00D81801"/>
    <w:rsid w:val="00D908A6"/>
    <w:rsid w:val="00D90DCD"/>
    <w:rsid w:val="00D92B45"/>
    <w:rsid w:val="00D95962"/>
    <w:rsid w:val="00DA248B"/>
    <w:rsid w:val="00DB047F"/>
    <w:rsid w:val="00DC389B"/>
    <w:rsid w:val="00DD3AFF"/>
    <w:rsid w:val="00DE2FEE"/>
    <w:rsid w:val="00E00BE9"/>
    <w:rsid w:val="00E04761"/>
    <w:rsid w:val="00E22A11"/>
    <w:rsid w:val="00E31E5C"/>
    <w:rsid w:val="00E36253"/>
    <w:rsid w:val="00E44DD2"/>
    <w:rsid w:val="00E45701"/>
    <w:rsid w:val="00E5482F"/>
    <w:rsid w:val="00E558C3"/>
    <w:rsid w:val="00E55927"/>
    <w:rsid w:val="00E912A6"/>
    <w:rsid w:val="00E91CAF"/>
    <w:rsid w:val="00EA3A51"/>
    <w:rsid w:val="00EA4844"/>
    <w:rsid w:val="00EA4D9C"/>
    <w:rsid w:val="00EA5A97"/>
    <w:rsid w:val="00EB1935"/>
    <w:rsid w:val="00EB75EE"/>
    <w:rsid w:val="00ED40CD"/>
    <w:rsid w:val="00EE101E"/>
    <w:rsid w:val="00EE4C1D"/>
    <w:rsid w:val="00EF1CA6"/>
    <w:rsid w:val="00EF3685"/>
    <w:rsid w:val="00F04350"/>
    <w:rsid w:val="00F133DB"/>
    <w:rsid w:val="00F158F6"/>
    <w:rsid w:val="00F159EB"/>
    <w:rsid w:val="00F207B3"/>
    <w:rsid w:val="00F21429"/>
    <w:rsid w:val="00F25BF4"/>
    <w:rsid w:val="00F267DB"/>
    <w:rsid w:val="00F31406"/>
    <w:rsid w:val="00F40284"/>
    <w:rsid w:val="00F405E0"/>
    <w:rsid w:val="00F42954"/>
    <w:rsid w:val="00F46F6F"/>
    <w:rsid w:val="00F60608"/>
    <w:rsid w:val="00F61F11"/>
    <w:rsid w:val="00F62217"/>
    <w:rsid w:val="00F639F1"/>
    <w:rsid w:val="00F714C9"/>
    <w:rsid w:val="00F71ACC"/>
    <w:rsid w:val="00F935A2"/>
    <w:rsid w:val="00F94DDD"/>
    <w:rsid w:val="00FB043B"/>
    <w:rsid w:val="00FB17A9"/>
    <w:rsid w:val="00FB27EF"/>
    <w:rsid w:val="00FB527C"/>
    <w:rsid w:val="00FB6622"/>
    <w:rsid w:val="00FB6F75"/>
    <w:rsid w:val="00FB7166"/>
    <w:rsid w:val="00FC0EB3"/>
    <w:rsid w:val="00FC38FE"/>
    <w:rsid w:val="00FD2F24"/>
    <w:rsid w:val="00FD3921"/>
    <w:rsid w:val="00FD675E"/>
    <w:rsid w:val="00FE4EF8"/>
    <w:rsid w:val="00FE5674"/>
    <w:rsid w:val="00FF033A"/>
    <w:rsid w:val="00FF041E"/>
    <w:rsid w:val="00FF18FF"/>
    <w:rsid w:val="00FF339A"/>
    <w:rsid w:val="00FF4D1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FB4BE249-B6B5-4FE6-9CED-ADA9DE59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17"/>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eastAsiaTheme="majorEastAsia" w:cstheme="majorBidi"/>
      <w:b/>
      <w:caps/>
      <w:color w:val="00558C"/>
      <w:sz w:val="24"/>
      <w:szCs w:val="24"/>
      <w:lang w:eastAsia="en-US"/>
    </w:rPr>
  </w:style>
  <w:style w:type="paragraph" w:customStyle="1" w:styleId="Annex">
    <w:name w:val="Annex"/>
    <w:next w:val="BodyText"/>
    <w:link w:val="AnnexChar"/>
    <w:qFormat/>
    <w:rsid w:val="0025741F"/>
    <w:pPr>
      <w:numPr>
        <w:numId w:val="13"/>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link w:val="Bullet1Char"/>
    <w:qFormat/>
    <w:rsid w:val="0025741F"/>
    <w:pPr>
      <w:numPr>
        <w:numId w:val="11"/>
      </w:numPr>
      <w:spacing w:after="120"/>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12"/>
      </w:numPr>
      <w:spacing w:after="120"/>
      <w:ind w:left="1276" w:hanging="425"/>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18"/>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qFormat/>
    <w:rsid w:val="008D1694"/>
    <w:pPr>
      <w:numPr>
        <w:numId w:val="7"/>
      </w:numPr>
      <w:spacing w:before="120" w:after="120"/>
      <w:jc w:val="center"/>
    </w:pPr>
    <w:rPr>
      <w:i/>
      <w:szCs w:val="20"/>
    </w:rPr>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eastAsiaTheme="majorEastAsia"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eastAsiaTheme="majorEastAsia" w:cstheme="majorBidi"/>
      <w:b/>
      <w:iCs/>
      <w:color w:val="00558C"/>
      <w:sz w:val="22"/>
      <w:szCs w:val="24"/>
      <w:lang w:eastAsia="en-US"/>
    </w:rPr>
  </w:style>
  <w:style w:type="character" w:customStyle="1" w:styleId="Heading5Char">
    <w:name w:val="Heading 5 Char"/>
    <w:basedOn w:val="DefaultParagraphFont"/>
    <w:link w:val="Heading5"/>
    <w:rsid w:val="0025741F"/>
    <w:rPr>
      <w:rFonts w:eastAsiaTheme="majorEastAsia"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10"/>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9"/>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aliases w:val="Footnote Reference Char,Appel note de bas de p,-E Fußnotenzeichen,Footnote,Footnote symbol,Times 10 Point,Exposant 3 Point,SUPERS,number,Footnote reference number,note TESI,EN Footnote Reference,Footnote Reference/,ftref,footnote ref"/>
    <w:link w:val="FootnoteReference1"/>
    <w:uiPriority w:val="99"/>
    <w:qFormat/>
    <w:rsid w:val="0025741F"/>
    <w:rPr>
      <w:rFonts w:asciiTheme="minorHAnsi" w:hAnsiTheme="minorHAnsi"/>
      <w:sz w:val="20"/>
      <w:vertAlign w:val="superscript"/>
    </w:rPr>
  </w:style>
  <w:style w:type="paragraph" w:styleId="FootnoteText">
    <w:name w:val="footnote text"/>
    <w:aliases w:val="Schriftart: 9 pt,Schriftart: 10 pt,Schriftart: 8 pt,WB-Fußnotentext,fn,Footnotes,Footnote ak,Footnote Text Char Char,Fußnotentextf,Note de bas de page Car Car,Note de bas de page Car Car Car Car Car,Note de bas de page Car Car Car Car,ft"/>
    <w:basedOn w:val="Normal"/>
    <w:link w:val="FootnoteTextChar"/>
    <w:uiPriority w:val="99"/>
    <w:unhideWhenUsed/>
    <w:qFormat/>
    <w:rsid w:val="0025741F"/>
    <w:pPr>
      <w:tabs>
        <w:tab w:val="left" w:pos="425"/>
      </w:tabs>
      <w:spacing w:line="240" w:lineRule="auto"/>
      <w:ind w:left="425" w:hanging="425"/>
    </w:pPr>
    <w:rPr>
      <w:szCs w:val="24"/>
      <w:vertAlign w:val="superscript"/>
    </w:rPr>
  </w:style>
  <w:style w:type="character" w:customStyle="1" w:styleId="FootnoteTextChar">
    <w:name w:val="Footnote Text Char"/>
    <w:aliases w:val="Schriftart: 9 pt Char,Schriftart: 10 pt Char,Schriftart: 8 pt Char,WB-Fußnotentext Char,fn Char,Footnotes Char,Footnote ak Char,Footnote Text Char Char Char,Fußnotentextf Char,Note de bas de page Car Car Char,ft Char"/>
    <w:basedOn w:val="DefaultParagraphFont"/>
    <w:link w:val="FootnoteText"/>
    <w:uiPriority w:val="99"/>
    <w:qFormat/>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qFormat/>
    <w:rsid w:val="00765622"/>
    <w:pPr>
      <w:numPr>
        <w:ilvl w:val="1"/>
        <w:numId w:val="10"/>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5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19"/>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19"/>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13"/>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16"/>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15"/>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22"/>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22"/>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14"/>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24"/>
      </w:numPr>
      <w:jc w:val="center"/>
    </w:pPr>
    <w:rPr>
      <w:i/>
      <w:color w:val="00558C"/>
      <w:lang w:eastAsia="en-GB"/>
    </w:rPr>
  </w:style>
  <w:style w:type="paragraph" w:customStyle="1" w:styleId="Figurecaption">
    <w:name w:val="Figure caption"/>
    <w:basedOn w:val="Caption"/>
    <w:next w:val="BodyText"/>
    <w:qFormat/>
    <w:rsid w:val="0025741F"/>
    <w:p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8"/>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20"/>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21"/>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23"/>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19"/>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 w:type="paragraph" w:customStyle="1" w:styleId="FootnoteReference1">
    <w:name w:val="Footnote Reference1"/>
    <w:basedOn w:val="Normal"/>
    <w:link w:val="FootnoteReference"/>
    <w:uiPriority w:val="99"/>
    <w:rsid w:val="00FD3921"/>
    <w:pPr>
      <w:spacing w:after="160" w:line="240" w:lineRule="exact"/>
    </w:pPr>
    <w:rPr>
      <w:rFonts w:eastAsia="Calibri" w:cs="Times New Roman"/>
      <w:sz w:val="20"/>
      <w:szCs w:val="20"/>
      <w:vertAlign w:val="superscript"/>
      <w:lang w:eastAsia="en-GB"/>
    </w:rPr>
  </w:style>
  <w:style w:type="character" w:customStyle="1" w:styleId="Bullet1Char">
    <w:name w:val="Bullet 1 Char"/>
    <w:basedOn w:val="DefaultParagraphFont"/>
    <w:link w:val="Bullet1"/>
    <w:rsid w:val="0025624E"/>
    <w:rPr>
      <w:rFonts w:asciiTheme="minorHAnsi" w:eastAsiaTheme="minorHAnsi" w:hAnsiTheme="minorHAnsi" w:cstheme="minorBidi"/>
      <w:color w:val="000000" w:themeColor="text1"/>
      <w:sz w:val="22"/>
      <w:szCs w:val="22"/>
      <w:lang w:eastAsia="en-US"/>
    </w:rPr>
  </w:style>
  <w:style w:type="character" w:styleId="UnresolvedMention">
    <w:name w:val="Unresolved Mention"/>
    <w:basedOn w:val="DefaultParagraphFont"/>
    <w:uiPriority w:val="99"/>
    <w:semiHidden/>
    <w:unhideWhenUsed/>
    <w:rsid w:val="002D6F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5971364">
      <w:bodyDiv w:val="1"/>
      <w:marLeft w:val="0"/>
      <w:marRight w:val="0"/>
      <w:marTop w:val="0"/>
      <w:marBottom w:val="0"/>
      <w:divBdr>
        <w:top w:val="none" w:sz="0" w:space="0" w:color="auto"/>
        <w:left w:val="none" w:sz="0" w:space="0" w:color="auto"/>
        <w:bottom w:val="none" w:sz="0" w:space="0" w:color="auto"/>
        <w:right w:val="none" w:sz="0" w:space="0" w:color="auto"/>
      </w:divBdr>
    </w:div>
    <w:div w:id="768426655">
      <w:bodyDiv w:val="1"/>
      <w:marLeft w:val="0"/>
      <w:marRight w:val="0"/>
      <w:marTop w:val="0"/>
      <w:marBottom w:val="0"/>
      <w:divBdr>
        <w:top w:val="none" w:sz="0" w:space="0" w:color="auto"/>
        <w:left w:val="none" w:sz="0" w:space="0" w:color="auto"/>
        <w:bottom w:val="none" w:sz="0" w:space="0" w:color="auto"/>
        <w:right w:val="none" w:sz="0" w:space="0" w:color="auto"/>
      </w:divBdr>
    </w:div>
    <w:div w:id="977800248">
      <w:bodyDiv w:val="1"/>
      <w:marLeft w:val="0"/>
      <w:marRight w:val="0"/>
      <w:marTop w:val="0"/>
      <w:marBottom w:val="0"/>
      <w:divBdr>
        <w:top w:val="none" w:sz="0" w:space="0" w:color="auto"/>
        <w:left w:val="none" w:sz="0" w:space="0" w:color="auto"/>
        <w:bottom w:val="none" w:sz="0" w:space="0" w:color="auto"/>
        <w:right w:val="none" w:sz="0" w:space="0" w:color="auto"/>
      </w:divBdr>
    </w:div>
    <w:div w:id="1095592118">
      <w:bodyDiv w:val="1"/>
      <w:marLeft w:val="0"/>
      <w:marRight w:val="0"/>
      <w:marTop w:val="0"/>
      <w:marBottom w:val="0"/>
      <w:divBdr>
        <w:top w:val="none" w:sz="0" w:space="0" w:color="auto"/>
        <w:left w:val="none" w:sz="0" w:space="0" w:color="auto"/>
        <w:bottom w:val="none" w:sz="0" w:space="0" w:color="auto"/>
        <w:right w:val="none" w:sz="0" w:space="0" w:color="auto"/>
      </w:divBdr>
    </w:div>
    <w:div w:id="1134520728">
      <w:bodyDiv w:val="1"/>
      <w:marLeft w:val="0"/>
      <w:marRight w:val="0"/>
      <w:marTop w:val="0"/>
      <w:marBottom w:val="0"/>
      <w:divBdr>
        <w:top w:val="none" w:sz="0" w:space="0" w:color="auto"/>
        <w:left w:val="none" w:sz="0" w:space="0" w:color="auto"/>
        <w:bottom w:val="none" w:sz="0" w:space="0" w:color="auto"/>
        <w:right w:val="none" w:sz="0" w:space="0" w:color="auto"/>
      </w:divBdr>
    </w:div>
    <w:div w:id="1317997969">
      <w:bodyDiv w:val="1"/>
      <w:marLeft w:val="0"/>
      <w:marRight w:val="0"/>
      <w:marTop w:val="0"/>
      <w:marBottom w:val="0"/>
      <w:divBdr>
        <w:top w:val="none" w:sz="0" w:space="0" w:color="auto"/>
        <w:left w:val="none" w:sz="0" w:space="0" w:color="auto"/>
        <w:bottom w:val="none" w:sz="0" w:space="0" w:color="auto"/>
        <w:right w:val="none" w:sz="0" w:space="0" w:color="auto"/>
      </w:divBdr>
    </w:div>
    <w:div w:id="1496410799">
      <w:bodyDiv w:val="1"/>
      <w:marLeft w:val="0"/>
      <w:marRight w:val="0"/>
      <w:marTop w:val="0"/>
      <w:marBottom w:val="0"/>
      <w:divBdr>
        <w:top w:val="none" w:sz="0" w:space="0" w:color="auto"/>
        <w:left w:val="none" w:sz="0" w:space="0" w:color="auto"/>
        <w:bottom w:val="none" w:sz="0" w:space="0" w:color="auto"/>
        <w:right w:val="none" w:sz="0" w:space="0" w:color="auto"/>
      </w:divBdr>
    </w:div>
    <w:div w:id="1621838454">
      <w:bodyDiv w:val="1"/>
      <w:marLeft w:val="0"/>
      <w:marRight w:val="0"/>
      <w:marTop w:val="0"/>
      <w:marBottom w:val="0"/>
      <w:divBdr>
        <w:top w:val="none" w:sz="0" w:space="0" w:color="auto"/>
        <w:left w:val="none" w:sz="0" w:space="0" w:color="auto"/>
        <w:bottom w:val="none" w:sz="0" w:space="0" w:color="auto"/>
        <w:right w:val="none" w:sz="0" w:space="0" w:color="auto"/>
      </w:divBdr>
    </w:div>
    <w:div w:id="1768846281">
      <w:bodyDiv w:val="1"/>
      <w:marLeft w:val="0"/>
      <w:marRight w:val="0"/>
      <w:marTop w:val="0"/>
      <w:marBottom w:val="0"/>
      <w:divBdr>
        <w:top w:val="none" w:sz="0" w:space="0" w:color="auto"/>
        <w:left w:val="none" w:sz="0" w:space="0" w:color="auto"/>
        <w:bottom w:val="none" w:sz="0" w:space="0" w:color="auto"/>
        <w:right w:val="none" w:sz="0" w:space="0" w:color="auto"/>
      </w:divBdr>
    </w:div>
    <w:div w:id="1777285973">
      <w:bodyDiv w:val="1"/>
      <w:marLeft w:val="0"/>
      <w:marRight w:val="0"/>
      <w:marTop w:val="0"/>
      <w:marBottom w:val="0"/>
      <w:divBdr>
        <w:top w:val="none" w:sz="0" w:space="0" w:color="auto"/>
        <w:left w:val="none" w:sz="0" w:space="0" w:color="auto"/>
        <w:bottom w:val="none" w:sz="0" w:space="0" w:color="auto"/>
        <w:right w:val="none" w:sz="0" w:space="0" w:color="auto"/>
      </w:divBdr>
    </w:div>
    <w:div w:id="1816331947">
      <w:bodyDiv w:val="1"/>
      <w:marLeft w:val="0"/>
      <w:marRight w:val="0"/>
      <w:marTop w:val="0"/>
      <w:marBottom w:val="0"/>
      <w:divBdr>
        <w:top w:val="none" w:sz="0" w:space="0" w:color="auto"/>
        <w:left w:val="none" w:sz="0" w:space="0" w:color="auto"/>
        <w:bottom w:val="none" w:sz="0" w:space="0" w:color="auto"/>
        <w:right w:val="none" w:sz="0" w:space="0" w:color="auto"/>
      </w:divBdr>
    </w:div>
    <w:div w:id="193569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8.png@01D77893.181B0AB0"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cid:image012.png@01D778B6.A68FEC7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9506A-077E-4413-A6DB-798D7CA8083A}">
  <ds:schemaRefs>
    <ds:schemaRef ds:uri="http://schemas.microsoft.com/sharepoint/v3/contenttype/forms"/>
  </ds:schemaRefs>
</ds:datastoreItem>
</file>

<file path=customXml/itemProps2.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007F867-E6F6-4EA5-8B78-4399DCFE0E5A}"/>
</file>

<file path=customXml/itemProps4.xml><?xml version="1.0" encoding="utf-8"?>
<ds:datastoreItem xmlns:ds="http://schemas.openxmlformats.org/officeDocument/2006/customXml" ds:itemID="{4A479F4B-FEE0-4B02-8804-B9C02DD0B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0</TotalTime>
  <Pages>4</Pages>
  <Words>1114</Words>
  <Characters>6354</Characters>
  <Application>Microsoft Office Word</Application>
  <DocSecurity>0</DocSecurity>
  <Lines>52</Lines>
  <Paragraphs>14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7454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3</cp:revision>
  <dcterms:created xsi:type="dcterms:W3CDTF">2021-10-14T10:00:00Z</dcterms:created>
  <dcterms:modified xsi:type="dcterms:W3CDTF">2021-10-14T10:01:00Z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