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B6CDF" w14:textId="7FF154FC" w:rsidR="00BC1F2D" w:rsidRDefault="007C2885">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00D40537" w:rsidRPr="00D40537">
        <w:rPr>
          <w:rFonts w:ascii="Calibri" w:hAnsi="Calibri"/>
        </w:rPr>
        <w:t>ENG15</w:t>
      </w:r>
      <w:r w:rsidR="00D40537">
        <w:rPr>
          <w:rFonts w:ascii="Calibri" w:hAnsi="Calibri"/>
        </w:rPr>
        <w:t>-</w:t>
      </w:r>
      <w:r w:rsidR="00D40537" w:rsidRPr="00D40537">
        <w:rPr>
          <w:rFonts w:ascii="Calibri" w:hAnsi="Calibri"/>
        </w:rPr>
        <w:t>3.1.1.4</w:t>
      </w:r>
    </w:p>
    <w:p w14:paraId="17DCA066" w14:textId="77777777" w:rsidR="00BC1F2D" w:rsidRDefault="00BC1F2D">
      <w:pPr>
        <w:pStyle w:val="BodyText"/>
      </w:pPr>
    </w:p>
    <w:p w14:paraId="0602266D" w14:textId="77777777" w:rsidR="00BC1F2D" w:rsidRDefault="00BC1F2D">
      <w:pPr>
        <w:pStyle w:val="BodyText"/>
      </w:pPr>
    </w:p>
    <w:p w14:paraId="1B88CE02" w14:textId="77777777" w:rsidR="00BC1F2D" w:rsidRDefault="007C2885">
      <w:pPr>
        <w:pStyle w:val="BodyText"/>
      </w:pPr>
      <w:r>
        <w:t xml:space="preserve">Input paper for the following Committee(s): </w:t>
      </w:r>
      <w:r>
        <w:tab/>
      </w:r>
      <w:r>
        <w:rPr>
          <w:sz w:val="18"/>
          <w:szCs w:val="18"/>
        </w:rPr>
        <w:t>check as appropriate</w:t>
      </w:r>
      <w:r>
        <w:rPr>
          <w:sz w:val="18"/>
          <w:szCs w:val="18"/>
        </w:rPr>
        <w:tab/>
      </w:r>
      <w:r>
        <w:tab/>
        <w:t>Purpose of paper:</w:t>
      </w:r>
    </w:p>
    <w:p w14:paraId="6A53F538" w14:textId="77777777" w:rsidR="00BC1F2D" w:rsidRDefault="007C2885">
      <w:pPr>
        <w:pStyle w:val="BodyText"/>
        <w:rPr>
          <w:b/>
        </w:rPr>
      </w:pPr>
      <w:proofErr w:type="gramStart"/>
      <w:r>
        <w:rPr>
          <w:b/>
        </w:rPr>
        <w:t>□</w:t>
      </w:r>
      <w:r>
        <w:t xml:space="preserve">  ARM</w:t>
      </w:r>
      <w:proofErr w:type="gramEnd"/>
      <w:r>
        <w:tab/>
      </w:r>
      <w:r>
        <w:tab/>
      </w:r>
      <w:r>
        <w:rPr>
          <w:b/>
        </w:rPr>
        <w:t>x</w:t>
      </w:r>
      <w:r>
        <w:t xml:space="preserve">  ENG</w:t>
      </w:r>
      <w:r>
        <w:tab/>
      </w:r>
      <w:r>
        <w:tab/>
      </w:r>
      <w:r>
        <w:rPr>
          <w:b/>
        </w:rPr>
        <w:t>□</w:t>
      </w:r>
      <w:r>
        <w:t xml:space="preserve">  PAP</w:t>
      </w:r>
      <w:r>
        <w:tab/>
      </w:r>
      <w:r>
        <w:tab/>
      </w:r>
      <w:r>
        <w:tab/>
      </w:r>
      <w:r>
        <w:tab/>
      </w:r>
      <w:r>
        <w:tab/>
      </w:r>
      <w:r>
        <w:rPr>
          <w:b/>
        </w:rPr>
        <w:t>x</w:t>
      </w:r>
      <w:r>
        <w:t xml:space="preserve">  Input</w:t>
      </w:r>
    </w:p>
    <w:p w14:paraId="31F36506" w14:textId="77777777" w:rsidR="00BC1F2D" w:rsidRDefault="007C2885">
      <w:pPr>
        <w:pStyle w:val="BodyText"/>
      </w:pPr>
      <w:proofErr w:type="gramStart"/>
      <w:r>
        <w:rPr>
          <w:b/>
        </w:rPr>
        <w:t>□</w:t>
      </w:r>
      <w:r>
        <w:t xml:space="preserve">  ENAV</w:t>
      </w:r>
      <w:proofErr w:type="gramEnd"/>
      <w:r>
        <w:rPr>
          <w:b/>
        </w:rPr>
        <w:tab/>
        <w:t>□</w:t>
      </w:r>
      <w:r>
        <w:t xml:space="preserve">  VTS</w:t>
      </w:r>
      <w:r>
        <w:tab/>
      </w:r>
      <w:r>
        <w:tab/>
      </w:r>
      <w:r>
        <w:tab/>
      </w:r>
      <w:r>
        <w:tab/>
      </w:r>
      <w:r>
        <w:tab/>
      </w:r>
      <w:r>
        <w:tab/>
      </w:r>
      <w:r>
        <w:tab/>
      </w:r>
      <w:r>
        <w:rPr>
          <w:b/>
        </w:rPr>
        <w:t>□</w:t>
      </w:r>
      <w:r>
        <w:t xml:space="preserve">  Information</w:t>
      </w:r>
    </w:p>
    <w:p w14:paraId="61775E6F" w14:textId="77777777" w:rsidR="00BC1F2D" w:rsidRDefault="00BC1F2D">
      <w:pPr>
        <w:pStyle w:val="BodyText"/>
      </w:pPr>
    </w:p>
    <w:p w14:paraId="3B6EBE90" w14:textId="77777777" w:rsidR="00BC1F2D" w:rsidRDefault="007C2885">
      <w:pPr>
        <w:pStyle w:val="BodyText"/>
      </w:pPr>
      <w:r>
        <w:t xml:space="preserve">Agenda item </w:t>
      </w:r>
      <w:r>
        <w:rPr>
          <w:rStyle w:val="FootnoteReference"/>
          <w:rFonts w:ascii="Calibri" w:hAnsi="Calibri"/>
          <w:sz w:val="22"/>
          <w:vertAlign w:val="superscript"/>
        </w:rPr>
        <w:footnoteReference w:id="2"/>
      </w:r>
      <w:r>
        <w:tab/>
      </w:r>
      <w:r>
        <w:tab/>
      </w:r>
      <w:r>
        <w:tab/>
      </w:r>
      <w:proofErr w:type="spellStart"/>
      <w:r>
        <w:t>n.n</w:t>
      </w:r>
      <w:proofErr w:type="spellEnd"/>
    </w:p>
    <w:p w14:paraId="229165EB" w14:textId="77777777" w:rsidR="00BC1F2D" w:rsidRDefault="007C2885">
      <w:pPr>
        <w:pStyle w:val="BodyText"/>
      </w:pPr>
      <w:r>
        <w:t xml:space="preserve">Technical Domain / Task Number </w:t>
      </w:r>
      <w:r>
        <w:rPr>
          <w:vertAlign w:val="superscript"/>
        </w:rPr>
        <w:t>2</w:t>
      </w:r>
      <w:r>
        <w:tab/>
        <w:t>WG1</w:t>
      </w:r>
    </w:p>
    <w:p w14:paraId="3EFFA66A" w14:textId="77777777" w:rsidR="00BC1F2D" w:rsidRDefault="007C2885">
      <w:pPr>
        <w:pStyle w:val="BodyText"/>
        <w:rPr>
          <w:color w:val="FF0000"/>
        </w:rPr>
      </w:pPr>
      <w:r>
        <w:t>Author(s) / Submitter(s)</w:t>
      </w:r>
      <w:r>
        <w:tab/>
      </w:r>
      <w:r>
        <w:tab/>
      </w:r>
      <w:r>
        <w:tab/>
      </w:r>
      <w:r w:rsidR="009C0339">
        <w:t>Pärtel Keskküla</w:t>
      </w:r>
    </w:p>
    <w:p w14:paraId="709FF344" w14:textId="77777777" w:rsidR="00BC1F2D" w:rsidRDefault="00BC1F2D">
      <w:pPr>
        <w:pStyle w:val="BodyText"/>
      </w:pPr>
    </w:p>
    <w:p w14:paraId="434471D6" w14:textId="77777777" w:rsidR="00BC1F2D" w:rsidRDefault="000B4406">
      <w:pPr>
        <w:pStyle w:val="Title"/>
        <w:rPr>
          <w:rFonts w:ascii="Calibri" w:hAnsi="Calibri"/>
          <w:color w:val="0070C0"/>
        </w:rPr>
      </w:pPr>
      <w:r>
        <w:rPr>
          <w:rFonts w:ascii="Calibri" w:hAnsi="Calibri"/>
          <w:color w:val="0070C0"/>
        </w:rPr>
        <w:t>Definition of Nominal Range</w:t>
      </w:r>
    </w:p>
    <w:p w14:paraId="33CFFB94" w14:textId="77777777" w:rsidR="00BC1F2D" w:rsidRDefault="007C2885">
      <w:pPr>
        <w:pStyle w:val="Heading1"/>
      </w:pPr>
      <w:r>
        <w:t>Summary</w:t>
      </w:r>
    </w:p>
    <w:p w14:paraId="1E86774A" w14:textId="0688892D" w:rsidR="00686994" w:rsidRDefault="008D127E" w:rsidP="000B4406">
      <w:pPr>
        <w:pStyle w:val="BodyText"/>
      </w:pPr>
      <w:r>
        <w:t>Based on r</w:t>
      </w:r>
      <w:r w:rsidR="00686994" w:rsidRPr="00686994">
        <w:t>eading</w:t>
      </w:r>
      <w:r w:rsidR="00686994">
        <w:t xml:space="preserve"> the document</w:t>
      </w:r>
      <w:r w:rsidR="00686994" w:rsidRPr="00686994">
        <w:t xml:space="preserve"> </w:t>
      </w:r>
      <w:r w:rsidR="00686994" w:rsidRPr="00DD5F89">
        <w:rPr>
          <w:i/>
        </w:rPr>
        <w:t>ARM14-7.3.12 WP Task 1.5.3 - New Definitions for IALA Dictionary</w:t>
      </w:r>
      <w:r w:rsidR="00686994">
        <w:t xml:space="preserve"> the following </w:t>
      </w:r>
      <w:r>
        <w:t>observations and proposals are made.</w:t>
      </w:r>
    </w:p>
    <w:p w14:paraId="4CF338A1" w14:textId="507ACBFF" w:rsidR="00181F2E" w:rsidRDefault="00203B91" w:rsidP="000B4406">
      <w:pPr>
        <w:pStyle w:val="BodyText"/>
      </w:pPr>
      <w:r>
        <w:t xml:space="preserve">While specific </w:t>
      </w:r>
      <w:r w:rsidRPr="000B1AF9">
        <w:t>threshold</w:t>
      </w:r>
      <w:r>
        <w:t>s</w:t>
      </w:r>
      <w:r w:rsidRPr="000B1AF9">
        <w:t xml:space="preserve"> of illuminance</w:t>
      </w:r>
      <w:r>
        <w:t xml:space="preserve"> are an essential part of the </w:t>
      </w:r>
      <w:r w:rsidR="00901881">
        <w:t>concept</w:t>
      </w:r>
      <w:r>
        <w:t xml:space="preserve"> of the nominal range</w:t>
      </w:r>
      <w:r w:rsidR="00901881">
        <w:t xml:space="preserve"> (</w:t>
      </w:r>
      <w:r w:rsidR="00901881" w:rsidRPr="0019207A">
        <w:t>R0202</w:t>
      </w:r>
      <w:r w:rsidR="00901881" w:rsidRPr="00203B91">
        <w:t>(E200‐2)</w:t>
      </w:r>
      <w:r w:rsidR="00901881">
        <w:t>)</w:t>
      </w:r>
      <w:r>
        <w:t xml:space="preserve">, its values </w:t>
      </w:r>
      <w:r w:rsidR="00901881">
        <w:t xml:space="preserve">are not present neither </w:t>
      </w:r>
      <w:r>
        <w:t xml:space="preserve">in </w:t>
      </w:r>
      <w:r w:rsidR="00901881">
        <w:t xml:space="preserve">the present nor proposed </w:t>
      </w:r>
      <w:r w:rsidR="008D127E">
        <w:t xml:space="preserve">IALA </w:t>
      </w:r>
      <w:r w:rsidR="00901881">
        <w:t>definition</w:t>
      </w:r>
      <w:r w:rsidR="00680850">
        <w:t xml:space="preserve"> of the nominal range</w:t>
      </w:r>
      <w:r>
        <w:t xml:space="preserve">. </w:t>
      </w:r>
      <w:r w:rsidR="004A21B5">
        <w:t>T</w:t>
      </w:r>
      <w:r w:rsidR="00901881">
        <w:t xml:space="preserve">o obtain a single and sufficient definition, </w:t>
      </w:r>
      <w:r w:rsidR="004A21B5">
        <w:t xml:space="preserve">therefore </w:t>
      </w:r>
      <w:r w:rsidR="00901881">
        <w:t>i</w:t>
      </w:r>
      <w:r w:rsidR="00D3490E">
        <w:t xml:space="preserve">t is proposed </w:t>
      </w:r>
      <w:r w:rsidR="00D3490E" w:rsidRPr="008D127E">
        <w:rPr>
          <w:b/>
        </w:rPr>
        <w:t xml:space="preserve">to </w:t>
      </w:r>
      <w:r w:rsidR="00901881" w:rsidRPr="008D127E">
        <w:rPr>
          <w:b/>
        </w:rPr>
        <w:t xml:space="preserve">amend the definition </w:t>
      </w:r>
      <w:r w:rsidR="008D127E" w:rsidRPr="008D127E">
        <w:rPr>
          <w:b/>
        </w:rPr>
        <w:t xml:space="preserve">of nominal range </w:t>
      </w:r>
      <w:r w:rsidR="00901881" w:rsidRPr="008D127E">
        <w:rPr>
          <w:b/>
        </w:rPr>
        <w:t xml:space="preserve">by </w:t>
      </w:r>
      <w:r w:rsidR="00901881" w:rsidRPr="00DD5F89">
        <w:rPr>
          <w:b/>
        </w:rPr>
        <w:t>including</w:t>
      </w:r>
      <w:r w:rsidR="00D3490E" w:rsidRPr="00DD5F89">
        <w:rPr>
          <w:b/>
        </w:rPr>
        <w:t xml:space="preserve"> the values of the threshold of illuminance on the eye of the observer</w:t>
      </w:r>
      <w:r w:rsidR="00901881" w:rsidRPr="00DD5F89">
        <w:rPr>
          <w:b/>
        </w:rPr>
        <w:t xml:space="preserve"> in </w:t>
      </w:r>
      <w:r w:rsidR="00D3490E" w:rsidRPr="00DD5F89">
        <w:rPr>
          <w:b/>
        </w:rPr>
        <w:t>the definition</w:t>
      </w:r>
      <w:r w:rsidR="00D3490E">
        <w:t>.</w:t>
      </w:r>
    </w:p>
    <w:p w14:paraId="29D0467E" w14:textId="7E4BCDFC" w:rsidR="00D3490E" w:rsidRDefault="005E2EB5" w:rsidP="000B4406">
      <w:pPr>
        <w:pStyle w:val="BodyText"/>
      </w:pPr>
      <w:r>
        <w:t xml:space="preserve">The present </w:t>
      </w:r>
      <w:r w:rsidR="00680850">
        <w:t xml:space="preserve">IALA </w:t>
      </w:r>
      <w:r>
        <w:t>g</w:t>
      </w:r>
      <w:r w:rsidR="00D3490E">
        <w:t xml:space="preserve">uidance </w:t>
      </w:r>
      <w:r w:rsidR="00680850">
        <w:t xml:space="preserve">on calculation of luminous range of lights </w:t>
      </w:r>
      <w:r w:rsidR="00DD5F89">
        <w:t>(</w:t>
      </w:r>
      <w:r w:rsidR="00DD5F89" w:rsidRPr="00DD5F89">
        <w:t>R0202(E200‐2)</w:t>
      </w:r>
      <w:r w:rsidR="00DD5F89">
        <w:t xml:space="preserve">) </w:t>
      </w:r>
      <w:r w:rsidR="00D3490E">
        <w:t>use</w:t>
      </w:r>
      <w:r w:rsidR="00680850">
        <w:t>s</w:t>
      </w:r>
      <w:r w:rsidR="004A21B5">
        <w:t xml:space="preserve"> meteorological visibility, not</w:t>
      </w:r>
      <w:r w:rsidR="00D3490E">
        <w:t xml:space="preserve"> atmospheric </w:t>
      </w:r>
      <w:r w:rsidR="00D3490E" w:rsidRPr="00DD5F89">
        <w:t>transmissivity</w:t>
      </w:r>
      <w:r w:rsidR="004A21B5">
        <w:t>,</w:t>
      </w:r>
      <w:r w:rsidR="00D3490E" w:rsidRPr="00DD5F89">
        <w:t xml:space="preserve"> in calculations </w:t>
      </w:r>
      <w:r w:rsidR="00DD5F89" w:rsidRPr="00DD5F89">
        <w:t>luminous range</w:t>
      </w:r>
      <w:r w:rsidR="00D3490E">
        <w:t xml:space="preserve">. </w:t>
      </w:r>
      <w:r w:rsidR="004A21B5">
        <w:t>Therefore,</w:t>
      </w:r>
      <w:r w:rsidR="00D3490E">
        <w:t xml:space="preserve"> it is proposed to </w:t>
      </w:r>
      <w:r w:rsidR="00D3490E" w:rsidRPr="00C835B7">
        <w:rPr>
          <w:b/>
        </w:rPr>
        <w:t xml:space="preserve">use meteorological visibility instead of atmospheric transmissivity in the definition of </w:t>
      </w:r>
      <w:r w:rsidR="00680850" w:rsidRPr="00C835B7">
        <w:rPr>
          <w:b/>
        </w:rPr>
        <w:t xml:space="preserve">the </w:t>
      </w:r>
      <w:r w:rsidR="00DD5F89" w:rsidRPr="00C835B7">
        <w:rPr>
          <w:b/>
        </w:rPr>
        <w:t>luminous</w:t>
      </w:r>
      <w:r w:rsidR="00D3490E" w:rsidRPr="00C835B7">
        <w:rPr>
          <w:b/>
        </w:rPr>
        <w:t xml:space="preserve"> range</w:t>
      </w:r>
      <w:r w:rsidR="00D3490E">
        <w:t xml:space="preserve">. </w:t>
      </w:r>
    </w:p>
    <w:p w14:paraId="2908704E" w14:textId="5C77CDED" w:rsidR="004C410F" w:rsidRDefault="004A21B5" w:rsidP="000B4406">
      <w:pPr>
        <w:pStyle w:val="BodyText"/>
      </w:pPr>
      <w:r>
        <w:t>This observation is n</w:t>
      </w:r>
      <w:r w:rsidR="008D127E">
        <w:t>ot based on the ARM14-713.12</w:t>
      </w:r>
      <w:r>
        <w:t>. D</w:t>
      </w:r>
      <w:r w:rsidR="004C410F">
        <w:t xml:space="preserve">espite “nautical mile” being used as the </w:t>
      </w:r>
      <w:r w:rsidR="00835F58">
        <w:t xml:space="preserve">dominant </w:t>
      </w:r>
      <w:r w:rsidR="004C410F">
        <w:t>unit of distance in the work of IALA and in navigation general there are some definition</w:t>
      </w:r>
      <w:r w:rsidR="00673A7B">
        <w:t>s</w:t>
      </w:r>
      <w:r w:rsidR="004C410F">
        <w:t xml:space="preserve"> in the IALA Dictionary where “sea mile” is (still) used. As </w:t>
      </w:r>
      <w:r w:rsidR="00835F58">
        <w:t xml:space="preserve">work seems to be in progress on </w:t>
      </w:r>
      <w:r w:rsidR="004C410F">
        <w:t>some terms in the IALA dictionary</w:t>
      </w:r>
      <w:r>
        <w:t xml:space="preserve"> it</w:t>
      </w:r>
      <w:r w:rsidR="008D127E">
        <w:t xml:space="preserve"> is proposed </w:t>
      </w:r>
      <w:r w:rsidR="004C410F">
        <w:t xml:space="preserve">to </w:t>
      </w:r>
      <w:r w:rsidR="004C410F" w:rsidRPr="00DD5F89">
        <w:rPr>
          <w:b/>
        </w:rPr>
        <w:t>replace “sea mile” with “nautical mile” in the relevant definitions in the Dictionary</w:t>
      </w:r>
      <w:r w:rsidR="004C410F">
        <w:t>.</w:t>
      </w:r>
    </w:p>
    <w:p w14:paraId="362D069F" w14:textId="77777777" w:rsidR="00067258" w:rsidRDefault="00067258" w:rsidP="000B4406">
      <w:pPr>
        <w:pStyle w:val="BodyText"/>
      </w:pPr>
    </w:p>
    <w:p w14:paraId="7863DA19" w14:textId="77777777" w:rsidR="00361003" w:rsidRDefault="00361003" w:rsidP="00361003">
      <w:pPr>
        <w:pStyle w:val="Heading1"/>
      </w:pPr>
      <w:r>
        <w:t>Discussion</w:t>
      </w:r>
    </w:p>
    <w:p w14:paraId="29B2F735" w14:textId="77777777" w:rsidR="00C20C85" w:rsidRPr="00C20C85" w:rsidRDefault="00C20C85" w:rsidP="00C20C85">
      <w:pPr>
        <w:pStyle w:val="Heading2"/>
      </w:pPr>
      <w:r>
        <w:t>Inclusion of E in the definition of Nominal Range</w:t>
      </w:r>
    </w:p>
    <w:p w14:paraId="51C26520" w14:textId="77777777" w:rsidR="00067258" w:rsidRPr="00F75516" w:rsidRDefault="00067258" w:rsidP="00067258">
      <w:pPr>
        <w:pStyle w:val="BodyText"/>
      </w:pPr>
      <w:r>
        <w:t xml:space="preserve">In </w:t>
      </w:r>
      <w:r w:rsidRPr="0019207A">
        <w:t>R0202</w:t>
      </w:r>
      <w:r w:rsidR="00680850" w:rsidRPr="00203B91">
        <w:t>(E200‐2) Marine Signal Lights ‐ Calculation, Definition and Notation of Luminous Range</w:t>
      </w:r>
      <w:r w:rsidR="00680850">
        <w:t xml:space="preserve"> </w:t>
      </w:r>
      <w:r>
        <w:t xml:space="preserve">the </w:t>
      </w:r>
      <w:r w:rsidRPr="00F75516">
        <w:t xml:space="preserve">IALA </w:t>
      </w:r>
      <w:r>
        <w:t>council recommends</w:t>
      </w:r>
    </w:p>
    <w:p w14:paraId="29AE514C" w14:textId="77777777" w:rsidR="00067258" w:rsidRPr="0019207A" w:rsidRDefault="00067258" w:rsidP="00067258">
      <w:pPr>
        <w:pStyle w:val="Bullet1"/>
        <w:ind w:left="924" w:hanging="357"/>
      </w:pPr>
      <w:r w:rsidRPr="0019207A">
        <w:t xml:space="preserve">that all luminous range calculations are based on Allard’s law: </w:t>
      </w:r>
    </w:p>
    <w:p w14:paraId="1F718DD4" w14:textId="77777777" w:rsidR="00067258" w:rsidRDefault="00067258" w:rsidP="00067258">
      <w:pPr>
        <w:autoSpaceDE w:val="0"/>
        <w:autoSpaceDN w:val="0"/>
        <w:adjustRightInd w:val="0"/>
        <w:rPr>
          <w:rFonts w:asciiTheme="minorHAnsi" w:eastAsia="SymbolMT" w:hAnsiTheme="minorHAnsi" w:cstheme="minorHAnsi"/>
          <w:color w:val="000000"/>
          <w:lang w:val="et-EE"/>
        </w:rPr>
      </w:pPr>
    </w:p>
    <w:p w14:paraId="625AC0DA" w14:textId="77777777" w:rsidR="00067258" w:rsidRDefault="00067258" w:rsidP="00067258">
      <w:pPr>
        <w:autoSpaceDE w:val="0"/>
        <w:autoSpaceDN w:val="0"/>
        <w:adjustRightInd w:val="0"/>
        <w:rPr>
          <w:rFonts w:asciiTheme="minorHAnsi" w:eastAsia="SymbolMT" w:hAnsiTheme="minorHAnsi" w:cstheme="minorHAnsi"/>
          <w:color w:val="000000"/>
          <w:lang w:val="et-EE"/>
        </w:rPr>
      </w:pPr>
      <m:oMathPara>
        <m:oMath>
          <m:r>
            <w:rPr>
              <w:rFonts w:ascii="Cambria Math" w:hAnsi="Cambria Math"/>
            </w:rPr>
            <m:t>I=E</m:t>
          </m:r>
          <m:r>
            <w:rPr>
              <w:rFonts w:ascii="Cambria Math" w:eastAsiaTheme="minorEastAsia" w:hAnsi="Cambria Math"/>
            </w:rPr>
            <m:t>∙</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eastAsiaTheme="minorEastAsia"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type m:val="lin"/>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4EA545EF" w14:textId="77777777" w:rsidR="00067258" w:rsidRDefault="00067258" w:rsidP="00067258">
      <w:pPr>
        <w:autoSpaceDE w:val="0"/>
        <w:autoSpaceDN w:val="0"/>
        <w:adjustRightInd w:val="0"/>
        <w:rPr>
          <w:rFonts w:asciiTheme="minorHAnsi" w:eastAsia="SymbolMT" w:hAnsiTheme="minorHAnsi" w:cstheme="minorHAnsi"/>
          <w:color w:val="000000"/>
          <w:lang w:val="et-EE"/>
        </w:rPr>
      </w:pPr>
      <w:r w:rsidRPr="00F75516">
        <w:rPr>
          <w:rFonts w:asciiTheme="minorHAnsi" w:eastAsia="SymbolMT" w:hAnsiTheme="minorHAnsi" w:cstheme="minorHAnsi"/>
          <w:color w:val="000000"/>
          <w:lang w:val="et-EE"/>
        </w:rPr>
        <w:t xml:space="preserve">Where: </w:t>
      </w:r>
    </w:p>
    <w:p w14:paraId="3578BA64" w14:textId="77777777" w:rsidR="00067258" w:rsidRPr="00F75516" w:rsidRDefault="00067258" w:rsidP="00067258">
      <w:pPr>
        <w:autoSpaceDE w:val="0"/>
        <w:autoSpaceDN w:val="0"/>
        <w:adjustRightInd w:val="0"/>
        <w:ind w:left="720"/>
        <w:rPr>
          <w:rFonts w:asciiTheme="minorHAnsi" w:eastAsia="SymbolMT" w:hAnsiTheme="minorHAnsi" w:cstheme="minorHAnsi"/>
          <w:color w:val="000000"/>
          <w:lang w:val="et-EE"/>
        </w:rPr>
      </w:pPr>
      <w:r w:rsidRPr="00F75516">
        <w:rPr>
          <w:rFonts w:asciiTheme="minorHAnsi" w:eastAsia="SymbolMT" w:hAnsiTheme="minorHAnsi" w:cstheme="minorHAnsi"/>
          <w:color w:val="000000"/>
          <w:lang w:val="et-EE"/>
        </w:rPr>
        <w:t>I is the luminous intensity of the light [cd]</w:t>
      </w:r>
    </w:p>
    <w:p w14:paraId="73935CA0" w14:textId="77777777" w:rsidR="00067258" w:rsidRPr="00F75516" w:rsidRDefault="00067258" w:rsidP="00067258">
      <w:pPr>
        <w:autoSpaceDE w:val="0"/>
        <w:autoSpaceDN w:val="0"/>
        <w:adjustRightInd w:val="0"/>
        <w:ind w:left="720"/>
        <w:rPr>
          <w:rFonts w:asciiTheme="minorHAnsi" w:eastAsia="SymbolMT" w:hAnsiTheme="minorHAnsi" w:cstheme="minorHAnsi"/>
          <w:color w:val="000000"/>
          <w:lang w:val="et-EE"/>
        </w:rPr>
      </w:pPr>
      <w:r w:rsidRPr="00F75516">
        <w:rPr>
          <w:rFonts w:asciiTheme="minorHAnsi" w:eastAsia="SymbolMT" w:hAnsiTheme="minorHAnsi" w:cstheme="minorHAnsi"/>
          <w:i/>
          <w:iCs/>
          <w:color w:val="000000"/>
          <w:lang w:val="et-EE"/>
        </w:rPr>
        <w:t xml:space="preserve">E </w:t>
      </w:r>
      <w:r w:rsidRPr="00F75516">
        <w:rPr>
          <w:rFonts w:asciiTheme="minorHAnsi" w:eastAsia="SymbolMT" w:hAnsiTheme="minorHAnsi" w:cstheme="minorHAnsi"/>
          <w:color w:val="000000"/>
          <w:lang w:val="et-EE"/>
        </w:rPr>
        <w:t>is the illuminance at the eye of the observer [lx]</w:t>
      </w:r>
    </w:p>
    <w:p w14:paraId="77555F35" w14:textId="77777777" w:rsidR="00067258" w:rsidRPr="00F75516" w:rsidRDefault="00067258" w:rsidP="00067258">
      <w:pPr>
        <w:autoSpaceDE w:val="0"/>
        <w:autoSpaceDN w:val="0"/>
        <w:adjustRightInd w:val="0"/>
        <w:ind w:left="720"/>
        <w:rPr>
          <w:rFonts w:asciiTheme="minorHAnsi" w:eastAsia="SymbolMT" w:hAnsiTheme="minorHAnsi" w:cstheme="minorHAnsi"/>
          <w:color w:val="000000"/>
          <w:lang w:val="et-EE"/>
        </w:rPr>
      </w:pPr>
      <w:r w:rsidRPr="00F75516">
        <w:rPr>
          <w:rFonts w:asciiTheme="minorHAnsi" w:eastAsia="SymbolMT" w:hAnsiTheme="minorHAnsi" w:cstheme="minorHAnsi"/>
          <w:i/>
          <w:iCs/>
          <w:color w:val="000000"/>
          <w:lang w:val="et-EE"/>
        </w:rPr>
        <w:t xml:space="preserve">D </w:t>
      </w:r>
      <w:r w:rsidRPr="00F75516">
        <w:rPr>
          <w:rFonts w:asciiTheme="minorHAnsi" w:eastAsia="SymbolMT" w:hAnsiTheme="minorHAnsi" w:cstheme="minorHAnsi"/>
          <w:color w:val="000000"/>
          <w:lang w:val="et-EE"/>
        </w:rPr>
        <w:t>is the luminous range in metres [m]</w:t>
      </w:r>
    </w:p>
    <w:p w14:paraId="2132627A" w14:textId="77777777" w:rsidR="00067258" w:rsidRDefault="00067258" w:rsidP="00067258">
      <w:pPr>
        <w:autoSpaceDE w:val="0"/>
        <w:autoSpaceDN w:val="0"/>
        <w:adjustRightInd w:val="0"/>
        <w:ind w:left="720"/>
        <w:rPr>
          <w:rFonts w:asciiTheme="minorHAnsi" w:eastAsia="SymbolMT" w:hAnsiTheme="minorHAnsi" w:cstheme="minorHAnsi"/>
          <w:color w:val="000000"/>
          <w:lang w:val="et-EE"/>
        </w:rPr>
      </w:pPr>
      <w:r w:rsidRPr="00F75516">
        <w:rPr>
          <w:rFonts w:asciiTheme="minorHAnsi" w:eastAsia="SymbolMT" w:hAnsiTheme="minorHAnsi" w:cstheme="minorHAnsi"/>
          <w:i/>
          <w:iCs/>
          <w:color w:val="000000"/>
          <w:lang w:val="et-EE"/>
        </w:rPr>
        <w:t xml:space="preserve">V </w:t>
      </w:r>
      <w:r w:rsidRPr="00F75516">
        <w:rPr>
          <w:rFonts w:asciiTheme="minorHAnsi" w:eastAsia="SymbolMT" w:hAnsiTheme="minorHAnsi" w:cstheme="minorHAnsi"/>
          <w:color w:val="000000"/>
          <w:lang w:val="et-EE"/>
        </w:rPr>
        <w:t>is the meteorological visibility in metres [m]</w:t>
      </w:r>
    </w:p>
    <w:p w14:paraId="24F89D4A" w14:textId="77777777" w:rsidR="00067258" w:rsidRPr="00F75516" w:rsidRDefault="00067258" w:rsidP="00067258">
      <w:pPr>
        <w:autoSpaceDE w:val="0"/>
        <w:autoSpaceDN w:val="0"/>
        <w:adjustRightInd w:val="0"/>
        <w:rPr>
          <w:rFonts w:asciiTheme="minorHAnsi" w:eastAsia="SymbolMT" w:hAnsiTheme="minorHAnsi" w:cstheme="minorHAnsi"/>
          <w:color w:val="000000"/>
          <w:lang w:val="et-EE"/>
        </w:rPr>
      </w:pPr>
    </w:p>
    <w:p w14:paraId="70B6F7D9" w14:textId="77777777" w:rsidR="00067258" w:rsidRPr="0019207A" w:rsidRDefault="00067258" w:rsidP="00067258">
      <w:pPr>
        <w:pStyle w:val="Bullet1"/>
        <w:autoSpaceDE w:val="0"/>
        <w:autoSpaceDN w:val="0"/>
        <w:adjustRightInd w:val="0"/>
        <w:ind w:left="924" w:hanging="357"/>
        <w:rPr>
          <w:rFonts w:eastAsia="SymbolMT" w:cstheme="minorHAnsi"/>
          <w:color w:val="000000"/>
          <w:lang w:val="et-EE"/>
        </w:rPr>
      </w:pPr>
      <w:r w:rsidRPr="0019207A">
        <w:lastRenderedPageBreak/>
        <w:t>that the Nominal Range of a maritime signal light is calculated for a meteorological visibility of</w:t>
      </w:r>
      <w:r>
        <w:t xml:space="preserve"> </w:t>
      </w:r>
      <w:r>
        <w:rPr>
          <w:rFonts w:eastAsia="SymbolMT" w:cstheme="minorHAnsi"/>
          <w:color w:val="000000"/>
          <w:lang w:val="et-EE"/>
        </w:rPr>
        <w:t>10 </w:t>
      </w:r>
      <w:r w:rsidRPr="0019207A">
        <w:rPr>
          <w:rFonts w:eastAsia="SymbolMT" w:cstheme="minorHAnsi"/>
          <w:color w:val="000000"/>
          <w:lang w:val="et-EE"/>
        </w:rPr>
        <w:t>nautical miles (18,520 m) and an illumination at the eye of the observer:</w:t>
      </w:r>
    </w:p>
    <w:p w14:paraId="364F231D" w14:textId="77777777" w:rsidR="00067258" w:rsidRPr="00F75516" w:rsidRDefault="00067258" w:rsidP="00067258">
      <w:pPr>
        <w:autoSpaceDE w:val="0"/>
        <w:autoSpaceDN w:val="0"/>
        <w:adjustRightInd w:val="0"/>
        <w:rPr>
          <w:rFonts w:asciiTheme="minorHAnsi" w:eastAsia="SymbolMT" w:hAnsiTheme="minorHAnsi" w:cstheme="minorHAnsi"/>
          <w:color w:val="000000"/>
          <w:lang w:val="et-EE"/>
        </w:rPr>
      </w:pPr>
    </w:p>
    <w:p w14:paraId="1502DCF0" w14:textId="77777777" w:rsidR="00067258" w:rsidRPr="00F75516" w:rsidRDefault="00067258" w:rsidP="00067258">
      <w:pPr>
        <w:autoSpaceDE w:val="0"/>
        <w:autoSpaceDN w:val="0"/>
        <w:adjustRightInd w:val="0"/>
        <w:ind w:left="720"/>
        <w:rPr>
          <w:rFonts w:asciiTheme="minorHAnsi" w:eastAsia="SymbolMT" w:hAnsiTheme="minorHAnsi" w:cstheme="minorHAnsi"/>
          <w:color w:val="000000"/>
          <w:lang w:val="et-EE"/>
        </w:rPr>
      </w:pPr>
      <w:r w:rsidRPr="00F75516">
        <w:rPr>
          <w:rFonts w:asciiTheme="minorHAnsi" w:eastAsia="SymbolMT" w:hAnsiTheme="minorHAnsi" w:cstheme="minorHAnsi"/>
          <w:color w:val="000000"/>
          <w:lang w:val="et-EE"/>
        </w:rPr>
        <w:t xml:space="preserve">of 2 </w:t>
      </w:r>
      <w:r>
        <w:rPr>
          <w:rFonts w:asciiTheme="minorHAnsi" w:eastAsia="SymbolMT" w:hAnsiTheme="minorHAnsi" w:cstheme="minorHAnsi"/>
          <w:color w:val="000000"/>
          <w:lang w:val="et-EE"/>
        </w:rPr>
        <w:t>×</w:t>
      </w:r>
      <w:r w:rsidRPr="00F75516">
        <w:rPr>
          <w:rFonts w:asciiTheme="minorHAnsi" w:eastAsia="SymbolMT" w:hAnsiTheme="minorHAnsi" w:cstheme="minorHAnsi"/>
          <w:color w:val="000000"/>
          <w:lang w:val="et-EE"/>
        </w:rPr>
        <w:t xml:space="preserve"> 10‐7 lx for night time range</w:t>
      </w:r>
    </w:p>
    <w:p w14:paraId="29E2AF04" w14:textId="77777777" w:rsidR="00067258" w:rsidRDefault="00067258" w:rsidP="00067258">
      <w:pPr>
        <w:shd w:val="clear" w:color="auto" w:fill="FFFFFF"/>
        <w:spacing w:after="120" w:line="216" w:lineRule="atLeast"/>
        <w:ind w:left="720"/>
        <w:rPr>
          <w:rFonts w:asciiTheme="minorHAnsi" w:eastAsia="SymbolMT" w:hAnsiTheme="minorHAnsi" w:cstheme="minorHAnsi"/>
          <w:color w:val="000000"/>
          <w:lang w:val="et-EE"/>
        </w:rPr>
      </w:pPr>
      <w:r w:rsidRPr="00F75516">
        <w:rPr>
          <w:rFonts w:asciiTheme="minorHAnsi" w:eastAsia="SymbolMT" w:hAnsiTheme="minorHAnsi" w:cstheme="minorHAnsi"/>
          <w:color w:val="000000"/>
          <w:lang w:val="et-EE"/>
        </w:rPr>
        <w:t xml:space="preserve">of 1 </w:t>
      </w:r>
      <w:r>
        <w:rPr>
          <w:rFonts w:asciiTheme="minorHAnsi" w:eastAsia="SymbolMT" w:hAnsiTheme="minorHAnsi" w:cstheme="minorHAnsi"/>
          <w:color w:val="000000"/>
          <w:lang w:val="et-EE"/>
        </w:rPr>
        <w:t>×</w:t>
      </w:r>
      <w:r w:rsidRPr="00F75516">
        <w:rPr>
          <w:rFonts w:asciiTheme="minorHAnsi" w:eastAsia="SymbolMT" w:hAnsiTheme="minorHAnsi" w:cstheme="minorHAnsi"/>
          <w:color w:val="000000"/>
          <w:lang w:val="et-EE"/>
        </w:rPr>
        <w:t xml:space="preserve"> 10‐3 lx for day time range</w:t>
      </w:r>
    </w:p>
    <w:p w14:paraId="7DDEB201" w14:textId="77777777" w:rsidR="00DD4980" w:rsidRPr="00F75516" w:rsidRDefault="00DD4980" w:rsidP="00067258">
      <w:pPr>
        <w:shd w:val="clear" w:color="auto" w:fill="FFFFFF"/>
        <w:spacing w:after="120" w:line="216" w:lineRule="atLeast"/>
        <w:ind w:left="720"/>
        <w:rPr>
          <w:rFonts w:asciiTheme="minorHAnsi" w:hAnsiTheme="minorHAnsi" w:cstheme="minorHAnsi"/>
        </w:rPr>
      </w:pPr>
    </w:p>
    <w:p w14:paraId="3C32C8D1" w14:textId="369B0CA9" w:rsidR="00067258" w:rsidRDefault="00067258" w:rsidP="000B4406">
      <w:pPr>
        <w:pStyle w:val="BodyText"/>
      </w:pPr>
      <w:r>
        <w:t xml:space="preserve">In IALA Dictionary the </w:t>
      </w:r>
      <w:r w:rsidRPr="008D127E">
        <w:t>n</w:t>
      </w:r>
      <w:r w:rsidR="00361003" w:rsidRPr="008D127E">
        <w:t xml:space="preserve">ominal range of a light is and </w:t>
      </w:r>
      <w:r w:rsidRPr="008D127E">
        <w:t xml:space="preserve">in </w:t>
      </w:r>
      <w:r w:rsidRPr="008D127E">
        <w:rPr>
          <w:i/>
        </w:rPr>
        <w:t xml:space="preserve">ARM14-7.3.12 WP Task 1.5.3 - New Definitions for IALA Dictionary </w:t>
      </w:r>
      <w:r w:rsidRPr="008D127E">
        <w:t xml:space="preserve">it </w:t>
      </w:r>
      <w:r w:rsidR="00A87021">
        <w:t>is proposed to be</w:t>
      </w:r>
      <w:r w:rsidRPr="008D127E">
        <w:t xml:space="preserve"> </w:t>
      </w:r>
      <w:r w:rsidR="00361003" w:rsidRPr="008D127E">
        <w:t xml:space="preserve">defined by the </w:t>
      </w:r>
      <w:r w:rsidR="005E2EB5" w:rsidRPr="008D127E">
        <w:t>term “</w:t>
      </w:r>
      <w:r w:rsidR="00361003" w:rsidRPr="008D127E">
        <w:t>luminous range</w:t>
      </w:r>
      <w:r w:rsidR="005E2EB5" w:rsidRPr="008D127E">
        <w:t>”</w:t>
      </w:r>
      <w:r w:rsidR="00361003">
        <w:t xml:space="preserve"> and the meteorological visibility of 10 </w:t>
      </w:r>
      <w:r w:rsidR="00A87021">
        <w:t>N</w:t>
      </w:r>
      <w:r w:rsidR="00361003">
        <w:t xml:space="preserve">M. Luminous range, in turn, is defined </w:t>
      </w:r>
      <w:r w:rsidR="00835F58">
        <w:t xml:space="preserve">(among the other things) </w:t>
      </w:r>
      <w:r w:rsidR="00361003">
        <w:t xml:space="preserve">by “the </w:t>
      </w:r>
      <w:r w:rsidR="00361003" w:rsidRPr="000B1AF9">
        <w:t>threshold of illuminance on the eye of the observer</w:t>
      </w:r>
      <w:r w:rsidR="00361003">
        <w:t>” wh</w:t>
      </w:r>
      <w:r w:rsidR="005E2EB5">
        <w:t>ose</w:t>
      </w:r>
      <w:r w:rsidR="00361003">
        <w:t xml:space="preserve"> value is not specified</w:t>
      </w:r>
      <w:r w:rsidR="00A87021">
        <w:t xml:space="preserve"> </w:t>
      </w:r>
      <w:r w:rsidR="00A87021" w:rsidRPr="008D127E">
        <w:t xml:space="preserve">(see </w:t>
      </w:r>
      <w:r w:rsidR="00A87021" w:rsidRPr="008D127E">
        <w:fldChar w:fldCharType="begin"/>
      </w:r>
      <w:r w:rsidR="00A87021" w:rsidRPr="008D127E">
        <w:instrText xml:space="preserve"> REF _Ref73367765 \r \h  \* MERGEFORMAT </w:instrText>
      </w:r>
      <w:r w:rsidR="00A87021" w:rsidRPr="008D127E">
        <w:fldChar w:fldCharType="separate"/>
      </w:r>
      <w:r w:rsidR="00A87021" w:rsidRPr="008D127E">
        <w:t>Table 1</w:t>
      </w:r>
      <w:r w:rsidR="00A87021" w:rsidRPr="008D127E">
        <w:fldChar w:fldCharType="end"/>
      </w:r>
      <w:r w:rsidR="00A87021" w:rsidRPr="008D127E">
        <w:t>)</w:t>
      </w:r>
      <w:r w:rsidR="00361003">
        <w:t xml:space="preserve">. </w:t>
      </w:r>
    </w:p>
    <w:p w14:paraId="034ECEF9" w14:textId="77777777" w:rsidR="000B4406" w:rsidRDefault="00361003" w:rsidP="000B4406">
      <w:pPr>
        <w:pStyle w:val="Tablecaption"/>
      </w:pPr>
      <w:bookmarkStart w:id="0" w:name="_Ref73367765"/>
      <w:r>
        <w:t xml:space="preserve">Excerpt from </w:t>
      </w:r>
      <w:r w:rsidRPr="009C0339">
        <w:t>ARM14-7.3.12 WP Task 1.5.3 - New Definitions for IALA Dictionary</w:t>
      </w:r>
      <w:bookmarkEnd w:id="0"/>
    </w:p>
    <w:tbl>
      <w:tblPr>
        <w:tblStyle w:val="TableGrid"/>
        <w:tblpPr w:leftFromText="141" w:rightFromText="141" w:vertAnchor="text" w:horzAnchor="margin" w:tblpY="30"/>
        <w:tblW w:w="9634" w:type="dxa"/>
        <w:tblLayout w:type="fixed"/>
        <w:tblCellMar>
          <w:left w:w="28" w:type="dxa"/>
          <w:right w:w="28" w:type="dxa"/>
        </w:tblCellMar>
        <w:tblLook w:val="04A0" w:firstRow="1" w:lastRow="0" w:firstColumn="1" w:lastColumn="0" w:noHBand="0" w:noVBand="1"/>
      </w:tblPr>
      <w:tblGrid>
        <w:gridCol w:w="4673"/>
        <w:gridCol w:w="4961"/>
      </w:tblGrid>
      <w:tr w:rsidR="000B4406" w:rsidRPr="00797923" w14:paraId="63A08872" w14:textId="77777777" w:rsidTr="009C0339">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66E028" w14:textId="77777777" w:rsidR="000B4406" w:rsidRPr="00571748" w:rsidRDefault="000B4406" w:rsidP="009C0339">
            <w:pPr>
              <w:shd w:val="clear" w:color="auto" w:fill="FFFFFF"/>
              <w:spacing w:after="120" w:line="216" w:lineRule="atLeast"/>
              <w:ind w:left="117"/>
              <w:jc w:val="center"/>
              <w:rPr>
                <w:rStyle w:val="Hyperlink"/>
                <w:rFonts w:asciiTheme="minorHAnsi" w:hAnsiTheme="minorHAnsi" w:cstheme="minorHAnsi"/>
                <w:b/>
                <w:color w:val="000000" w:themeColor="text1"/>
                <w:sz w:val="20"/>
                <w:szCs w:val="20"/>
              </w:rPr>
            </w:pPr>
            <w:r w:rsidRPr="00571748">
              <w:rPr>
                <w:rStyle w:val="Hyperlink"/>
                <w:rFonts w:asciiTheme="minorHAnsi" w:hAnsiTheme="minorHAnsi" w:cstheme="minorHAnsi"/>
                <w:b/>
                <w:color w:val="000000" w:themeColor="text1"/>
                <w:sz w:val="20"/>
                <w:szCs w:val="20"/>
              </w:rPr>
              <w:t>Old Definition</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tcPr>
          <w:p w14:paraId="62B20CC3" w14:textId="77777777" w:rsidR="000B4406" w:rsidRPr="00571748" w:rsidRDefault="000B4406" w:rsidP="009C0339">
            <w:pPr>
              <w:shd w:val="clear" w:color="auto" w:fill="FFFFFF"/>
              <w:spacing w:after="120" w:line="216" w:lineRule="atLeast"/>
              <w:ind w:left="117"/>
              <w:jc w:val="center"/>
              <w:rPr>
                <w:rStyle w:val="Hyperlink"/>
                <w:b/>
              </w:rPr>
            </w:pPr>
            <w:r w:rsidRPr="00571748">
              <w:rPr>
                <w:rStyle w:val="Hyperlink"/>
                <w:rFonts w:asciiTheme="minorHAnsi" w:hAnsiTheme="minorHAnsi" w:cstheme="minorHAnsi"/>
                <w:b/>
                <w:color w:val="000000" w:themeColor="text1"/>
                <w:sz w:val="20"/>
                <w:szCs w:val="20"/>
              </w:rPr>
              <w:t>Proposed Definition</w:t>
            </w:r>
          </w:p>
        </w:tc>
      </w:tr>
      <w:tr w:rsidR="000B4406" w:rsidRPr="00797923" w14:paraId="3FF2D7E3" w14:textId="77777777" w:rsidTr="000B4406">
        <w:tc>
          <w:tcPr>
            <w:tcW w:w="4673" w:type="dxa"/>
            <w:tcBorders>
              <w:top w:val="single" w:sz="4" w:space="0" w:color="auto"/>
              <w:left w:val="single" w:sz="4" w:space="0" w:color="auto"/>
              <w:bottom w:val="single" w:sz="4" w:space="0" w:color="auto"/>
              <w:right w:val="single" w:sz="4" w:space="0" w:color="auto"/>
            </w:tcBorders>
            <w:vAlign w:val="center"/>
          </w:tcPr>
          <w:p w14:paraId="209F74ED" w14:textId="77777777" w:rsidR="000B4406" w:rsidRPr="00797923" w:rsidRDefault="00D40537" w:rsidP="000B4406">
            <w:pPr>
              <w:shd w:val="clear" w:color="auto" w:fill="FFFFFF"/>
              <w:spacing w:after="120" w:line="216" w:lineRule="atLeast"/>
              <w:ind w:left="117"/>
              <w:rPr>
                <w:rFonts w:asciiTheme="minorHAnsi" w:hAnsiTheme="minorHAnsi" w:cstheme="minorHAnsi"/>
                <w:color w:val="000000" w:themeColor="text1"/>
                <w:sz w:val="20"/>
                <w:szCs w:val="20"/>
              </w:rPr>
            </w:pPr>
            <w:hyperlink r:id="rId8" w:tooltip="Luminous Range" w:history="1">
              <w:r w:rsidR="000B4406" w:rsidRPr="00797923">
                <w:rPr>
                  <w:rStyle w:val="Hyperlink"/>
                  <w:rFonts w:asciiTheme="minorHAnsi" w:hAnsiTheme="minorHAnsi" w:cstheme="minorHAnsi"/>
                  <w:color w:val="000000" w:themeColor="text1"/>
                  <w:sz w:val="20"/>
                  <w:szCs w:val="20"/>
                </w:rPr>
                <w:t>Luminous Range</w:t>
              </w:r>
            </w:hyperlink>
          </w:p>
          <w:p w14:paraId="20557713" w14:textId="77777777" w:rsidR="000B4406" w:rsidRPr="00797923" w:rsidRDefault="000B4406" w:rsidP="000B4406">
            <w:pPr>
              <w:shd w:val="clear" w:color="auto" w:fill="FFFFFF"/>
              <w:spacing w:after="120" w:line="216" w:lineRule="atLeast"/>
              <w:ind w:left="117"/>
            </w:pPr>
            <w:r w:rsidRPr="00797923">
              <w:rPr>
                <w:rStyle w:val="searchmatch"/>
                <w:rFonts w:asciiTheme="minorHAnsi" w:hAnsiTheme="minorHAnsi" w:cstheme="minorHAnsi"/>
                <w:b/>
                <w:bCs/>
                <w:color w:val="000000" w:themeColor="text1"/>
                <w:sz w:val="20"/>
                <w:szCs w:val="20"/>
              </w:rPr>
              <w:t>Luminous</w:t>
            </w:r>
            <w:r w:rsidRPr="00797923">
              <w:rPr>
                <w:rFonts w:asciiTheme="minorHAnsi" w:hAnsiTheme="minorHAnsi" w:cstheme="minorHAnsi"/>
                <w:color w:val="000000" w:themeColor="text1"/>
                <w:sz w:val="20"/>
                <w:szCs w:val="20"/>
              </w:rPr>
              <w:t> </w:t>
            </w:r>
            <w:r w:rsidRPr="00797923">
              <w:rPr>
                <w:rStyle w:val="searchmatch"/>
                <w:rFonts w:asciiTheme="minorHAnsi" w:hAnsiTheme="minorHAnsi" w:cstheme="minorHAnsi"/>
                <w:b/>
                <w:bCs/>
                <w:color w:val="000000" w:themeColor="text1"/>
                <w:sz w:val="20"/>
                <w:szCs w:val="20"/>
              </w:rPr>
              <w:t>Range</w:t>
            </w:r>
            <w:r w:rsidRPr="00797923">
              <w:rPr>
                <w:rFonts w:asciiTheme="minorHAnsi" w:hAnsiTheme="minorHAnsi" w:cstheme="minorHAnsi"/>
                <w:color w:val="000000" w:themeColor="text1"/>
                <w:sz w:val="20"/>
                <w:szCs w:val="20"/>
              </w:rPr>
              <w:t> (of a light) The maximum distance at which a light can be seen, as determined by the </w:t>
            </w:r>
            <w:r w:rsidRPr="00797923">
              <w:rPr>
                <w:rStyle w:val="searchmatch"/>
                <w:rFonts w:asciiTheme="minorHAnsi" w:hAnsiTheme="minorHAnsi" w:cstheme="minorHAnsi"/>
                <w:b/>
                <w:bCs/>
                <w:color w:val="000000" w:themeColor="text1"/>
                <w:sz w:val="20"/>
                <w:szCs w:val="20"/>
              </w:rPr>
              <w:t>luminous</w:t>
            </w:r>
            <w:r w:rsidRPr="00797923">
              <w:rPr>
                <w:rFonts w:asciiTheme="minorHAnsi" w:hAnsiTheme="minorHAnsi" w:cstheme="minorHAnsi"/>
                <w:color w:val="000000" w:themeColor="text1"/>
                <w:sz w:val="20"/>
                <w:szCs w:val="20"/>
              </w:rPr>
              <w:t xml:space="preserve"> intensity of the light, the atmospheric transmission factor and the </w:t>
            </w:r>
            <w:proofErr w:type="spellStart"/>
            <w:r w:rsidRPr="00797923">
              <w:rPr>
                <w:rFonts w:asciiTheme="minorHAnsi" w:hAnsiTheme="minorHAnsi" w:cstheme="minorHAnsi"/>
                <w:color w:val="000000" w:themeColor="text1"/>
                <w:sz w:val="20"/>
                <w:szCs w:val="20"/>
              </w:rPr>
              <w:t>thresho</w:t>
            </w:r>
            <w:proofErr w:type="spellEnd"/>
            <w:r>
              <w:rPr>
                <w:rFonts w:asciiTheme="minorHAnsi" w:hAnsiTheme="minorHAnsi" w:cstheme="minorHAnsi"/>
                <w:color w:val="000000" w:themeColor="text1"/>
                <w:sz w:val="20"/>
                <w:szCs w:val="20"/>
              </w:rPr>
              <w:t>….</w:t>
            </w:r>
          </w:p>
        </w:tc>
        <w:tc>
          <w:tcPr>
            <w:tcW w:w="4961" w:type="dxa"/>
            <w:tcBorders>
              <w:top w:val="single" w:sz="4" w:space="0" w:color="auto"/>
              <w:left w:val="single" w:sz="4" w:space="0" w:color="auto"/>
              <w:bottom w:val="single" w:sz="4" w:space="0" w:color="auto"/>
              <w:right w:val="single" w:sz="4" w:space="0" w:color="auto"/>
            </w:tcBorders>
          </w:tcPr>
          <w:p w14:paraId="09C5D89D" w14:textId="77777777" w:rsidR="000B4406" w:rsidRPr="00797923" w:rsidRDefault="000B4406" w:rsidP="000B4406">
            <w:pPr>
              <w:autoSpaceDE w:val="0"/>
              <w:autoSpaceDN w:val="0"/>
              <w:adjustRightInd w:val="0"/>
              <w:spacing w:after="120" w:line="216" w:lineRule="atLeast"/>
              <w:ind w:left="117"/>
              <w:rPr>
                <w:rFonts w:asciiTheme="minorHAnsi" w:hAnsiTheme="minorHAnsi" w:cstheme="minorHAnsi"/>
                <w:b/>
                <w:bCs/>
                <w:color w:val="000000" w:themeColor="text1"/>
                <w:sz w:val="20"/>
                <w:szCs w:val="20"/>
              </w:rPr>
            </w:pPr>
            <w:r w:rsidRPr="00797923">
              <w:rPr>
                <w:rFonts w:asciiTheme="minorHAnsi" w:hAnsiTheme="minorHAnsi" w:cstheme="minorHAnsi"/>
                <w:b/>
                <w:bCs/>
                <w:color w:val="000000" w:themeColor="text1"/>
                <w:sz w:val="20"/>
                <w:szCs w:val="20"/>
              </w:rPr>
              <w:t>Luminous range (of a light)</w:t>
            </w:r>
          </w:p>
          <w:p w14:paraId="0613C82B" w14:textId="77777777" w:rsidR="000B4406" w:rsidRPr="00797923" w:rsidRDefault="000B4406" w:rsidP="000B4406">
            <w:pPr>
              <w:autoSpaceDE w:val="0"/>
              <w:autoSpaceDN w:val="0"/>
              <w:adjustRightInd w:val="0"/>
              <w:spacing w:after="120" w:line="216" w:lineRule="atLeast"/>
              <w:ind w:left="117"/>
              <w:rPr>
                <w:rFonts w:asciiTheme="minorHAnsi" w:hAnsiTheme="minorHAnsi" w:cstheme="minorHAnsi"/>
                <w:b/>
                <w:bCs/>
                <w:color w:val="000000" w:themeColor="text1"/>
                <w:sz w:val="20"/>
                <w:szCs w:val="20"/>
              </w:rPr>
            </w:pPr>
            <w:r w:rsidRPr="00797923">
              <w:rPr>
                <w:rFonts w:asciiTheme="minorHAnsi" w:hAnsiTheme="minorHAnsi" w:cstheme="minorHAnsi"/>
                <w:color w:val="000000" w:themeColor="text1"/>
                <w:sz w:val="20"/>
                <w:szCs w:val="20"/>
                <w:shd w:val="clear" w:color="auto" w:fill="FFFFFF"/>
              </w:rPr>
              <w:t xml:space="preserve">The maximum distance at which a light can be seen, as </w:t>
            </w:r>
            <w:r w:rsidRPr="0019207A">
              <w:rPr>
                <w:rFonts w:asciiTheme="minorHAnsi" w:hAnsiTheme="minorHAnsi" w:cstheme="minorHAnsi"/>
                <w:color w:val="000000" w:themeColor="text1"/>
                <w:sz w:val="20"/>
                <w:szCs w:val="20"/>
                <w:shd w:val="clear" w:color="auto" w:fill="FFFFFF"/>
              </w:rPr>
              <w:t>determined by the luminous intensity of the light, the atmospheric transmission factor and the threshold of illuminance on</w:t>
            </w:r>
            <w:r w:rsidRPr="00797923">
              <w:rPr>
                <w:rFonts w:asciiTheme="minorHAnsi" w:hAnsiTheme="minorHAnsi" w:cstheme="minorHAnsi"/>
                <w:color w:val="000000" w:themeColor="text1"/>
                <w:sz w:val="20"/>
                <w:szCs w:val="20"/>
                <w:shd w:val="clear" w:color="auto" w:fill="FFFFFF"/>
              </w:rPr>
              <w:t xml:space="preserve"> the eye of the observer</w:t>
            </w:r>
          </w:p>
        </w:tc>
      </w:tr>
      <w:tr w:rsidR="000B4406" w:rsidRPr="00797923" w14:paraId="5945D3AD" w14:textId="77777777" w:rsidTr="000B4406">
        <w:tc>
          <w:tcPr>
            <w:tcW w:w="4673" w:type="dxa"/>
            <w:tcBorders>
              <w:top w:val="single" w:sz="4" w:space="0" w:color="auto"/>
              <w:left w:val="single" w:sz="4" w:space="0" w:color="auto"/>
              <w:bottom w:val="single" w:sz="4" w:space="0" w:color="auto"/>
              <w:right w:val="single" w:sz="4" w:space="0" w:color="auto"/>
            </w:tcBorders>
            <w:vAlign w:val="center"/>
          </w:tcPr>
          <w:p w14:paraId="6250F721" w14:textId="1A6B7F89" w:rsidR="000B4406" w:rsidRPr="00797923" w:rsidRDefault="000B4406" w:rsidP="000B4406">
            <w:pPr>
              <w:pStyle w:val="BodyText"/>
              <w:ind w:left="117"/>
              <w:rPr>
                <w:sz w:val="20"/>
                <w:szCs w:val="20"/>
                <w:shd w:val="clear" w:color="auto" w:fill="FFFFFF"/>
              </w:rPr>
            </w:pPr>
            <w:r w:rsidRPr="00797923">
              <w:rPr>
                <w:rStyle w:val="searchmatch"/>
                <w:rFonts w:asciiTheme="minorHAnsi" w:hAnsiTheme="minorHAnsi" w:cstheme="minorHAnsi"/>
                <w:b/>
                <w:bCs/>
                <w:color w:val="000000" w:themeColor="text1"/>
                <w:sz w:val="20"/>
                <w:szCs w:val="20"/>
                <w:shd w:val="clear" w:color="auto" w:fill="FFFFFF"/>
              </w:rPr>
              <w:t>Nominal</w:t>
            </w:r>
            <w:r w:rsidRPr="00797923">
              <w:rPr>
                <w:sz w:val="20"/>
                <w:szCs w:val="20"/>
                <w:shd w:val="clear" w:color="auto" w:fill="FFFFFF"/>
              </w:rPr>
              <w:t> </w:t>
            </w:r>
            <w:r w:rsidRPr="00797923">
              <w:rPr>
                <w:rStyle w:val="searchmatch"/>
                <w:rFonts w:asciiTheme="minorHAnsi" w:hAnsiTheme="minorHAnsi" w:cstheme="minorHAnsi"/>
                <w:b/>
                <w:bCs/>
                <w:color w:val="000000" w:themeColor="text1"/>
                <w:sz w:val="20"/>
                <w:szCs w:val="20"/>
                <w:shd w:val="clear" w:color="auto" w:fill="FFFFFF"/>
              </w:rPr>
              <w:t>Range</w:t>
            </w:r>
            <w:r w:rsidRPr="00797923">
              <w:rPr>
                <w:sz w:val="20"/>
                <w:szCs w:val="20"/>
                <w:shd w:val="clear" w:color="auto" w:fill="FFFFFF"/>
              </w:rPr>
              <w:t> (of a light) ...</w:t>
            </w:r>
            <w:r w:rsidR="004C410F">
              <w:rPr>
                <w:sz w:val="20"/>
                <w:szCs w:val="20"/>
                <w:shd w:val="clear" w:color="auto" w:fill="FFFFFF"/>
              </w:rPr>
              <w:t>no</w:t>
            </w:r>
            <w:r w:rsidRPr="00797923">
              <w:rPr>
                <w:sz w:val="20"/>
                <w:szCs w:val="20"/>
                <w:shd w:val="clear" w:color="auto" w:fill="FFFFFF"/>
              </w:rPr>
              <w:t>minal </w:t>
            </w:r>
            <w:r w:rsidRPr="00797923">
              <w:rPr>
                <w:rStyle w:val="searchmatch"/>
                <w:rFonts w:asciiTheme="minorHAnsi" w:hAnsiTheme="minorHAnsi" w:cstheme="minorHAnsi"/>
                <w:b/>
                <w:bCs/>
                <w:color w:val="000000" w:themeColor="text1"/>
                <w:sz w:val="20"/>
                <w:szCs w:val="20"/>
                <w:shd w:val="clear" w:color="auto" w:fill="FFFFFF"/>
              </w:rPr>
              <w:t>range</w:t>
            </w:r>
            <w:r w:rsidRPr="00797923">
              <w:rPr>
                <w:sz w:val="20"/>
                <w:szCs w:val="20"/>
                <w:shd w:val="clear" w:color="auto" w:fill="FFFFFF"/>
              </w:rPr>
              <w:t> of a light used as an aid to marine navigation is its luminous </w:t>
            </w:r>
            <w:r w:rsidRPr="00797923">
              <w:rPr>
                <w:rStyle w:val="searchmatch"/>
                <w:rFonts w:asciiTheme="minorHAnsi" w:hAnsiTheme="minorHAnsi" w:cstheme="minorHAnsi"/>
                <w:b/>
                <w:bCs/>
                <w:color w:val="000000" w:themeColor="text1"/>
                <w:sz w:val="20"/>
                <w:szCs w:val="20"/>
                <w:shd w:val="clear" w:color="auto" w:fill="FFFFFF"/>
              </w:rPr>
              <w:t>range</w:t>
            </w:r>
            <w:r w:rsidRPr="00797923">
              <w:rPr>
                <w:sz w:val="20"/>
                <w:szCs w:val="20"/>
                <w:shd w:val="clear" w:color="auto" w:fill="FFFFFF"/>
              </w:rPr>
              <w:t> in a homogeneous atmosphere in which the meteorological visibility</w:t>
            </w:r>
            <w:r>
              <w:rPr>
                <w:sz w:val="20"/>
                <w:szCs w:val="20"/>
                <w:shd w:val="clear" w:color="auto" w:fill="FFFFFF"/>
              </w:rPr>
              <w:t xml:space="preserve"> …</w:t>
            </w:r>
          </w:p>
          <w:p w14:paraId="57259AC2" w14:textId="77777777" w:rsidR="000B4406" w:rsidRPr="00797923" w:rsidRDefault="000B4406" w:rsidP="000B4406">
            <w:pPr>
              <w:pStyle w:val="BodyText"/>
              <w:ind w:left="117"/>
              <w:rPr>
                <w:sz w:val="20"/>
                <w:szCs w:val="20"/>
              </w:rPr>
            </w:pPr>
          </w:p>
        </w:tc>
        <w:tc>
          <w:tcPr>
            <w:tcW w:w="4961" w:type="dxa"/>
            <w:tcBorders>
              <w:top w:val="single" w:sz="4" w:space="0" w:color="auto"/>
              <w:left w:val="single" w:sz="4" w:space="0" w:color="auto"/>
              <w:bottom w:val="single" w:sz="4" w:space="0" w:color="auto"/>
              <w:right w:val="single" w:sz="4" w:space="0" w:color="auto"/>
            </w:tcBorders>
          </w:tcPr>
          <w:p w14:paraId="58AEE249" w14:textId="77777777" w:rsidR="00361003" w:rsidRPr="00797923" w:rsidRDefault="000B4406" w:rsidP="000B4406">
            <w:pPr>
              <w:autoSpaceDE w:val="0"/>
              <w:autoSpaceDN w:val="0"/>
              <w:adjustRightInd w:val="0"/>
              <w:spacing w:after="120" w:line="216" w:lineRule="atLeast"/>
              <w:ind w:left="117"/>
              <w:rPr>
                <w:rFonts w:asciiTheme="minorHAnsi" w:hAnsiTheme="minorHAnsi" w:cstheme="minorHAnsi"/>
                <w:b/>
                <w:bCs/>
                <w:color w:val="000000" w:themeColor="text1"/>
                <w:sz w:val="20"/>
                <w:szCs w:val="20"/>
              </w:rPr>
            </w:pPr>
            <w:r w:rsidRPr="00797923">
              <w:rPr>
                <w:rFonts w:asciiTheme="minorHAnsi" w:hAnsiTheme="minorHAnsi" w:cstheme="minorHAnsi"/>
                <w:b/>
                <w:bCs/>
                <w:color w:val="000000" w:themeColor="text1"/>
                <w:sz w:val="20"/>
                <w:szCs w:val="20"/>
              </w:rPr>
              <w:t>Nominal range</w:t>
            </w:r>
          </w:p>
          <w:p w14:paraId="482BF43E" w14:textId="77777777" w:rsidR="000B4406" w:rsidRPr="00797923" w:rsidRDefault="000B4406" w:rsidP="000B4406">
            <w:pPr>
              <w:autoSpaceDE w:val="0"/>
              <w:autoSpaceDN w:val="0"/>
              <w:adjustRightInd w:val="0"/>
              <w:spacing w:after="120" w:line="216" w:lineRule="atLeast"/>
              <w:ind w:left="117"/>
              <w:rPr>
                <w:rFonts w:asciiTheme="minorHAnsi" w:hAnsiTheme="minorHAnsi" w:cstheme="minorHAnsi"/>
                <w:b/>
                <w:bCs/>
                <w:color w:val="000000" w:themeColor="text1"/>
                <w:sz w:val="20"/>
                <w:szCs w:val="20"/>
              </w:rPr>
            </w:pPr>
            <w:r w:rsidRPr="00797923">
              <w:rPr>
                <w:rFonts w:asciiTheme="minorHAnsi" w:hAnsiTheme="minorHAnsi" w:cstheme="minorHAnsi"/>
                <w:color w:val="000000" w:themeColor="text1"/>
                <w:sz w:val="20"/>
                <w:szCs w:val="20"/>
              </w:rPr>
              <w:t xml:space="preserve">The nominal range of a light used as a marine aid to navigation </w:t>
            </w:r>
            <w:r w:rsidRPr="00361003">
              <w:rPr>
                <w:rFonts w:asciiTheme="minorHAnsi" w:hAnsiTheme="minorHAnsi" w:cstheme="minorHAnsi"/>
                <w:color w:val="000000" w:themeColor="text1"/>
                <w:sz w:val="20"/>
                <w:szCs w:val="20"/>
              </w:rPr>
              <w:t>is its luminous range</w:t>
            </w:r>
            <w:r w:rsidRPr="0019207A">
              <w:rPr>
                <w:rFonts w:asciiTheme="minorHAnsi" w:hAnsiTheme="minorHAnsi" w:cstheme="minorHAnsi"/>
                <w:color w:val="000000" w:themeColor="text1"/>
                <w:sz w:val="20"/>
                <w:szCs w:val="20"/>
              </w:rPr>
              <w:t xml:space="preserve"> in a homogeneous atmosphere in</w:t>
            </w:r>
            <w:r w:rsidRPr="00797923">
              <w:rPr>
                <w:rFonts w:asciiTheme="minorHAnsi" w:hAnsiTheme="minorHAnsi" w:cstheme="minorHAnsi"/>
                <w:color w:val="000000" w:themeColor="text1"/>
                <w:sz w:val="20"/>
                <w:szCs w:val="20"/>
              </w:rPr>
              <w:t xml:space="preserve"> which the meteorological visibility is 10 </w:t>
            </w:r>
            <w:commentRangeStart w:id="1"/>
            <w:r w:rsidRPr="00797923">
              <w:rPr>
                <w:rFonts w:asciiTheme="minorHAnsi" w:hAnsiTheme="minorHAnsi" w:cstheme="minorHAnsi"/>
                <w:color w:val="000000" w:themeColor="text1"/>
                <w:sz w:val="20"/>
                <w:szCs w:val="20"/>
              </w:rPr>
              <w:t>NM</w:t>
            </w:r>
            <w:commentRangeEnd w:id="1"/>
            <w:r w:rsidR="002D6832">
              <w:rPr>
                <w:rStyle w:val="CommentReference"/>
              </w:rPr>
              <w:commentReference w:id="1"/>
            </w:r>
          </w:p>
        </w:tc>
      </w:tr>
    </w:tbl>
    <w:p w14:paraId="66D675ED" w14:textId="77777777" w:rsidR="0019207A" w:rsidRDefault="0019207A" w:rsidP="000B4406">
      <w:pPr>
        <w:pStyle w:val="BodyText"/>
      </w:pPr>
    </w:p>
    <w:p w14:paraId="4C76FC62" w14:textId="0E41376C" w:rsidR="00203B91" w:rsidRDefault="00203B91" w:rsidP="00203B91">
      <w:pPr>
        <w:pStyle w:val="BodyText"/>
      </w:pPr>
      <w:r>
        <w:t xml:space="preserve">So, while specific </w:t>
      </w:r>
      <w:r w:rsidRPr="000B1AF9">
        <w:t>threshold</w:t>
      </w:r>
      <w:r>
        <w:t>s</w:t>
      </w:r>
      <w:r w:rsidRPr="000B1AF9">
        <w:t xml:space="preserve"> of illuminance</w:t>
      </w:r>
      <w:r>
        <w:t xml:space="preserve"> are an essential part of the definition of the nominal range</w:t>
      </w:r>
      <w:r w:rsidR="008D70C4">
        <w:t>,</w:t>
      </w:r>
      <w:r>
        <w:t xml:space="preserve"> as defined in the </w:t>
      </w:r>
      <w:r w:rsidRPr="00203B91">
        <w:t>R0202</w:t>
      </w:r>
      <w:r>
        <w:t>, its values can’t be found</w:t>
      </w:r>
      <w:r w:rsidR="005E2EB5">
        <w:t xml:space="preserve"> neither directly nor referenced</w:t>
      </w:r>
      <w:r>
        <w:t xml:space="preserve"> in the definitions. </w:t>
      </w:r>
    </w:p>
    <w:p w14:paraId="0BBD1C0A" w14:textId="70FE1205" w:rsidR="001200AA" w:rsidRDefault="001200AA" w:rsidP="001200AA">
      <w:pPr>
        <w:pStyle w:val="BodyText"/>
      </w:pPr>
      <w:r>
        <w:t xml:space="preserve">While such definition referring to </w:t>
      </w:r>
      <w:r w:rsidR="00A87021">
        <w:t xml:space="preserve">the </w:t>
      </w:r>
      <w:r>
        <w:t xml:space="preserve">definition may follow the </w:t>
      </w:r>
      <w:r w:rsidR="008D70C4">
        <w:t xml:space="preserve">bulleted </w:t>
      </w:r>
      <w:r>
        <w:t xml:space="preserve">structure </w:t>
      </w:r>
      <w:r w:rsidR="00CD4E6F">
        <w:t>in</w:t>
      </w:r>
      <w:r>
        <w:t xml:space="preserve"> R0202 it is not very good in practical use where it would be </w:t>
      </w:r>
      <w:r w:rsidR="008D70C4">
        <w:t xml:space="preserve">convenient </w:t>
      </w:r>
      <w:r>
        <w:t xml:space="preserve">to have all the </w:t>
      </w:r>
      <w:r w:rsidR="008D70C4">
        <w:t xml:space="preserve">essential </w:t>
      </w:r>
      <w:r w:rsidR="00CD4E6F">
        <w:t>parameters</w:t>
      </w:r>
      <w:r w:rsidR="008D70C4">
        <w:t xml:space="preserve"> </w:t>
      </w:r>
      <w:r w:rsidR="00A9001A">
        <w:t xml:space="preserve">of this quite often used term </w:t>
      </w:r>
      <w:r>
        <w:t>in one single ready-to-use definition.</w:t>
      </w:r>
    </w:p>
    <w:p w14:paraId="70E95657" w14:textId="645FC0C6" w:rsidR="007B1B78" w:rsidRPr="00CD4E6F" w:rsidRDefault="00C20C85" w:rsidP="001200AA">
      <w:pPr>
        <w:pStyle w:val="BodyText"/>
      </w:pPr>
      <w:r>
        <w:t xml:space="preserve">As nominal range is defined separately for </w:t>
      </w:r>
      <w:proofErr w:type="gramStart"/>
      <w:r>
        <w:t>night time</w:t>
      </w:r>
      <w:proofErr w:type="gramEnd"/>
      <w:r>
        <w:t xml:space="preserve"> and for d</w:t>
      </w:r>
      <w:r w:rsidR="001200AA">
        <w:t>ay time</w:t>
      </w:r>
      <w:r>
        <w:t xml:space="preserve"> it may not be practical to put both of them in one sentence in the definition</w:t>
      </w:r>
      <w:r w:rsidR="00A87021">
        <w:t>, and alternative wordings can be considered</w:t>
      </w:r>
      <w:r>
        <w:t xml:space="preserve">. One way would be to </w:t>
      </w:r>
      <w:r w:rsidR="00BB256B">
        <w:t xml:space="preserve">create a new term “nominal conditions” that </w:t>
      </w:r>
      <w:r w:rsidR="00CB2DED">
        <w:t>is</w:t>
      </w:r>
      <w:r w:rsidR="00BB256B">
        <w:t xml:space="preserve"> defined in separately in the frames of the definition of the nominal range. </w:t>
      </w:r>
      <w:r w:rsidR="00CD4E6F">
        <w:t xml:space="preserve">Below are proposed some alternative wordings for consideration and possible amending. Another question </w:t>
      </w:r>
      <w:r w:rsidR="00A87021">
        <w:t xml:space="preserve">could be </w:t>
      </w:r>
      <w:r w:rsidR="00CD4E6F">
        <w:t xml:space="preserve">if the word </w:t>
      </w:r>
      <w:r w:rsidR="00CD4E6F">
        <w:rPr>
          <w:i/>
        </w:rPr>
        <w:t>nominal</w:t>
      </w:r>
      <w:r w:rsidR="00CD4E6F">
        <w:t xml:space="preserve"> should </w:t>
      </w:r>
      <w:r w:rsidR="00A87021">
        <w:t xml:space="preserve">also </w:t>
      </w:r>
      <w:r w:rsidR="00CD4E6F">
        <w:t xml:space="preserve">be </w:t>
      </w:r>
      <w:r w:rsidR="00A87021">
        <w:t xml:space="preserve">added to </w:t>
      </w:r>
      <w:r w:rsidR="00CD4E6F">
        <w:t xml:space="preserve">the </w:t>
      </w:r>
      <w:r w:rsidR="00A87021">
        <w:t>“</w:t>
      </w:r>
      <w:proofErr w:type="gramStart"/>
      <w:r w:rsidR="00CD4E6F">
        <w:t>day time</w:t>
      </w:r>
      <w:proofErr w:type="gramEnd"/>
      <w:r w:rsidR="00A87021">
        <w:t xml:space="preserve"> range”</w:t>
      </w:r>
      <w:r w:rsidR="00CD4E6F">
        <w:t xml:space="preserve"> and </w:t>
      </w:r>
      <w:r w:rsidR="00A87021">
        <w:t>“</w:t>
      </w:r>
      <w:r w:rsidR="00CD4E6F">
        <w:t>night time range</w:t>
      </w:r>
      <w:r w:rsidR="00A87021">
        <w:t>”</w:t>
      </w:r>
      <w:r w:rsidR="002D6832">
        <w:t>, as shown in the examples</w:t>
      </w:r>
      <w:r w:rsidR="00A87021">
        <w:t xml:space="preserve"> below</w:t>
      </w:r>
      <w:r w:rsidR="00CD4E6F">
        <w:t>.</w:t>
      </w:r>
    </w:p>
    <w:p w14:paraId="42A235FA" w14:textId="1F6F3046" w:rsidR="007B1B78" w:rsidRDefault="00CD4E6F" w:rsidP="008D70C4">
      <w:pPr>
        <w:pStyle w:val="BodyText"/>
        <w:rPr>
          <w:rFonts w:asciiTheme="minorHAnsi" w:hAnsiTheme="minorHAnsi" w:cs="Arial"/>
        </w:rPr>
      </w:pPr>
      <w:r>
        <w:t xml:space="preserve">1. </w:t>
      </w:r>
      <w:r w:rsidR="007B1B78">
        <w:t xml:space="preserve"> “</w:t>
      </w:r>
      <w:r w:rsidR="007B1B78" w:rsidRPr="00BB256B">
        <w:t>The nominal range of a light used as a marine aid to navigation is</w:t>
      </w:r>
      <w:r w:rsidR="007B1B78">
        <w:t xml:space="preserve"> the </w:t>
      </w:r>
      <w:r w:rsidR="007B1B78" w:rsidRPr="00A9001A">
        <w:t xml:space="preserve">maximum distance at which a light can be seen, as determined by the nominal </w:t>
      </w:r>
      <w:r w:rsidR="008D70C4" w:rsidRPr="00A9001A">
        <w:t>conditions</w:t>
      </w:r>
      <w:r w:rsidR="002D6832">
        <w:t xml:space="preserve"> / in the nominal conditions</w:t>
      </w:r>
      <w:r w:rsidR="008D70C4" w:rsidRPr="00A9001A">
        <w:t xml:space="preserve">. </w:t>
      </w:r>
      <w:r w:rsidR="002D6832">
        <w:t>The n</w:t>
      </w:r>
      <w:r w:rsidR="008D70C4" w:rsidRPr="00A9001A">
        <w:t xml:space="preserve">ominal conditions are </w:t>
      </w:r>
      <w:r w:rsidR="007B1B78" w:rsidRPr="00A9001A">
        <w:t xml:space="preserve">meteorological visibility </w:t>
      </w:r>
      <w:r w:rsidR="008D70C4" w:rsidRPr="00A9001A">
        <w:t xml:space="preserve">10 NM </w:t>
      </w:r>
      <w:r w:rsidR="007B1B78" w:rsidRPr="00A9001A">
        <w:t>and the threshold of illuminance on the eye of the observer</w:t>
      </w:r>
      <w:r w:rsidR="008D70C4" w:rsidRPr="00A9001A">
        <w:t xml:space="preserve"> </w:t>
      </w:r>
      <w:r w:rsidR="005E2EB5" w:rsidRPr="00A9001A">
        <w:t>2 ×</w:t>
      </w:r>
      <w:r w:rsidR="002D6832">
        <w:t xml:space="preserve"> 10‐7 lx (</w:t>
      </w:r>
      <w:r w:rsidR="002D6832" w:rsidRPr="00BB256B">
        <w:rPr>
          <w:rFonts w:asciiTheme="minorHAnsi" w:hAnsiTheme="minorHAnsi" w:cs="Arial"/>
        </w:rPr>
        <w:t>0.2 microlux</w:t>
      </w:r>
      <w:r w:rsidR="002D6832">
        <w:rPr>
          <w:rFonts w:asciiTheme="minorHAnsi" w:hAnsiTheme="minorHAnsi" w:cs="Arial"/>
        </w:rPr>
        <w:t>?)</w:t>
      </w:r>
      <w:r w:rsidR="002D6832">
        <w:t xml:space="preserve"> </w:t>
      </w:r>
      <w:r w:rsidR="008D70C4" w:rsidRPr="00A9001A">
        <w:t>for nig</w:t>
      </w:r>
      <w:r w:rsidR="008D70C4">
        <w:rPr>
          <w:rFonts w:asciiTheme="minorHAnsi" w:hAnsiTheme="minorHAnsi" w:cs="Arial"/>
        </w:rPr>
        <w:t>ht time</w:t>
      </w:r>
      <w:r w:rsidR="00A870EB" w:rsidRPr="00A870EB">
        <w:rPr>
          <w:i/>
        </w:rPr>
        <w:t xml:space="preserve"> nominal</w:t>
      </w:r>
      <w:r w:rsidR="008D70C4">
        <w:rPr>
          <w:rFonts w:asciiTheme="minorHAnsi" w:hAnsiTheme="minorHAnsi" w:cs="Arial"/>
        </w:rPr>
        <w:t xml:space="preserve"> range and </w:t>
      </w:r>
      <w:r w:rsidR="005E2EB5" w:rsidRPr="00F75516">
        <w:rPr>
          <w:rFonts w:asciiTheme="minorHAnsi" w:eastAsia="SymbolMT" w:hAnsiTheme="minorHAnsi" w:cstheme="minorHAnsi"/>
          <w:color w:val="000000"/>
          <w:lang w:val="et-EE"/>
        </w:rPr>
        <w:t xml:space="preserve">1 </w:t>
      </w:r>
      <w:r w:rsidR="005E2EB5">
        <w:rPr>
          <w:rFonts w:asciiTheme="minorHAnsi" w:eastAsia="SymbolMT" w:hAnsiTheme="minorHAnsi" w:cstheme="minorHAnsi"/>
          <w:color w:val="000000"/>
          <w:lang w:val="et-EE"/>
        </w:rPr>
        <w:t>×</w:t>
      </w:r>
      <w:r w:rsidR="005E2EB5" w:rsidRPr="00F75516">
        <w:rPr>
          <w:rFonts w:asciiTheme="minorHAnsi" w:eastAsia="SymbolMT" w:hAnsiTheme="minorHAnsi" w:cstheme="minorHAnsi"/>
          <w:color w:val="000000"/>
          <w:lang w:val="et-EE"/>
        </w:rPr>
        <w:t xml:space="preserve"> 10‐3 lx</w:t>
      </w:r>
      <w:r w:rsidR="008D70C4" w:rsidRPr="008D70C4">
        <w:rPr>
          <w:rFonts w:asciiTheme="minorHAnsi" w:hAnsiTheme="minorHAnsi" w:cs="Arial"/>
        </w:rPr>
        <w:t xml:space="preserve"> for day time </w:t>
      </w:r>
      <w:r w:rsidR="00A870EB" w:rsidRPr="00A870EB">
        <w:rPr>
          <w:i/>
        </w:rPr>
        <w:t>nominal</w:t>
      </w:r>
      <w:r w:rsidR="00A870EB">
        <w:t xml:space="preserve"> </w:t>
      </w:r>
      <w:r w:rsidR="008D70C4" w:rsidRPr="008D70C4">
        <w:rPr>
          <w:rFonts w:asciiTheme="minorHAnsi" w:hAnsiTheme="minorHAnsi" w:cs="Arial"/>
        </w:rPr>
        <w:t>range.”</w:t>
      </w:r>
    </w:p>
    <w:p w14:paraId="63FD80B9" w14:textId="1E73AB83" w:rsidR="008D70C4" w:rsidRDefault="00CD4E6F" w:rsidP="008D70C4">
      <w:pPr>
        <w:pStyle w:val="BodyText"/>
      </w:pPr>
      <w:r>
        <w:t>2.</w:t>
      </w:r>
      <w:r w:rsidR="008D70C4">
        <w:t xml:space="preserve"> “</w:t>
      </w:r>
      <w:r w:rsidR="008D70C4" w:rsidRPr="00BB256B">
        <w:t>The nominal range of a light used as a marine aid to navigation is</w:t>
      </w:r>
      <w:r w:rsidR="008D70C4">
        <w:t xml:space="preserve"> the </w:t>
      </w:r>
      <w:r w:rsidR="008D70C4" w:rsidRPr="002D6832">
        <w:t>maximum distance at which a light can be seen, as determined by the luminous intensity of the li</w:t>
      </w:r>
      <w:r w:rsidR="008D70C4" w:rsidRPr="00BB256B">
        <w:rPr>
          <w:rFonts w:asciiTheme="minorHAnsi" w:hAnsiTheme="minorHAnsi" w:cs="Arial"/>
        </w:rPr>
        <w:t xml:space="preserve">ght, the </w:t>
      </w:r>
      <w:r w:rsidR="008D70C4" w:rsidRPr="00BB256B">
        <w:t xml:space="preserve">meteorological visibility </w:t>
      </w:r>
      <w:r w:rsidR="008D70C4">
        <w:t xml:space="preserve">in </w:t>
      </w:r>
      <w:r w:rsidR="008D70C4" w:rsidRPr="00BB256B">
        <w:t>homogeneous atmosphere</w:t>
      </w:r>
      <w:r w:rsidR="008D70C4" w:rsidRPr="00BB256B">
        <w:rPr>
          <w:rFonts w:asciiTheme="minorHAnsi" w:hAnsiTheme="minorHAnsi" w:cs="Arial"/>
        </w:rPr>
        <w:t xml:space="preserve"> </w:t>
      </w:r>
      <w:r w:rsidR="008D70C4">
        <w:t xml:space="preserve">being </w:t>
      </w:r>
      <w:r w:rsidR="008D70C4" w:rsidRPr="00BB256B">
        <w:t>10 NM</w:t>
      </w:r>
      <w:r w:rsidR="008D70C4" w:rsidRPr="00BB256B">
        <w:rPr>
          <w:rFonts w:asciiTheme="minorHAnsi" w:hAnsiTheme="minorHAnsi" w:cs="Arial"/>
        </w:rPr>
        <w:t xml:space="preserve"> and the threshold of illuminance on the eye of the observer </w:t>
      </w:r>
      <w:r w:rsidR="008D70C4">
        <w:t xml:space="preserve">being </w:t>
      </w:r>
      <w:r w:rsidR="002D6832" w:rsidRPr="00A9001A">
        <w:t>2 ×</w:t>
      </w:r>
      <w:r w:rsidR="002D6832">
        <w:t xml:space="preserve"> 10‐7 lx (</w:t>
      </w:r>
      <w:r w:rsidR="002D6832" w:rsidRPr="00BB256B">
        <w:rPr>
          <w:rFonts w:asciiTheme="minorHAnsi" w:hAnsiTheme="minorHAnsi" w:cs="Arial"/>
        </w:rPr>
        <w:t>0.2 microlux</w:t>
      </w:r>
      <w:r w:rsidR="002D6832">
        <w:rPr>
          <w:rFonts w:asciiTheme="minorHAnsi" w:hAnsiTheme="minorHAnsi" w:cs="Arial"/>
        </w:rPr>
        <w:t xml:space="preserve">?) </w:t>
      </w:r>
      <w:r w:rsidR="008D70C4">
        <w:t xml:space="preserve">for night time </w:t>
      </w:r>
      <w:r w:rsidR="00A870EB" w:rsidRPr="00A870EB">
        <w:rPr>
          <w:i/>
        </w:rPr>
        <w:t>nominal</w:t>
      </w:r>
      <w:r w:rsidR="00A870EB">
        <w:t xml:space="preserve"> </w:t>
      </w:r>
      <w:r w:rsidR="008D70C4">
        <w:t xml:space="preserve">range and </w:t>
      </w:r>
      <w:r w:rsidR="002D6832" w:rsidRPr="00F75516">
        <w:rPr>
          <w:rFonts w:asciiTheme="minorHAnsi" w:eastAsia="SymbolMT" w:hAnsiTheme="minorHAnsi" w:cstheme="minorHAnsi"/>
          <w:color w:val="000000"/>
          <w:lang w:val="et-EE"/>
        </w:rPr>
        <w:t xml:space="preserve">1 </w:t>
      </w:r>
      <w:r w:rsidR="002D6832">
        <w:rPr>
          <w:rFonts w:asciiTheme="minorHAnsi" w:eastAsia="SymbolMT" w:hAnsiTheme="minorHAnsi" w:cstheme="minorHAnsi"/>
          <w:color w:val="000000"/>
          <w:lang w:val="et-EE"/>
        </w:rPr>
        <w:t>×</w:t>
      </w:r>
      <w:r w:rsidR="002D6832" w:rsidRPr="00F75516">
        <w:rPr>
          <w:rFonts w:asciiTheme="minorHAnsi" w:eastAsia="SymbolMT" w:hAnsiTheme="minorHAnsi" w:cstheme="minorHAnsi"/>
          <w:color w:val="000000"/>
          <w:lang w:val="et-EE"/>
        </w:rPr>
        <w:t xml:space="preserve"> 10‐3 lx</w:t>
      </w:r>
      <w:r w:rsidR="002D6832" w:rsidRPr="008D70C4">
        <w:rPr>
          <w:rFonts w:asciiTheme="minorHAnsi" w:hAnsiTheme="minorHAnsi" w:cs="Arial"/>
        </w:rPr>
        <w:t xml:space="preserve"> </w:t>
      </w:r>
      <w:r w:rsidR="002D6832">
        <w:rPr>
          <w:rFonts w:asciiTheme="minorHAnsi" w:hAnsiTheme="minorHAnsi" w:cs="Arial"/>
        </w:rPr>
        <w:t>(</w:t>
      </w:r>
      <w:r w:rsidR="008D70C4">
        <w:t>1.0 millilux</w:t>
      </w:r>
      <w:r w:rsidR="00EE5016">
        <w:t>?)</w:t>
      </w:r>
      <w:r w:rsidR="008D70C4">
        <w:t xml:space="preserve"> for day time </w:t>
      </w:r>
      <w:r w:rsidR="00A870EB" w:rsidRPr="00A870EB">
        <w:rPr>
          <w:i/>
        </w:rPr>
        <w:t>nominal</w:t>
      </w:r>
      <w:r w:rsidR="00A870EB">
        <w:t xml:space="preserve"> </w:t>
      </w:r>
      <w:r w:rsidR="008D70C4">
        <w:t>range.”</w:t>
      </w:r>
    </w:p>
    <w:p w14:paraId="0F402F4C" w14:textId="546A8A52" w:rsidR="00BB256B" w:rsidRPr="002D6832" w:rsidRDefault="00CD4E6F" w:rsidP="001200AA">
      <w:pPr>
        <w:pStyle w:val="BodyText"/>
      </w:pPr>
      <w:r>
        <w:t>3</w:t>
      </w:r>
      <w:r w:rsidR="00BB256B">
        <w:t>. “</w:t>
      </w:r>
      <w:r w:rsidR="00BB256B" w:rsidRPr="00BB256B">
        <w:t>The nominal range of a light used as a marine aid to navigation is</w:t>
      </w:r>
      <w:r w:rsidR="00BB256B">
        <w:t xml:space="preserve"> the </w:t>
      </w:r>
      <w:r w:rsidR="00BB256B" w:rsidRPr="002D6832">
        <w:t xml:space="preserve">maximum distance at which a light can be seen, as determined by </w:t>
      </w:r>
    </w:p>
    <w:p w14:paraId="2C633447" w14:textId="77777777" w:rsidR="00BB256B" w:rsidRDefault="00BB256B" w:rsidP="00BB256B">
      <w:pPr>
        <w:pStyle w:val="Bullet1"/>
        <w:ind w:left="924" w:hanging="357"/>
      </w:pPr>
      <w:r w:rsidRPr="00BB256B">
        <w:t xml:space="preserve">the luminous intensity of the light, </w:t>
      </w:r>
    </w:p>
    <w:p w14:paraId="74D94E13" w14:textId="77777777" w:rsidR="00BB256B" w:rsidRDefault="00BB256B" w:rsidP="00BB256B">
      <w:pPr>
        <w:pStyle w:val="Bullet1"/>
        <w:ind w:left="924" w:hanging="357"/>
      </w:pPr>
      <w:r w:rsidRPr="00BB256B">
        <w:t xml:space="preserve">the meteorological visibility </w:t>
      </w:r>
      <w:r>
        <w:t xml:space="preserve">in </w:t>
      </w:r>
      <w:r w:rsidRPr="00BB256B">
        <w:t xml:space="preserve">homogeneous atmosphere </w:t>
      </w:r>
      <w:r>
        <w:t xml:space="preserve">being </w:t>
      </w:r>
      <w:r w:rsidRPr="00BB256B">
        <w:t xml:space="preserve">10 NM and </w:t>
      </w:r>
    </w:p>
    <w:p w14:paraId="4F951747" w14:textId="77777777" w:rsidR="005B2DCA" w:rsidRDefault="00BB256B" w:rsidP="00BB256B">
      <w:pPr>
        <w:pStyle w:val="Bullet1"/>
        <w:ind w:left="924" w:hanging="357"/>
      </w:pPr>
      <w:r w:rsidRPr="00BB256B">
        <w:lastRenderedPageBreak/>
        <w:t xml:space="preserve">the threshold of illuminance on the eye of the observer </w:t>
      </w:r>
      <w:r>
        <w:t xml:space="preserve">being </w:t>
      </w:r>
    </w:p>
    <w:p w14:paraId="25AAD9AF" w14:textId="34C454C0" w:rsidR="007B1B78" w:rsidRDefault="005E2EB5" w:rsidP="007C2885">
      <w:pPr>
        <w:pStyle w:val="Bullet1"/>
        <w:numPr>
          <w:ilvl w:val="1"/>
          <w:numId w:val="7"/>
        </w:numPr>
      </w:pPr>
      <w:r w:rsidRPr="00F75516">
        <w:rPr>
          <w:rFonts w:eastAsia="SymbolMT" w:cstheme="minorHAnsi"/>
          <w:color w:val="000000"/>
          <w:lang w:val="et-EE"/>
        </w:rPr>
        <w:t xml:space="preserve">2 </w:t>
      </w:r>
      <w:r>
        <w:rPr>
          <w:rFonts w:eastAsia="SymbolMT" w:cstheme="minorHAnsi"/>
          <w:color w:val="000000"/>
          <w:lang w:val="et-EE"/>
        </w:rPr>
        <w:t>×</w:t>
      </w:r>
      <w:r w:rsidRPr="00F75516">
        <w:rPr>
          <w:rFonts w:eastAsia="SymbolMT" w:cstheme="minorHAnsi"/>
          <w:color w:val="000000"/>
          <w:lang w:val="et-EE"/>
        </w:rPr>
        <w:t xml:space="preserve"> 10‐7 lx </w:t>
      </w:r>
      <w:r w:rsidR="002D6832">
        <w:t>(</w:t>
      </w:r>
      <w:r w:rsidR="002D6832" w:rsidRPr="00BB256B">
        <w:t>0.2 microlux</w:t>
      </w:r>
      <w:r w:rsidR="002D6832">
        <w:t xml:space="preserve">?) </w:t>
      </w:r>
      <w:r w:rsidR="005B2DCA">
        <w:t xml:space="preserve">for night time </w:t>
      </w:r>
      <w:r w:rsidR="00A870EB" w:rsidRPr="00A870EB">
        <w:rPr>
          <w:i/>
        </w:rPr>
        <w:t>nominal</w:t>
      </w:r>
      <w:r w:rsidR="00A870EB">
        <w:t xml:space="preserve"> </w:t>
      </w:r>
      <w:r w:rsidR="005B2DCA">
        <w:t>range</w:t>
      </w:r>
      <w:r w:rsidR="007B1B78">
        <w:t xml:space="preserve"> and</w:t>
      </w:r>
    </w:p>
    <w:p w14:paraId="50F3EA08" w14:textId="6B34B52E" w:rsidR="00EE5016" w:rsidRDefault="005E2EB5" w:rsidP="007C2885">
      <w:pPr>
        <w:pStyle w:val="Bullet1"/>
        <w:numPr>
          <w:ilvl w:val="1"/>
          <w:numId w:val="7"/>
        </w:numPr>
      </w:pPr>
      <w:r w:rsidRPr="00F75516">
        <w:rPr>
          <w:rFonts w:eastAsia="SymbolMT" w:cstheme="minorHAnsi"/>
          <w:color w:val="000000"/>
          <w:lang w:val="et-EE"/>
        </w:rPr>
        <w:t xml:space="preserve">1 </w:t>
      </w:r>
      <w:r>
        <w:rPr>
          <w:rFonts w:eastAsia="SymbolMT" w:cstheme="minorHAnsi"/>
          <w:color w:val="000000"/>
          <w:lang w:val="et-EE"/>
        </w:rPr>
        <w:t>×</w:t>
      </w:r>
      <w:r w:rsidRPr="00F75516">
        <w:rPr>
          <w:rFonts w:eastAsia="SymbolMT" w:cstheme="minorHAnsi"/>
          <w:color w:val="000000"/>
          <w:lang w:val="et-EE"/>
        </w:rPr>
        <w:t xml:space="preserve"> 10‐3 lx</w:t>
      </w:r>
      <w:r w:rsidR="002D6832">
        <w:rPr>
          <w:rFonts w:eastAsia="SymbolMT" w:cstheme="minorHAnsi"/>
          <w:color w:val="000000"/>
          <w:lang w:val="et-EE"/>
        </w:rPr>
        <w:t xml:space="preserve"> </w:t>
      </w:r>
      <w:r w:rsidR="002D6832">
        <w:t>(1.</w:t>
      </w:r>
      <w:r w:rsidR="002D6832" w:rsidRPr="00BB256B">
        <w:t>0 microlux</w:t>
      </w:r>
      <w:r w:rsidR="002D6832">
        <w:t xml:space="preserve">?) </w:t>
      </w:r>
      <w:r>
        <w:t xml:space="preserve"> </w:t>
      </w:r>
      <w:r w:rsidR="007B1B78">
        <w:t xml:space="preserve">for day time </w:t>
      </w:r>
      <w:r w:rsidR="00A870EB" w:rsidRPr="00A870EB">
        <w:rPr>
          <w:i/>
        </w:rPr>
        <w:t>nominal</w:t>
      </w:r>
      <w:r w:rsidR="00A870EB">
        <w:t xml:space="preserve"> </w:t>
      </w:r>
      <w:r w:rsidR="007B1B78">
        <w:t>range.</w:t>
      </w:r>
      <w:r w:rsidR="00BB256B">
        <w:t>”</w:t>
      </w:r>
    </w:p>
    <w:p w14:paraId="5F74699A" w14:textId="4D7F6F19" w:rsidR="00C20C85" w:rsidRPr="00C20C85" w:rsidRDefault="00C20C85" w:rsidP="00C20C85">
      <w:pPr>
        <w:pStyle w:val="Heading2"/>
      </w:pPr>
      <w:r>
        <w:t xml:space="preserve">Using V instead of T in the definition of </w:t>
      </w:r>
      <w:r w:rsidR="008969BC">
        <w:t>Luminous</w:t>
      </w:r>
      <w:r>
        <w:t xml:space="preserve"> Range</w:t>
      </w:r>
    </w:p>
    <w:p w14:paraId="10042020" w14:textId="780EFAEF" w:rsidR="00680850" w:rsidRDefault="00680850" w:rsidP="00680850">
      <w:pPr>
        <w:pStyle w:val="BodyText"/>
      </w:pPr>
      <w:r>
        <w:t>IALA Guidance on calculation of luminous range</w:t>
      </w:r>
      <w:r w:rsidR="001200AA">
        <w:t xml:space="preserve"> </w:t>
      </w:r>
      <w:r>
        <w:t xml:space="preserve">of lights </w:t>
      </w:r>
      <w:r w:rsidR="001200AA">
        <w:t>(R0202, G1148</w:t>
      </w:r>
      <w:r w:rsidR="00C20C85">
        <w:t>, guidance on leading lines</w:t>
      </w:r>
      <w:r w:rsidR="001200AA">
        <w:t xml:space="preserve">) </w:t>
      </w:r>
      <w:r>
        <w:t xml:space="preserve">uses meteorological visibility instead of atmospheric transmissivity in calculations of </w:t>
      </w:r>
      <w:r w:rsidR="008969BC">
        <w:t xml:space="preserve">both luminous range in general and </w:t>
      </w:r>
      <w:r>
        <w:t xml:space="preserve">nominal range. </w:t>
      </w:r>
      <w:r w:rsidR="008969BC">
        <w:t xml:space="preserve">At the same time transmissivity is used in the definition of luminous range. </w:t>
      </w:r>
      <w:r w:rsidR="001200AA">
        <w:t xml:space="preserve">As it would presumably be desirable to be concise in all IALA documents it would make sense to use </w:t>
      </w:r>
      <w:r>
        <w:t xml:space="preserve">meteorological visibility instead of atmospheric transmissivity in the definition of </w:t>
      </w:r>
      <w:r w:rsidR="008969BC">
        <w:t xml:space="preserve">luminous </w:t>
      </w:r>
      <w:r>
        <w:t>range</w:t>
      </w:r>
      <w:r w:rsidR="001200AA">
        <w:t>, too</w:t>
      </w:r>
      <w:r>
        <w:t xml:space="preserve">. </w:t>
      </w:r>
    </w:p>
    <w:p w14:paraId="5EA65D11" w14:textId="05DDA862" w:rsidR="008969BC" w:rsidRDefault="00A87021" w:rsidP="00C20C85">
      <w:pPr>
        <w:pStyle w:val="Heading2"/>
      </w:pPr>
      <w:r>
        <w:t>Replacing “sea mile” with “nautical mile”</w:t>
      </w:r>
    </w:p>
    <w:p w14:paraId="2F4D4E1D" w14:textId="2E69EC9C" w:rsidR="008969BC" w:rsidRPr="00F54D45" w:rsidRDefault="00F54D45" w:rsidP="008969BC">
      <w:pPr>
        <w:pStyle w:val="BodyText"/>
      </w:pPr>
      <w:r>
        <w:t xml:space="preserve">Despite “nautical mile” being used as the dominant unit of distance in the work of IALA and in navigation general there are some definitions in the IALA Dictionary where “sea mile” is (still) used. As work seems to be in progress on some terms in the IALA dictionary it is proposed to </w:t>
      </w:r>
      <w:r w:rsidRPr="00F54D45">
        <w:t>replace “sea mile” with “nautical mile” in the relevant definitions in the Dictionary.</w:t>
      </w:r>
    </w:p>
    <w:p w14:paraId="095123AD" w14:textId="77777777" w:rsidR="00C20C85" w:rsidRPr="00C20C85" w:rsidRDefault="00C20C85" w:rsidP="00C20C85">
      <w:pPr>
        <w:pStyle w:val="Heading2"/>
      </w:pPr>
      <w:r>
        <w:t>Liaison with CIE</w:t>
      </w:r>
    </w:p>
    <w:p w14:paraId="08D2523B" w14:textId="77777777" w:rsidR="00C20C85" w:rsidRDefault="00C20C85" w:rsidP="00C20C85">
      <w:pPr>
        <w:pStyle w:val="BodyText"/>
        <w:rPr>
          <w:lang w:eastAsia="de-DE"/>
        </w:rPr>
      </w:pPr>
      <w:r>
        <w:rPr>
          <w:lang w:eastAsia="de-DE"/>
        </w:rPr>
        <w:t>The CIE dictionary has the definition of nominal range (</w:t>
      </w:r>
      <w:hyperlink r:id="rId13" w:history="1">
        <w:r w:rsidRPr="00E016E9">
          <w:rPr>
            <w:rStyle w:val="Hyperlink"/>
            <w:lang w:eastAsia="de-DE"/>
          </w:rPr>
          <w:t>https://cie.co.at/eilvterm/17-31-027</w:t>
        </w:r>
      </w:hyperlink>
      <w:r>
        <w:rPr>
          <w:lang w:eastAsia="de-DE"/>
        </w:rPr>
        <w:t>) that seems to be a copy of the IALA version. Therefore it is suggested that a liaison note is sent to CIE asking them to update their definition to reflect whatever IALA agrees.</w:t>
      </w:r>
    </w:p>
    <w:p w14:paraId="07A9659F" w14:textId="77777777" w:rsidR="00F75516" w:rsidRDefault="00F75516"/>
    <w:p w14:paraId="08AC437B" w14:textId="77777777" w:rsidR="00BC1F2D" w:rsidRDefault="007C2885" w:rsidP="00831D6C">
      <w:pPr>
        <w:pStyle w:val="Heading1"/>
      </w:pPr>
      <w:r>
        <w:t>Action requested of the Committee</w:t>
      </w:r>
    </w:p>
    <w:p w14:paraId="53A57A6F" w14:textId="50FC5D28" w:rsidR="006E62E7" w:rsidRDefault="00CB2DED" w:rsidP="00831D6C">
      <w:pPr>
        <w:pStyle w:val="BodyText"/>
        <w:rPr>
          <w:lang w:eastAsia="de-DE"/>
        </w:rPr>
      </w:pPr>
      <w:r>
        <w:rPr>
          <w:lang w:eastAsia="de-DE"/>
        </w:rPr>
        <w:t xml:space="preserve">Consider </w:t>
      </w:r>
      <w:r w:rsidR="008D127E">
        <w:rPr>
          <w:lang w:eastAsia="de-DE"/>
        </w:rPr>
        <w:t xml:space="preserve">the proposal </w:t>
      </w:r>
      <w:r>
        <w:rPr>
          <w:lang w:eastAsia="de-DE"/>
        </w:rPr>
        <w:t>and</w:t>
      </w:r>
      <w:r w:rsidR="008D127E">
        <w:rPr>
          <w:lang w:eastAsia="de-DE"/>
        </w:rPr>
        <w:t>, if found relevant,</w:t>
      </w:r>
      <w:r>
        <w:rPr>
          <w:lang w:eastAsia="de-DE"/>
        </w:rPr>
        <w:t xml:space="preserve"> </w:t>
      </w:r>
      <w:r w:rsidR="00F54D45">
        <w:rPr>
          <w:lang w:eastAsia="de-DE"/>
        </w:rPr>
        <w:t>make a proposal (liaison note) to</w:t>
      </w:r>
      <w:r w:rsidR="008D127E">
        <w:rPr>
          <w:lang w:eastAsia="de-DE"/>
        </w:rPr>
        <w:t xml:space="preserve"> ARM to</w:t>
      </w:r>
      <w:r w:rsidR="009C0339">
        <w:rPr>
          <w:lang w:eastAsia="de-DE"/>
        </w:rPr>
        <w:t xml:space="preserve"> </w:t>
      </w:r>
      <w:r w:rsidR="008D127E">
        <w:rPr>
          <w:lang w:eastAsia="de-DE"/>
        </w:rPr>
        <w:t>amend</w:t>
      </w:r>
      <w:r w:rsidR="009C0339">
        <w:rPr>
          <w:lang w:eastAsia="de-DE"/>
        </w:rPr>
        <w:t xml:space="preserve"> </w:t>
      </w:r>
      <w:r w:rsidR="008D127E">
        <w:rPr>
          <w:lang w:eastAsia="de-DE"/>
        </w:rPr>
        <w:t xml:space="preserve">the </w:t>
      </w:r>
      <w:r w:rsidR="009C0339">
        <w:rPr>
          <w:lang w:eastAsia="de-DE"/>
        </w:rPr>
        <w:t>definition</w:t>
      </w:r>
      <w:r w:rsidR="008D127E">
        <w:rPr>
          <w:lang w:eastAsia="de-DE"/>
        </w:rPr>
        <w:t>s</w:t>
      </w:r>
      <w:r w:rsidR="00EE5016">
        <w:rPr>
          <w:lang w:eastAsia="de-DE"/>
        </w:rPr>
        <w:t>.</w:t>
      </w:r>
    </w:p>
    <w:p w14:paraId="0E56C95F" w14:textId="7BEB86B6" w:rsidR="006E62E7" w:rsidRDefault="00831D6C" w:rsidP="00831D6C">
      <w:pPr>
        <w:pStyle w:val="BodyText"/>
        <w:rPr>
          <w:lang w:eastAsia="de-DE"/>
        </w:rPr>
      </w:pPr>
      <w:r>
        <w:rPr>
          <w:lang w:eastAsia="de-DE"/>
        </w:rPr>
        <w:t xml:space="preserve">Send </w:t>
      </w:r>
      <w:r w:rsidR="00EE5016">
        <w:rPr>
          <w:lang w:eastAsia="de-DE"/>
        </w:rPr>
        <w:t xml:space="preserve">a </w:t>
      </w:r>
      <w:r>
        <w:rPr>
          <w:lang w:eastAsia="de-DE"/>
        </w:rPr>
        <w:t>l</w:t>
      </w:r>
      <w:r w:rsidR="006E62E7">
        <w:rPr>
          <w:lang w:eastAsia="de-DE"/>
        </w:rPr>
        <w:t>iaison note to CIE</w:t>
      </w:r>
      <w:r>
        <w:rPr>
          <w:lang w:eastAsia="de-DE"/>
        </w:rPr>
        <w:t xml:space="preserve"> on updating the definition</w:t>
      </w:r>
      <w:r w:rsidR="00EE5016">
        <w:rPr>
          <w:lang w:eastAsia="de-DE"/>
        </w:rPr>
        <w:t xml:space="preserve"> in CIE dictionary when agreement on the definition is reached in IALA</w:t>
      </w:r>
      <w:r>
        <w:rPr>
          <w:lang w:eastAsia="de-DE"/>
        </w:rPr>
        <w:t>.</w:t>
      </w:r>
    </w:p>
    <w:sectPr w:rsidR="006E62E7">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ärtel" w:date="2022-01-28T12:08:00Z" w:initials="PK">
    <w:p w14:paraId="6B0068F4" w14:textId="77777777" w:rsidR="00A87021" w:rsidRDefault="002D6832">
      <w:pPr>
        <w:pStyle w:val="CommentText"/>
      </w:pPr>
      <w:r>
        <w:rPr>
          <w:rStyle w:val="CommentReference"/>
        </w:rPr>
        <w:annotationRef/>
      </w:r>
      <w:r>
        <w:t xml:space="preserve">IHO uses M for nautical mile in nautical publications. </w:t>
      </w:r>
    </w:p>
    <w:p w14:paraId="593D1860" w14:textId="2ECF27C7" w:rsidR="002D6832" w:rsidRDefault="00A87021">
      <w:pPr>
        <w:pStyle w:val="CommentText"/>
      </w:pPr>
      <w:r>
        <w:t xml:space="preserve">Is there </w:t>
      </w:r>
      <w:r w:rsidR="002D6832">
        <w:t>the IALA official choice?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3D18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228C7" w16cex:dateUtc="2022-01-28T1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3D1860" w16cid:durableId="25A228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5A2ED" w14:textId="77777777" w:rsidR="007C2885" w:rsidRDefault="007C2885">
      <w:r>
        <w:separator/>
      </w:r>
    </w:p>
  </w:endnote>
  <w:endnote w:type="continuationSeparator" w:id="0">
    <w:p w14:paraId="23001BEB" w14:textId="77777777" w:rsidR="007C2885" w:rsidRDefault="007C2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46BF" w14:textId="77777777" w:rsidR="00BC1F2D" w:rsidRDefault="00BC1F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B971" w14:textId="7C4FBDB9" w:rsidR="00BC1F2D" w:rsidRDefault="007C2885">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F54D45">
      <w:rPr>
        <w:rFonts w:ascii="Calibri" w:hAnsi="Calibri"/>
        <w:noProof/>
      </w:rPr>
      <w:t>2</w:t>
    </w:r>
    <w:r>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1817" w14:textId="77777777" w:rsidR="00BC1F2D" w:rsidRDefault="00BC1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4F771" w14:textId="77777777" w:rsidR="007C2885" w:rsidRDefault="007C2885">
      <w:r>
        <w:separator/>
      </w:r>
    </w:p>
  </w:footnote>
  <w:footnote w:type="continuationSeparator" w:id="0">
    <w:p w14:paraId="1E4B46D4" w14:textId="77777777" w:rsidR="007C2885" w:rsidRDefault="007C2885">
      <w:r>
        <w:continuationSeparator/>
      </w:r>
    </w:p>
  </w:footnote>
  <w:footnote w:id="1">
    <w:p w14:paraId="4ADBD88A" w14:textId="77777777" w:rsidR="00BC1F2D" w:rsidRDefault="007C2885">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6F0EFB06" w14:textId="77777777" w:rsidR="00BC1F2D" w:rsidRDefault="007C2885">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E7D87" w14:textId="77777777" w:rsidR="00BC1F2D" w:rsidRDefault="00D40537">
    <w:pPr>
      <w:pStyle w:val="Header"/>
    </w:pPr>
    <w:r>
      <w:rPr>
        <w:noProof/>
      </w:rPr>
      <w:pict w14:anchorId="17CB2F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8071922" o:spid="_x0000_s2053" type="#_x0000_t136" style="position:absolute;margin-left:0;margin-top:0;width:430.95pt;height:258.55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DD681" w14:textId="77777777" w:rsidR="00BC1F2D" w:rsidRDefault="00D40537">
    <w:pPr>
      <w:pStyle w:val="Header"/>
      <w:jc w:val="right"/>
    </w:pPr>
    <w:r>
      <w:rPr>
        <w:noProof/>
      </w:rPr>
      <w:pict w14:anchorId="68E95B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8071923" o:spid="_x0000_s2054" type="#_x0000_t136" style="position:absolute;left:0;text-align:left;margin-left:0;margin-top:0;width:430.95pt;height:258.55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C2885">
      <w:rPr>
        <w:noProof/>
        <w:lang w:val="en-US" w:eastAsia="en-US"/>
      </w:rPr>
      <w:drawing>
        <wp:anchor distT="0" distB="0" distL="114300" distR="114300" simplePos="0" relativeHeight="251665408" behindDoc="0" locked="0" layoutInCell="1" allowOverlap="1" wp14:anchorId="73AD1BD7" wp14:editId="5312091B">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73F91" w14:textId="77777777" w:rsidR="00BC1F2D" w:rsidRDefault="00D40537">
    <w:pPr>
      <w:pStyle w:val="Header"/>
      <w:jc w:val="center"/>
    </w:pPr>
    <w:r>
      <w:rPr>
        <w:noProof/>
      </w:rPr>
      <w:pict w14:anchorId="7393A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8071921" o:spid="_x0000_s2052" type="#_x0000_t136" style="position:absolute;left:0;text-align:left;margin-left:0;margin-top:0;width:430.95pt;height:258.55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C2885">
      <w:rPr>
        <w:noProof/>
        <w:lang w:val="en-US" w:eastAsia="en-US"/>
      </w:rPr>
      <w:drawing>
        <wp:anchor distT="0" distB="0" distL="114300" distR="114300" simplePos="0" relativeHeight="251658240" behindDoc="0" locked="0" layoutInCell="1" allowOverlap="1" wp14:anchorId="33EF6A26" wp14:editId="02C8070E">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48FE7FFB" w14:textId="77777777" w:rsidR="00BC1F2D" w:rsidRDefault="00BC1F2D">
    <w:pPr>
      <w:pStyle w:val="Header"/>
      <w:jc w:val="center"/>
    </w:pPr>
  </w:p>
  <w:p w14:paraId="6680A602" w14:textId="77777777" w:rsidR="00BC1F2D" w:rsidRDefault="00BC1F2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34245C5"/>
    <w:multiLevelType w:val="multilevel"/>
    <w:tmpl w:val="176E3CEA"/>
    <w:lvl w:ilvl="0">
      <w:start w:val="1"/>
      <w:numFmt w:val="decimal"/>
      <w:pStyle w:val="Figurecaption"/>
      <w:lvlText w:val="Figure %1"/>
      <w:lvlJc w:val="left"/>
      <w:pPr>
        <w:ind w:left="496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8A7E8E32"/>
    <w:lvl w:ilvl="0" w:tplc="88CEAC04">
      <w:start w:val="1"/>
      <w:numFmt w:val="bullet"/>
      <w:pStyle w:val="Bullet1"/>
      <w:lvlText w:val=""/>
      <w:lvlJc w:val="left"/>
      <w:pPr>
        <w:ind w:left="786" w:hanging="360"/>
      </w:pPr>
      <w:rPr>
        <w:rFonts w:ascii="Symbol" w:hAnsi="Symbol" w:cs="Symbol" w:hint="default"/>
        <w:color w:val="0070C0"/>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1"/>
  </w:num>
  <w:num w:numId="3">
    <w:abstractNumId w:val="1"/>
  </w:num>
  <w:num w:numId="4">
    <w:abstractNumId w:val="17"/>
  </w:num>
  <w:num w:numId="5">
    <w:abstractNumId w:val="7"/>
  </w:num>
  <w:num w:numId="6">
    <w:abstractNumId w:val="6"/>
  </w:num>
  <w:num w:numId="7">
    <w:abstractNumId w:val="13"/>
  </w:num>
  <w:num w:numId="8">
    <w:abstractNumId w:val="12"/>
  </w:num>
  <w:num w:numId="9">
    <w:abstractNumId w:val="16"/>
  </w:num>
  <w:num w:numId="10">
    <w:abstractNumId w:val="4"/>
  </w:num>
  <w:num w:numId="11">
    <w:abstractNumId w:val="14"/>
  </w:num>
  <w:num w:numId="12">
    <w:abstractNumId w:val="9"/>
  </w:num>
  <w:num w:numId="13">
    <w:abstractNumId w:val="8"/>
  </w:num>
  <w:num w:numId="14">
    <w:abstractNumId w:val="3"/>
  </w:num>
  <w:num w:numId="15">
    <w:abstractNumId w:val="10"/>
  </w:num>
  <w:num w:numId="16">
    <w:abstractNumId w:val="0"/>
  </w:num>
  <w:num w:numId="17">
    <w:abstractNumId w:val="2"/>
  </w:num>
  <w:num w:numId="18">
    <w:abstractNumId w:val="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ärtel">
    <w15:presenceInfo w15:providerId="None" w15:userId="Pär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2D"/>
    <w:rsid w:val="00067258"/>
    <w:rsid w:val="000B1AF9"/>
    <w:rsid w:val="000B2E41"/>
    <w:rsid w:val="000B4406"/>
    <w:rsid w:val="000F1845"/>
    <w:rsid w:val="000F2FC5"/>
    <w:rsid w:val="001200AA"/>
    <w:rsid w:val="00181F2E"/>
    <w:rsid w:val="0019207A"/>
    <w:rsid w:val="00203B91"/>
    <w:rsid w:val="002D6832"/>
    <w:rsid w:val="00361003"/>
    <w:rsid w:val="00411A1C"/>
    <w:rsid w:val="004A21B5"/>
    <w:rsid w:val="004C410F"/>
    <w:rsid w:val="00571748"/>
    <w:rsid w:val="005B2DCA"/>
    <w:rsid w:val="005E2EB5"/>
    <w:rsid w:val="00673A7B"/>
    <w:rsid w:val="00680850"/>
    <w:rsid w:val="00686994"/>
    <w:rsid w:val="00692B1B"/>
    <w:rsid w:val="006E62E7"/>
    <w:rsid w:val="007B1B78"/>
    <w:rsid w:val="007C2885"/>
    <w:rsid w:val="00831D6C"/>
    <w:rsid w:val="00835F58"/>
    <w:rsid w:val="008969BC"/>
    <w:rsid w:val="008D127E"/>
    <w:rsid w:val="008D70C4"/>
    <w:rsid w:val="00901881"/>
    <w:rsid w:val="009C0339"/>
    <w:rsid w:val="00A87021"/>
    <w:rsid w:val="00A870EB"/>
    <w:rsid w:val="00A9001A"/>
    <w:rsid w:val="00BB256B"/>
    <w:rsid w:val="00BC1F2D"/>
    <w:rsid w:val="00C20C85"/>
    <w:rsid w:val="00C835B7"/>
    <w:rsid w:val="00CB2DED"/>
    <w:rsid w:val="00CD4E6F"/>
    <w:rsid w:val="00D3490E"/>
    <w:rsid w:val="00D40537"/>
    <w:rsid w:val="00DD4980"/>
    <w:rsid w:val="00DD5F89"/>
    <w:rsid w:val="00E92C95"/>
    <w:rsid w:val="00EE5016"/>
    <w:rsid w:val="00F54D45"/>
    <w:rsid w:val="00F755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4EC34FFE"/>
  <w15:docId w15:val="{84887BE3-B168-4134-9226-C1767707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4"/>
      </w:numPr>
      <w:spacing w:before="120" w:after="12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cs="Calibri"/>
      <w:b/>
      <w:caps/>
      <w:color w:val="0070C0"/>
      <w:kern w:val="28"/>
      <w:sz w:val="24"/>
      <w:szCs w:val="22"/>
      <w:lang w:eastAsia="de-DE"/>
    </w:rPr>
  </w:style>
  <w:style w:type="character" w:customStyle="1" w:styleId="Heading2Char">
    <w:name w:val="Heading 2 Char"/>
    <w:link w:val="Heading2"/>
    <w:rPr>
      <w:rFonts w:cs="Calibri"/>
      <w:b/>
      <w:color w:val="0070C0"/>
      <w:sz w:val="24"/>
      <w:szCs w:val="24"/>
    </w:rPr>
  </w:style>
  <w:style w:type="paragraph" w:customStyle="1" w:styleId="Annex">
    <w:name w:val="Annex"/>
    <w:basedOn w:val="Heading1"/>
    <w:next w:val="Normal"/>
    <w:qFormat/>
    <w:pPr>
      <w:numPr>
        <w:numId w:val="1"/>
      </w:numPr>
      <w:tabs>
        <w:tab w:val="left" w:pos="1701"/>
      </w:tabs>
      <w:jc w:val="both"/>
    </w:pPr>
    <w:rPr>
      <w:snapToGrid w:val="0"/>
      <w:kern w:val="0"/>
      <w:lang w:eastAsia="en-GB"/>
    </w:rPr>
  </w:style>
  <w:style w:type="paragraph" w:customStyle="1" w:styleId="AnnexFigure">
    <w:name w:val="Annex Figure"/>
    <w:basedOn w:val="Normal"/>
    <w:next w:val="Normal"/>
    <w:pPr>
      <w:numPr>
        <w:numId w:val="2"/>
      </w:numPr>
      <w:spacing w:before="120" w:after="120"/>
      <w:jc w:val="center"/>
    </w:pPr>
    <w:rPr>
      <w:i/>
    </w:rPr>
  </w:style>
  <w:style w:type="paragraph" w:customStyle="1" w:styleId="AnnexHeading1">
    <w:name w:val="Annex Heading 1"/>
    <w:basedOn w:val="Normal"/>
    <w:next w:val="BodyText"/>
    <w:pPr>
      <w:numPr>
        <w:numId w:val="3"/>
      </w:numPr>
      <w:spacing w:before="120" w:after="120"/>
    </w:pPr>
    <w:rPr>
      <w:rFonts w:cs="Arial"/>
      <w:b/>
      <w:caps/>
      <w:sz w:val="24"/>
    </w:rPr>
  </w:style>
  <w:style w:type="paragraph" w:customStyle="1" w:styleId="AnnexHeading2">
    <w:name w:val="Annex Heading 2"/>
    <w:basedOn w:val="Normal"/>
    <w:next w:val="BodyText"/>
    <w:pPr>
      <w:numPr>
        <w:ilvl w:val="1"/>
        <w:numId w:val="3"/>
      </w:numPr>
      <w:spacing w:before="120" w:after="120"/>
    </w:pPr>
    <w:rPr>
      <w:rFonts w:cs="Arial"/>
      <w:b/>
    </w:rPr>
  </w:style>
  <w:style w:type="paragraph" w:customStyle="1" w:styleId="AnnexHeading3">
    <w:name w:val="Annex Heading 3"/>
    <w:basedOn w:val="Normal"/>
    <w:next w:val="Normal"/>
    <w:pPr>
      <w:numPr>
        <w:ilvl w:val="2"/>
        <w:numId w:val="3"/>
      </w:numPr>
      <w:spacing w:before="120" w:after="120"/>
    </w:pPr>
    <w:rPr>
      <w:rFonts w:cs="Arial"/>
    </w:rPr>
  </w:style>
  <w:style w:type="paragraph" w:customStyle="1" w:styleId="AnnexHeading4">
    <w:name w:val="Annex Heading 4"/>
    <w:basedOn w:val="Normal"/>
    <w:next w:val="BodyText"/>
    <w:pPr>
      <w:numPr>
        <w:ilvl w:val="3"/>
        <w:numId w:val="3"/>
      </w:numPr>
      <w:spacing w:before="120" w:after="120"/>
    </w:pPr>
    <w:rPr>
      <w:rFonts w:cs="Arial"/>
    </w:rPr>
  </w:style>
  <w:style w:type="paragraph" w:customStyle="1" w:styleId="AnnexTable">
    <w:name w:val="Annex Table"/>
    <w:basedOn w:val="Normal"/>
    <w:next w:val="Normal"/>
    <w:pPr>
      <w:numPr>
        <w:numId w:val="4"/>
      </w:numPr>
      <w:tabs>
        <w:tab w:val="left" w:pos="1418"/>
      </w:tabs>
      <w:spacing w:before="120" w:after="120"/>
      <w:jc w:val="center"/>
    </w:pPr>
    <w:rPr>
      <w:i/>
    </w:rPr>
  </w:style>
  <w:style w:type="paragraph" w:styleId="BodyText">
    <w:name w:val="Body Text"/>
    <w:basedOn w:val="Normal"/>
    <w:link w:val="BodyTextChar"/>
    <w:qFormat/>
    <w:pPr>
      <w:spacing w:after="120"/>
      <w:jc w:val="both"/>
    </w:pPr>
    <w:rPr>
      <w:rFonts w:ascii="Calibri" w:hAnsi="Calibri"/>
    </w:rPr>
  </w:style>
  <w:style w:type="character" w:customStyle="1" w:styleId="BodyTextChar">
    <w:name w:val="Body Text Char"/>
    <w:link w:val="BodyText"/>
    <w:rPr>
      <w:rFonts w:cs="Calibri"/>
      <w:sz w:val="22"/>
      <w:szCs w:val="22"/>
    </w:rPr>
  </w:style>
  <w:style w:type="paragraph" w:customStyle="1" w:styleId="Bullet1">
    <w:name w:val="Bullet 1"/>
    <w:basedOn w:val="Normal"/>
    <w:qFormat/>
    <w:pPr>
      <w:numPr>
        <w:numId w:val="7"/>
      </w:numPr>
      <w:tabs>
        <w:tab w:val="left" w:pos="1134"/>
      </w:tabs>
      <w:jc w:val="both"/>
      <w:outlineLvl w:val="0"/>
    </w:pPr>
    <w:rPr>
      <w:rFonts w:asciiTheme="minorHAnsi" w:hAnsiTheme="minorHAnsi"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8"/>
      </w:numPr>
      <w:tabs>
        <w:tab w:val="left" w:pos="1701"/>
      </w:tabs>
      <w:spacing w:after="120"/>
      <w:ind w:left="1701" w:hanging="567"/>
      <w:jc w:val="both"/>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Bullet3">
    <w:name w:val="Bullet 3"/>
    <w:basedOn w:val="Normal"/>
    <w:pPr>
      <w:numPr>
        <w:numId w:val="15"/>
      </w:numPr>
      <w:tabs>
        <w:tab w:val="left" w:pos="2268"/>
      </w:tabs>
      <w:spacing w:after="60"/>
      <w:ind w:left="2268" w:hanging="567"/>
      <w:jc w:val="both"/>
    </w:pPr>
    <w:rPr>
      <w:rFonts w:cs="Arial"/>
      <w:sz w:val="20"/>
    </w:rPr>
  </w:style>
  <w:style w:type="paragraph" w:customStyle="1" w:styleId="Bullet3text">
    <w:name w:val="Bullet 3 text"/>
    <w:basedOn w:val="Normal"/>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paragraph" w:styleId="Footer">
    <w:name w:val="footer"/>
    <w:basedOn w:val="Normal"/>
    <w:link w:val="FooterChar"/>
    <w:pPr>
      <w:tabs>
        <w:tab w:val="center" w:pos="4820"/>
        <w:tab w:val="right" w:pos="9639"/>
      </w:tabs>
    </w:pPr>
  </w:style>
  <w:style w:type="character" w:customStyle="1" w:styleId="FooterChar">
    <w:name w:val="Footer Char"/>
    <w:link w:val="Footer"/>
    <w:rPr>
      <w:rFonts w:ascii="Arial" w:hAnsi="Arial" w:cs="Times New Roman"/>
      <w:szCs w:val="24"/>
    </w:rPr>
  </w:style>
  <w:style w:type="paragraph" w:styleId="Header">
    <w:name w:val="header"/>
    <w:basedOn w:val="Normal"/>
    <w:link w:val="HeaderChar"/>
    <w:pPr>
      <w:tabs>
        <w:tab w:val="center" w:pos="4820"/>
        <w:tab w:val="right" w:pos="9639"/>
      </w:tabs>
    </w:pPr>
  </w:style>
  <w:style w:type="character" w:customStyle="1" w:styleId="HeaderChar">
    <w:name w:val="Header Char"/>
    <w:link w:val="Header"/>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rPr>
      <w:rFonts w:ascii="Arial" w:hAnsi="Arial" w:cs="Calibri"/>
      <w:sz w:val="22"/>
      <w:lang w:val="en-US" w:eastAsia="de-DE"/>
    </w:rPr>
  </w:style>
  <w:style w:type="character" w:customStyle="1" w:styleId="Heading5Char">
    <w:name w:val="Heading 5 Char"/>
    <w:link w:val="Heading5"/>
    <w:rPr>
      <w:rFonts w:ascii="Arial" w:eastAsia="Times New Roman" w:hAnsi="Arial"/>
      <w:sz w:val="22"/>
      <w:lang w:val="de-DE" w:eastAsia="de-DE"/>
    </w:rPr>
  </w:style>
  <w:style w:type="character" w:customStyle="1" w:styleId="Heading6Char">
    <w:name w:val="Heading 6 Char"/>
    <w:link w:val="Heading6"/>
    <w:rPr>
      <w:rFonts w:ascii="Arial" w:hAnsi="Arial" w:cs="Calibri"/>
      <w:sz w:val="22"/>
      <w:lang w:val="de-DE" w:eastAsia="de-DE"/>
    </w:rPr>
  </w:style>
  <w:style w:type="character" w:customStyle="1" w:styleId="Heading7Char">
    <w:name w:val="Heading 7 Char"/>
    <w:link w:val="Heading7"/>
    <w:rPr>
      <w:rFonts w:ascii="Arial" w:hAnsi="Arial" w:cs="Calibri"/>
      <w:sz w:val="22"/>
      <w:lang w:val="de-DE" w:eastAsia="de-DE"/>
    </w:rPr>
  </w:style>
  <w:style w:type="character" w:customStyle="1" w:styleId="Heading8Char">
    <w:name w:val="Heading 8 Char"/>
    <w:link w:val="Heading8"/>
    <w:rPr>
      <w:rFonts w:ascii="Arial" w:hAnsi="Arial" w:cs="Calibri"/>
      <w:sz w:val="22"/>
      <w:lang w:val="de-DE" w:eastAsia="de-DE"/>
    </w:rPr>
  </w:style>
  <w:style w:type="character" w:customStyle="1" w:styleId="Heading9Char">
    <w:name w:val="Heading 9 Char"/>
    <w:link w:val="Heading9"/>
    <w:rPr>
      <w:rFonts w:ascii="Arial" w:hAnsi="Arial" w:cs="Calibri"/>
      <w:sz w:val="22"/>
      <w:lang w:val="de-DE" w:eastAsia="de-DE"/>
    </w:rPr>
  </w:style>
  <w:style w:type="character" w:styleId="Hyperlink">
    <w:name w:val="Hyperlink"/>
    <w:uiPriority w:val="99"/>
    <w:rPr>
      <w:dstrike w:val="0"/>
      <w:bdr w:val="none" w:sz="0" w:space="0" w:color="auto"/>
      <w:vertAlign w:val="baseline"/>
    </w:rPr>
  </w:style>
  <w:style w:type="paragraph" w:customStyle="1" w:styleId="List1">
    <w:name w:val="List 1"/>
    <w:basedOn w:val="Normal"/>
    <w:qFormat/>
    <w:pPr>
      <w:numPr>
        <w:numId w:val="12"/>
      </w:numPr>
      <w:spacing w:after="120"/>
      <w:jc w:val="both"/>
    </w:pPr>
    <w:rPr>
      <w:rFonts w:eastAsia="MS Mincho"/>
      <w:lang w:eastAsia="ja-JP"/>
    </w:rPr>
  </w:style>
  <w:style w:type="paragraph" w:customStyle="1" w:styleId="List1indent2">
    <w:name w:val="List 1 indent 2"/>
    <w:basedOn w:val="Normal"/>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character" w:styleId="PageNumber">
    <w:name w:val="page number"/>
    <w:basedOn w:val="DefaultParagraphFont"/>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pPr>
      <w:numPr>
        <w:numId w:val="11"/>
      </w:numPr>
      <w:spacing w:before="120" w:after="120"/>
      <w:jc w:val="center"/>
    </w:pPr>
    <w:rPr>
      <w:i/>
      <w:szCs w:val="20"/>
    </w:r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numbering" w:styleId="ArticleSection">
    <w:name w:val="Outline List 3"/>
    <w:basedOn w:val="NoList"/>
    <w:pPr>
      <w:numPr>
        <w:numId w:val="6"/>
      </w:numPr>
    </w:pPr>
  </w:style>
  <w:style w:type="paragraph" w:styleId="BodyTextIndent">
    <w:name w:val="Body Text Indent"/>
    <w:basedOn w:val="Normal"/>
    <w:link w:val="BodyTextIndentChar"/>
    <w:pPr>
      <w:spacing w:after="120"/>
      <w:ind w:left="567"/>
    </w:pPr>
  </w:style>
  <w:style w:type="character" w:customStyle="1" w:styleId="BodyTextIndentChar">
    <w:name w:val="Body Text Indent Char"/>
    <w:link w:val="BodyTextIndent"/>
    <w:rPr>
      <w:rFonts w:ascii="Arial" w:hAnsi="Arial" w:cs="Times New Roman"/>
      <w:szCs w:val="24"/>
    </w:rPr>
  </w:style>
  <w:style w:type="paragraph" w:styleId="BodyTextIndent2">
    <w:name w:val="Body Text Indent 2"/>
    <w:basedOn w:val="Normal"/>
    <w:link w:val="BodyTextIndent2Char"/>
    <w:pPr>
      <w:spacing w:after="120"/>
      <w:ind w:left="1134"/>
      <w:jc w:val="both"/>
    </w:pPr>
    <w:rPr>
      <w:lang w:eastAsia="de-DE"/>
    </w:rPr>
  </w:style>
  <w:style w:type="character" w:customStyle="1" w:styleId="BodyTextIndent2Char">
    <w:name w:val="Body Text Indent 2 Char"/>
    <w:link w:val="BodyTextIndent2"/>
    <w:rPr>
      <w:rFonts w:ascii="Arial" w:hAnsi="Arial" w:cs="Times New Roman"/>
      <w:szCs w:val="24"/>
      <w:lang w:eastAsia="de-DE"/>
    </w:rPr>
  </w:style>
  <w:style w:type="character" w:styleId="FootnoteReference">
    <w:name w:val="footnote reference"/>
    <w:semiHidden/>
    <w:rPr>
      <w:rFonts w:ascii="Arial" w:hAnsi="Arial"/>
      <w:sz w:val="16"/>
    </w:rPr>
  </w:style>
  <w:style w:type="paragraph" w:styleId="FootnoteText">
    <w:name w:val="footnote text"/>
    <w:basedOn w:val="Normal"/>
    <w:link w:val="FootnoteTextChar"/>
    <w:semiHidden/>
    <w:rPr>
      <w:sz w:val="20"/>
      <w:szCs w:val="20"/>
    </w:rPr>
  </w:style>
  <w:style w:type="character" w:customStyle="1" w:styleId="FootnoteTextChar">
    <w:name w:val="Footnote Text Char"/>
    <w:link w:val="FootnoteText"/>
    <w:semiHidden/>
    <w:rPr>
      <w:rFonts w:ascii="Arial" w:hAnsi="Arial" w:cs="Times New Roman"/>
      <w:sz w:val="20"/>
      <w:szCs w:val="20"/>
    </w:rPr>
  </w:style>
  <w:style w:type="paragraph" w:styleId="Subtitle">
    <w:name w:val="Subtitle"/>
    <w:basedOn w:val="Normal"/>
    <w:link w:val="SubtitleChar"/>
    <w:qFormat/>
    <w:pPr>
      <w:spacing w:after="60"/>
      <w:jc w:val="center"/>
      <w:outlineLvl w:val="1"/>
    </w:pPr>
    <w:rPr>
      <w:rFonts w:cs="Arial"/>
    </w:rPr>
  </w:style>
  <w:style w:type="character" w:customStyle="1" w:styleId="SubtitleChar">
    <w:name w:val="Subtitle Char"/>
    <w:link w:val="Subtitle"/>
    <w:rPr>
      <w:rFonts w:ascii="Arial" w:hAnsi="Arial" w:cs="Arial"/>
      <w:szCs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character" w:customStyle="1" w:styleId="TitleChar">
    <w:name w:val="Title Char"/>
    <w:link w:val="Title"/>
    <w:rPr>
      <w:rFonts w:ascii="Arial" w:hAnsi="Arial" w:cs="Arial"/>
      <w:b/>
      <w:bCs/>
      <w:kern w:val="28"/>
      <w:sz w:val="32"/>
      <w:szCs w:val="32"/>
    </w:rPr>
  </w:style>
  <w:style w:type="paragraph" w:customStyle="1" w:styleId="List1indent1">
    <w:name w:val="List 1 indent 1"/>
    <w:basedOn w:val="Normal"/>
    <w:qFormat/>
    <w:pPr>
      <w:numPr>
        <w:ilvl w:val="1"/>
        <w:numId w:val="12"/>
      </w:numPr>
      <w:spacing w:after="120"/>
      <w:jc w:val="both"/>
    </w:pPr>
    <w:rPr>
      <w:rFonts w:cs="Arial"/>
    </w:rPr>
  </w:style>
  <w:style w:type="paragraph" w:customStyle="1" w:styleId="List1indent1text">
    <w:name w:val="List 1 indent 1 text"/>
    <w:basedOn w:val="Normal"/>
    <w:pPr>
      <w:spacing w:after="120"/>
      <w:ind w:left="1134"/>
      <w:jc w:val="both"/>
    </w:pPr>
    <w:rPr>
      <w:rFonts w:cs="Arial"/>
      <w:lang w:eastAsia="fr-FR"/>
    </w:rPr>
  </w:style>
  <w:style w:type="paragraph" w:customStyle="1" w:styleId="References">
    <w:name w:val="References"/>
    <w:basedOn w:val="Normal"/>
    <w:qFormat/>
    <w:pPr>
      <w:numPr>
        <w:numId w:val="10"/>
      </w:numPr>
      <w:spacing w:after="120"/>
    </w:pPr>
    <w:rPr>
      <w:szCs w:val="20"/>
    </w:rPr>
  </w:style>
  <w:style w:type="paragraph" w:customStyle="1" w:styleId="AppendixHeading1">
    <w:name w:val="Appendix Heading 1"/>
    <w:basedOn w:val="Normal"/>
    <w:next w:val="BodyText"/>
    <w:pPr>
      <w:numPr>
        <w:numId w:val="5"/>
      </w:numPr>
      <w:spacing w:before="120" w:after="120"/>
    </w:pPr>
    <w:rPr>
      <w:rFonts w:cs="Arial"/>
      <w:b/>
      <w:caps/>
      <w:sz w:val="24"/>
    </w:rPr>
  </w:style>
  <w:style w:type="paragraph" w:customStyle="1" w:styleId="AppendixHeading2">
    <w:name w:val="Appendix Heading 2"/>
    <w:basedOn w:val="Normal"/>
    <w:next w:val="BodyText"/>
    <w:pPr>
      <w:numPr>
        <w:ilvl w:val="1"/>
        <w:numId w:val="5"/>
      </w:numPr>
      <w:spacing w:before="120" w:after="120"/>
    </w:pPr>
    <w:rPr>
      <w:rFonts w:cs="Arial"/>
      <w:b/>
    </w:rPr>
  </w:style>
  <w:style w:type="paragraph" w:customStyle="1" w:styleId="AppendixHeading3">
    <w:name w:val="Appendix Heading 3"/>
    <w:basedOn w:val="Normal"/>
    <w:next w:val="Normal"/>
    <w:pPr>
      <w:numPr>
        <w:ilvl w:val="2"/>
        <w:numId w:val="5"/>
      </w:numPr>
      <w:spacing w:before="120" w:after="120"/>
    </w:pPr>
    <w:rPr>
      <w:rFonts w:cs="Arial"/>
    </w:rPr>
  </w:style>
  <w:style w:type="paragraph" w:customStyle="1" w:styleId="AppendixHeading4">
    <w:name w:val="Appendix Heading 4"/>
    <w:basedOn w:val="Normal"/>
    <w:next w:val="BodyText"/>
    <w:pPr>
      <w:numPr>
        <w:ilvl w:val="3"/>
        <w:numId w:val="5"/>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pPr>
      <w:ind w:left="720"/>
      <w:contextualSpacing/>
    </w:p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rFonts w:ascii="Arial" w:hAnsi="Arial"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Calibri"/>
      <w:b/>
      <w:bCs/>
    </w:rPr>
  </w:style>
  <w:style w:type="character" w:styleId="PlaceholderText">
    <w:name w:val="Placeholder Text"/>
    <w:basedOn w:val="DefaultParagraphFont"/>
    <w:uiPriority w:val="99"/>
    <w:semiHidden/>
    <w:rPr>
      <w:color w:val="808080"/>
    </w:rPr>
  </w:style>
  <w:style w:type="character" w:customStyle="1" w:styleId="searchmatch">
    <w:name w:val="searchmatch"/>
    <w:basedOn w:val="DefaultParagraphFont"/>
    <w:rsid w:val="000B4406"/>
  </w:style>
  <w:style w:type="paragraph" w:customStyle="1" w:styleId="Tablecaption">
    <w:name w:val="Table caption"/>
    <w:basedOn w:val="Caption"/>
    <w:next w:val="Normal"/>
    <w:qFormat/>
    <w:rsid w:val="00361003"/>
    <w:pPr>
      <w:numPr>
        <w:numId w:val="17"/>
      </w:numPr>
      <w:tabs>
        <w:tab w:val="num" w:pos="567"/>
        <w:tab w:val="left" w:pos="851"/>
      </w:tabs>
      <w:spacing w:before="120" w:after="60" w:line="216" w:lineRule="atLeast"/>
      <w:jc w:val="center"/>
    </w:pPr>
    <w:rPr>
      <w:rFonts w:asciiTheme="minorHAnsi" w:eastAsiaTheme="minorHAnsi" w:hAnsiTheme="minorHAnsi" w:cstheme="minorBidi"/>
      <w:bCs/>
      <w:iCs w:val="0"/>
      <w:color w:val="575756"/>
      <w:sz w:val="22"/>
      <w:szCs w:val="22"/>
      <w:lang w:eastAsia="en-US"/>
    </w:rPr>
  </w:style>
  <w:style w:type="paragraph" w:customStyle="1" w:styleId="Figurecaption">
    <w:name w:val="Figure caption"/>
    <w:basedOn w:val="Caption"/>
    <w:next w:val="Normal"/>
    <w:qFormat/>
    <w:rsid w:val="00361003"/>
    <w:pPr>
      <w:numPr>
        <w:numId w:val="18"/>
      </w:numPr>
      <w:tabs>
        <w:tab w:val="num" w:pos="567"/>
      </w:tabs>
      <w:spacing w:before="60" w:after="240" w:line="216" w:lineRule="atLeast"/>
      <w:ind w:left="992" w:hanging="567"/>
      <w:jc w:val="center"/>
    </w:pPr>
    <w:rPr>
      <w:rFonts w:asciiTheme="minorHAnsi" w:eastAsiaTheme="minorHAnsi" w:hAnsiTheme="minorHAnsi" w:cstheme="minorBidi"/>
      <w:bCs/>
      <w:iCs w:val="0"/>
      <w:color w:val="575756"/>
      <w:sz w:val="22"/>
      <w:szCs w:val="22"/>
      <w:lang w:eastAsia="en-US"/>
    </w:rPr>
  </w:style>
  <w:style w:type="paragraph" w:styleId="Caption">
    <w:name w:val="caption"/>
    <w:basedOn w:val="Normal"/>
    <w:next w:val="Normal"/>
    <w:uiPriority w:val="35"/>
    <w:semiHidden/>
    <w:unhideWhenUsed/>
    <w:qFormat/>
    <w:rsid w:val="00361003"/>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29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la-aism.org/wiki/dictionary/index.php/Luminous_Range" TargetMode="External"/><Relationship Id="rId13" Type="http://schemas.openxmlformats.org/officeDocument/2006/relationships/hyperlink" Target="https://cie.co.at/eilvterm/17-31-027"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2.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2.xml"/><Relationship Id="rId10" Type="http://schemas.microsoft.com/office/2011/relationships/commentsExtended" Target="commentsExtended.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064066-7E9C-4E00-A7CD-C089DD1859FC}">
  <ds:schemaRefs>
    <ds:schemaRef ds:uri="http://schemas.openxmlformats.org/officeDocument/2006/bibliography"/>
  </ds:schemaRefs>
</ds:datastoreItem>
</file>

<file path=customXml/itemProps2.xml><?xml version="1.0" encoding="utf-8"?>
<ds:datastoreItem xmlns:ds="http://schemas.openxmlformats.org/officeDocument/2006/customXml" ds:itemID="{58AEE903-C662-4F9E-929F-FA2ED9C201C9}"/>
</file>

<file path=customXml/itemProps3.xml><?xml version="1.0" encoding="utf-8"?>
<ds:datastoreItem xmlns:ds="http://schemas.openxmlformats.org/officeDocument/2006/customXml" ds:itemID="{0A1E7CB3-E4C8-4E37-8108-AA33DF7A5002}"/>
</file>

<file path=customXml/itemProps4.xml><?xml version="1.0" encoding="utf-8"?>
<ds:datastoreItem xmlns:ds="http://schemas.openxmlformats.org/officeDocument/2006/customXml" ds:itemID="{33F652DE-1994-47C1-89F6-4175FE82A200}"/>
</file>

<file path=docProps/app.xml><?xml version="1.0" encoding="utf-8"?>
<Properties xmlns="http://schemas.openxmlformats.org/officeDocument/2006/extended-properties" xmlns:vt="http://schemas.openxmlformats.org/officeDocument/2006/docPropsVTypes">
  <Template>Normal</Template>
  <TotalTime>16</TotalTime>
  <Pages>3</Pages>
  <Words>1155</Words>
  <Characters>6585</Characters>
  <Application>Microsoft Office Word</Application>
  <DocSecurity>4</DocSecurity>
  <Lines>54</Lines>
  <Paragraphs>15</Paragraphs>
  <ScaleCrop>false</ScaleCrop>
  <HeadingPairs>
    <vt:vector size="6" baseType="variant">
      <vt:variant>
        <vt:lpstr>Pealkiri</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2</cp:revision>
  <dcterms:created xsi:type="dcterms:W3CDTF">2022-01-31T10:05:00Z</dcterms:created>
  <dcterms:modified xsi:type="dcterms:W3CDTF">2022-01-31T10:05:00Z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