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3F76E37C" w:rsidR="0080294B" w:rsidRPr="007A395D" w:rsidRDefault="00E558C3" w:rsidP="00FE5674">
      <w:pPr>
        <w:pStyle w:val="BodyText"/>
        <w:tabs>
          <w:tab w:val="left" w:pos="2835"/>
        </w:tabs>
        <w:rPr>
          <w:rFonts w:ascii="Calibri" w:hAnsi="Calibri"/>
        </w:rPr>
      </w:pPr>
      <w:r w:rsidRPr="007A395D">
        <w:rPr>
          <w:rFonts w:ascii="Calibri" w:hAnsi="Calibri"/>
        </w:rPr>
        <w:t>Input paper f</w:t>
      </w:r>
      <w:r w:rsidR="00717A6A">
        <w:rPr>
          <w:rFonts w:ascii="Calibri" w:hAnsi="Calibri"/>
        </w:rPr>
        <w:t>or the following Committee(s):</w:t>
      </w:r>
      <w:r w:rsidR="00717A6A">
        <w:rPr>
          <w:rFonts w:ascii="Calibri" w:hAnsi="Calibri"/>
        </w:rPr>
        <w:tab/>
      </w:r>
      <w:r w:rsidR="00717A6A">
        <w:rPr>
          <w:rFonts w:ascii="Calibri" w:hAnsi="Calibri"/>
        </w:rPr>
        <w:tab/>
      </w:r>
      <w:r w:rsidR="00717A6A">
        <w:rPr>
          <w:rFonts w:ascii="Calibri" w:hAnsi="Calibri"/>
        </w:rPr>
        <w:tab/>
      </w:r>
      <w:r w:rsidRPr="007A395D">
        <w:rPr>
          <w:rFonts w:ascii="Calibri" w:hAnsi="Calibri"/>
          <w:sz w:val="18"/>
          <w:szCs w:val="18"/>
        </w:rPr>
        <w:tab/>
      </w:r>
      <w:r w:rsidRPr="007A395D">
        <w:rPr>
          <w:rFonts w:ascii="Calibri" w:hAnsi="Calibri"/>
        </w:rPr>
        <w:tab/>
        <w:t>Purpose of paper:</w:t>
      </w:r>
    </w:p>
    <w:p w14:paraId="78786733" w14:textId="73D968EF" w:rsidR="0080294B" w:rsidRPr="006A10AE" w:rsidRDefault="00093839" w:rsidP="00037DF4">
      <w:pPr>
        <w:pStyle w:val="BodyText"/>
        <w:tabs>
          <w:tab w:val="left" w:pos="1843"/>
        </w:tabs>
        <w:rPr>
          <w:rFonts w:ascii="Calibri" w:hAnsi="Calibri" w:cs="Arial"/>
          <w:sz w:val="24"/>
          <w:szCs w:val="24"/>
        </w:rPr>
      </w:pPr>
      <w:r>
        <w:rPr>
          <w:rFonts w:ascii="Calibri" w:hAnsi="Calibri" w:cs="Arial"/>
          <w:b/>
          <w:sz w:val="24"/>
          <w:szCs w:val="24"/>
        </w:rPr>
        <w:t>x</w:t>
      </w:r>
      <w:r w:rsidR="0080294B"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r>
        <w:rPr>
          <w:rFonts w:ascii="Calibri" w:hAnsi="Calibri" w:cs="Arial"/>
          <w:b/>
          <w:sz w:val="24"/>
          <w:szCs w:val="24"/>
        </w:rPr>
        <w:t>x</w:t>
      </w:r>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r w:rsidR="0046561E">
        <w:rPr>
          <w:rFonts w:ascii="Calibri" w:hAnsi="Calibri" w:cs="Arial"/>
          <w:b/>
          <w:sz w:val="24"/>
          <w:szCs w:val="24"/>
        </w:rPr>
        <w:t>x</w:t>
      </w:r>
      <w:r w:rsidR="0080294B" w:rsidRPr="00717A6A">
        <w:rPr>
          <w:rFonts w:ascii="Calibri" w:hAnsi="Calibri" w:cs="Arial"/>
          <w:b/>
          <w:sz w:val="24"/>
          <w:szCs w:val="24"/>
        </w:rPr>
        <w:t xml:space="preserve"> </w:t>
      </w:r>
      <w:r w:rsidR="0080294B" w:rsidRPr="00093839">
        <w:rPr>
          <w:rFonts w:ascii="Calibri" w:hAnsi="Calibri" w:cs="Arial"/>
          <w:sz w:val="24"/>
          <w:szCs w:val="24"/>
        </w:rPr>
        <w:t xml:space="preserve"> </w:t>
      </w:r>
      <w:r w:rsidR="0080294B" w:rsidRPr="00093839">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Pr>
          <w:rFonts w:ascii="Calibri" w:hAnsi="Calibri" w:cs="Arial"/>
          <w:b/>
          <w:sz w:val="24"/>
          <w:szCs w:val="24"/>
        </w:rPr>
        <w:t>□</w:t>
      </w:r>
      <w:r w:rsidR="0080294B" w:rsidRPr="006A10AE">
        <w:rPr>
          <w:rFonts w:ascii="Calibri" w:hAnsi="Calibri" w:cs="Arial"/>
          <w:sz w:val="24"/>
          <w:szCs w:val="24"/>
        </w:rPr>
        <w:t xml:space="preserve"> </w:t>
      </w:r>
      <w:r w:rsidR="0080294B" w:rsidRPr="00093839">
        <w:rPr>
          <w:rFonts w:ascii="Calibri" w:hAnsi="Calibri" w:cs="Arial"/>
          <w:sz w:val="24"/>
          <w:szCs w:val="24"/>
        </w:rPr>
        <w:t>Input</w:t>
      </w:r>
    </w:p>
    <w:p w14:paraId="0BC79547" w14:textId="5703230A" w:rsidR="0080294B" w:rsidRPr="00154D83" w:rsidRDefault="00093839" w:rsidP="00037DF4">
      <w:pPr>
        <w:pStyle w:val="BodyText"/>
        <w:tabs>
          <w:tab w:val="left" w:pos="1843"/>
        </w:tabs>
        <w:rPr>
          <w:rFonts w:ascii="Calibri" w:hAnsi="Calibri"/>
        </w:rPr>
      </w:pPr>
      <w:r>
        <w:rPr>
          <w:rFonts w:ascii="Calibri" w:hAnsi="Calibri" w:cs="Arial"/>
          <w:b/>
          <w:sz w:val="24"/>
          <w:szCs w:val="24"/>
        </w:rPr>
        <w:t>x</w:t>
      </w:r>
      <w:r w:rsidR="0080294B" w:rsidRPr="007A395D">
        <w:rPr>
          <w:rFonts w:ascii="Calibri" w:hAnsi="Calibri" w:cs="Arial"/>
          <w:sz w:val="24"/>
          <w:szCs w:val="24"/>
        </w:rPr>
        <w:t xml:space="preserve">  </w:t>
      </w:r>
      <w:r w:rsidR="0080294B" w:rsidRPr="007A395D">
        <w:rPr>
          <w:rFonts w:ascii="Calibri" w:hAnsi="Calibri" w:cs="Arial"/>
        </w:rPr>
        <w:t>ENAV</w:t>
      </w:r>
      <w:r w:rsidR="0080294B" w:rsidRPr="007A395D">
        <w:rPr>
          <w:rFonts w:ascii="Calibri" w:hAnsi="Calibri" w:cs="Arial"/>
          <w:b/>
          <w:sz w:val="24"/>
          <w:szCs w:val="24"/>
        </w:rPr>
        <w:tab/>
      </w:r>
      <w:r>
        <w:rPr>
          <w:rFonts w:ascii="Calibri" w:hAnsi="Calibri" w:cs="Arial"/>
          <w:b/>
          <w:sz w:val="24"/>
          <w:szCs w:val="24"/>
        </w:rPr>
        <w:t>x</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EE4D5C">
        <w:rPr>
          <w:rFonts w:ascii="Calibri" w:hAnsi="Calibri" w:cs="Arial"/>
          <w:sz w:val="24"/>
          <w:szCs w:val="24"/>
        </w:rPr>
        <w:t>x</w:t>
      </w:r>
      <w:r w:rsidR="00154D83" w:rsidRPr="00154D83">
        <w:rPr>
          <w:rFonts w:ascii="Calibri" w:hAnsi="Calibri" w:cs="Arial"/>
          <w:sz w:val="24"/>
          <w:szCs w:val="24"/>
        </w:rPr>
        <w:t xml:space="preserve">  </w:t>
      </w:r>
      <w:r w:rsidR="0080294B" w:rsidRPr="00154D83">
        <w:rPr>
          <w:rFonts w:ascii="Calibri" w:hAnsi="Calibri" w:cs="Arial"/>
          <w:sz w:val="24"/>
          <w:szCs w:val="24"/>
        </w:rPr>
        <w:t>Information</w:t>
      </w:r>
    </w:p>
    <w:p w14:paraId="3E1C02C4" w14:textId="77777777" w:rsidR="0080294B" w:rsidRPr="007A395D" w:rsidRDefault="0080294B" w:rsidP="00FE5674">
      <w:pPr>
        <w:pStyle w:val="BodyText"/>
        <w:tabs>
          <w:tab w:val="left" w:pos="2835"/>
        </w:tabs>
        <w:rPr>
          <w:rFonts w:ascii="Calibri" w:hAnsi="Calibri"/>
        </w:rPr>
      </w:pPr>
    </w:p>
    <w:p w14:paraId="4DD25FD9" w14:textId="47A63124" w:rsidR="00A446C9" w:rsidRDefault="00A446C9" w:rsidP="00FE5674">
      <w:pPr>
        <w:pStyle w:val="BodyText"/>
        <w:tabs>
          <w:tab w:val="left" w:pos="2835"/>
        </w:tabs>
        <w:rPr>
          <w:rFonts w:ascii="Calibri" w:hAnsi="Calibri"/>
        </w:rPr>
      </w:pPr>
      <w:r w:rsidRPr="007A395D">
        <w:rPr>
          <w:rFonts w:ascii="Calibri" w:hAnsi="Calibri"/>
        </w:rPr>
        <w:t>Agenda item</w:t>
      </w:r>
      <w:r w:rsidR="001C44A3" w:rsidRPr="007A395D">
        <w:rPr>
          <w:rFonts w:ascii="Calibri" w:hAnsi="Calibri"/>
        </w:rPr>
        <w:tab/>
      </w:r>
      <w:r w:rsidR="00717A6A">
        <w:rPr>
          <w:rFonts w:ascii="Calibri" w:hAnsi="Calibri"/>
        </w:rPr>
        <w:tab/>
      </w:r>
      <w:r w:rsidR="00717A6A">
        <w:rPr>
          <w:rFonts w:ascii="Calibri" w:hAnsi="Calibri"/>
        </w:rPr>
        <w:tab/>
      </w:r>
      <w:r w:rsidR="000D7541">
        <w:rPr>
          <w:rFonts w:ascii="Calibri" w:hAnsi="Calibri"/>
        </w:rPr>
        <w:t>3.2</w:t>
      </w:r>
      <w:r w:rsidR="004D2995">
        <w:rPr>
          <w:rFonts w:ascii="Calibri" w:hAnsi="Calibri"/>
        </w:rPr>
        <w:t>.</w:t>
      </w:r>
      <w:r w:rsidR="003464C4">
        <w:rPr>
          <w:rFonts w:ascii="Calibri" w:hAnsi="Calibri"/>
        </w:rPr>
        <w:t xml:space="preserve"> Reports from other bodies</w:t>
      </w:r>
    </w:p>
    <w:p w14:paraId="4A379ECB" w14:textId="665BF610" w:rsidR="007C54BC" w:rsidRPr="007A395D" w:rsidRDefault="007C54BC" w:rsidP="00FE5674">
      <w:pPr>
        <w:pStyle w:val="BodyText"/>
        <w:tabs>
          <w:tab w:val="left" w:pos="2835"/>
        </w:tabs>
        <w:rPr>
          <w:rFonts w:ascii="Calibri" w:hAnsi="Calibri"/>
        </w:rPr>
      </w:pPr>
      <w:r>
        <w:rPr>
          <w:rFonts w:ascii="Calibri" w:hAnsi="Calibri"/>
        </w:rPr>
        <w:t>Agenda sub-item</w:t>
      </w:r>
      <w:r>
        <w:rPr>
          <w:rFonts w:ascii="Calibri" w:hAnsi="Calibri"/>
        </w:rPr>
        <w:tab/>
      </w:r>
      <w:r>
        <w:rPr>
          <w:rFonts w:ascii="Calibri" w:hAnsi="Calibri"/>
        </w:rPr>
        <w:tab/>
      </w:r>
      <w:r>
        <w:rPr>
          <w:rFonts w:ascii="Calibri" w:hAnsi="Calibri"/>
        </w:rPr>
        <w:tab/>
      </w:r>
      <w:r w:rsidR="000D7541">
        <w:rPr>
          <w:rFonts w:ascii="Calibri" w:hAnsi="Calibri"/>
        </w:rPr>
        <w:t>3.</w:t>
      </w:r>
      <w:r w:rsidR="003464C4">
        <w:rPr>
          <w:rFonts w:ascii="Calibri" w:hAnsi="Calibri"/>
        </w:rPr>
        <w:t>2.1 IMO</w:t>
      </w:r>
    </w:p>
    <w:p w14:paraId="01FC5420" w14:textId="25ACAB23" w:rsidR="00362CD9" w:rsidRPr="00F22203" w:rsidRDefault="00362CD9" w:rsidP="00FE5674">
      <w:pPr>
        <w:pStyle w:val="BodyText"/>
        <w:tabs>
          <w:tab w:val="left" w:pos="2835"/>
        </w:tabs>
        <w:rPr>
          <w:rFonts w:ascii="Calibri" w:hAnsi="Calibri"/>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717A6A">
        <w:rPr>
          <w:rFonts w:ascii="Calibri" w:hAnsi="Calibri"/>
        </w:rPr>
        <w:t>Secretariat</w:t>
      </w:r>
    </w:p>
    <w:p w14:paraId="66A2B5BA" w14:textId="77777777" w:rsidR="00343F4C" w:rsidRPr="007A395D" w:rsidRDefault="00343F4C" w:rsidP="00FE5674">
      <w:pPr>
        <w:pStyle w:val="BodyText"/>
        <w:tabs>
          <w:tab w:val="left" w:pos="2835"/>
        </w:tabs>
        <w:rPr>
          <w:rFonts w:ascii="Calibri" w:hAnsi="Calibri"/>
        </w:rPr>
      </w:pPr>
    </w:p>
    <w:p w14:paraId="4B167C05" w14:textId="4654637A" w:rsidR="00A34B6F" w:rsidRPr="003A4E95" w:rsidRDefault="001D7BBF" w:rsidP="003A4E95">
      <w:pPr>
        <w:pStyle w:val="Title"/>
        <w:rPr>
          <w:rFonts w:asciiTheme="minorHAnsi" w:hAnsiTheme="minorHAnsi"/>
          <w:color w:val="00558C"/>
        </w:rPr>
      </w:pPr>
      <w:r>
        <w:rPr>
          <w:rFonts w:asciiTheme="minorHAnsi" w:hAnsiTheme="minorHAnsi"/>
          <w:color w:val="00558C"/>
        </w:rPr>
        <w:t>Report on IMO NCSR</w:t>
      </w:r>
      <w:r w:rsidR="003F74AB">
        <w:rPr>
          <w:rFonts w:asciiTheme="minorHAnsi" w:hAnsiTheme="minorHAnsi"/>
          <w:color w:val="00558C"/>
        </w:rPr>
        <w:t xml:space="preserve"> </w:t>
      </w:r>
      <w:r w:rsidR="003464C4">
        <w:rPr>
          <w:rFonts w:asciiTheme="minorHAnsi" w:hAnsiTheme="minorHAnsi"/>
          <w:color w:val="00558C"/>
        </w:rPr>
        <w:t>9</w:t>
      </w:r>
    </w:p>
    <w:p w14:paraId="2C903998" w14:textId="44E84E3C" w:rsidR="003A4E95" w:rsidRPr="004D4B1B" w:rsidRDefault="006E7142" w:rsidP="003A4E95">
      <w:pPr>
        <w:pStyle w:val="Heading1"/>
        <w:numPr>
          <w:ilvl w:val="0"/>
          <w:numId w:val="33"/>
        </w:numPr>
      </w:pPr>
      <w:r>
        <w:t>Background</w:t>
      </w:r>
    </w:p>
    <w:p w14:paraId="2DBDDA91" w14:textId="6359B491" w:rsidR="004936E3" w:rsidRPr="004936E3" w:rsidRDefault="004936E3" w:rsidP="004F2108">
      <w:pPr>
        <w:pStyle w:val="BodyText"/>
      </w:pPr>
      <w:r w:rsidRPr="004936E3">
        <w:t xml:space="preserve">The </w:t>
      </w:r>
      <w:r w:rsidR="009C46D2">
        <w:t>nin</w:t>
      </w:r>
      <w:r w:rsidRPr="004936E3">
        <w:t xml:space="preserve">th session of the IMO NCSR Sub-Committee was held </w:t>
      </w:r>
      <w:r w:rsidR="009C46D2">
        <w:t>virtually</w:t>
      </w:r>
      <w:r w:rsidRPr="004936E3">
        <w:t xml:space="preserve"> from </w:t>
      </w:r>
      <w:r w:rsidR="009C46D2">
        <w:t>21</w:t>
      </w:r>
      <w:r w:rsidRPr="004936E3">
        <w:t xml:space="preserve"> to </w:t>
      </w:r>
      <w:r w:rsidR="009C46D2">
        <w:t>30</w:t>
      </w:r>
      <w:r w:rsidRPr="004936E3">
        <w:t xml:space="preserve"> </w:t>
      </w:r>
      <w:r w:rsidR="009C46D2">
        <w:t>June</w:t>
      </w:r>
      <w:r w:rsidRPr="004936E3">
        <w:t xml:space="preserve"> 20</w:t>
      </w:r>
      <w:r w:rsidR="009C46D2">
        <w:t>22</w:t>
      </w:r>
      <w:r w:rsidRPr="004936E3">
        <w:t xml:space="preserve">, chaired by </w:t>
      </w:r>
      <w:r w:rsidR="00E10990" w:rsidRPr="004936E3">
        <w:t>Mr</w:t>
      </w:r>
      <w:r w:rsidR="00DB1821">
        <w:rPr>
          <w:rFonts w:eastAsiaTheme="minorEastAsia" w:hint="eastAsia"/>
          <w:lang w:eastAsia="ja-JP"/>
        </w:rPr>
        <w:t>.</w:t>
      </w:r>
      <w:r w:rsidR="00E10990" w:rsidRPr="004936E3">
        <w:t xml:space="preserve"> Nigel Clifford (New Zealand)</w:t>
      </w:r>
      <w:r w:rsidRPr="004936E3">
        <w:t xml:space="preserve">, supported by the vice-chair, </w:t>
      </w:r>
      <w:r w:rsidR="004F2108">
        <w:t>Mr. A. Schwarz (Germany)</w:t>
      </w:r>
      <w:r w:rsidRPr="004936E3">
        <w:t xml:space="preserve">. </w:t>
      </w:r>
    </w:p>
    <w:p w14:paraId="4EE1D335" w14:textId="54478535" w:rsidR="004936E3" w:rsidRDefault="004936E3" w:rsidP="00775C78">
      <w:pPr>
        <w:pStyle w:val="BodyText"/>
      </w:pPr>
      <w:r w:rsidRPr="004936E3">
        <w:t xml:space="preserve">IALA had submitted </w:t>
      </w:r>
      <w:r w:rsidR="00D31A97">
        <w:t>four</w:t>
      </w:r>
      <w:r w:rsidRPr="004936E3">
        <w:t xml:space="preserve"> papers to this meeting:</w:t>
      </w:r>
    </w:p>
    <w:p w14:paraId="3CBF8B10" w14:textId="3FF23669" w:rsidR="00B534E2" w:rsidRDefault="00B534E2" w:rsidP="004936E3">
      <w:pPr>
        <w:pStyle w:val="BodyText"/>
        <w:numPr>
          <w:ilvl w:val="0"/>
          <w:numId w:val="34"/>
        </w:numPr>
      </w:pPr>
      <w:r w:rsidRPr="00B534E2">
        <w:t>NCSR 9-7-2 - Development of Maritime Services descriptions (IALA)</w:t>
      </w:r>
    </w:p>
    <w:p w14:paraId="6DCF32B8" w14:textId="555A80F4" w:rsidR="00414F49" w:rsidRDefault="00414F49" w:rsidP="004936E3">
      <w:pPr>
        <w:pStyle w:val="BodyText"/>
        <w:numPr>
          <w:ilvl w:val="0"/>
          <w:numId w:val="34"/>
        </w:numPr>
      </w:pPr>
      <w:r w:rsidRPr="00414F49">
        <w:t>NCSR 9-12-9 - Proposal on WRC-23 agenda item 10 (IALA)</w:t>
      </w:r>
    </w:p>
    <w:p w14:paraId="12D5B737" w14:textId="49CAAF40" w:rsidR="00775C78" w:rsidRDefault="00775C78" w:rsidP="004936E3">
      <w:pPr>
        <w:pStyle w:val="BodyText"/>
        <w:numPr>
          <w:ilvl w:val="0"/>
          <w:numId w:val="34"/>
        </w:numPr>
      </w:pPr>
      <w:r w:rsidRPr="00775C78">
        <w:t>NCSR 9-INF.12 - Report of the trial on digital voice communication in the maritime VHF band (IALA)</w:t>
      </w:r>
    </w:p>
    <w:p w14:paraId="52EB2292" w14:textId="17B69F1C" w:rsidR="005922EB" w:rsidRPr="00775C78" w:rsidRDefault="00775C78" w:rsidP="00775C78">
      <w:pPr>
        <w:pStyle w:val="BodyText"/>
        <w:numPr>
          <w:ilvl w:val="0"/>
          <w:numId w:val="34"/>
        </w:numPr>
        <w:rPr>
          <w:lang w:val="fr-FR"/>
        </w:rPr>
      </w:pPr>
      <w:r w:rsidRPr="00775C78">
        <w:rPr>
          <w:lang w:val="fr-FR"/>
        </w:rPr>
        <w:t>NCSR 9-INF.13 - VDES ranging mode (R-Mode) (IALA)</w:t>
      </w:r>
    </w:p>
    <w:p w14:paraId="45DA4119" w14:textId="65165654" w:rsidR="00E015E7" w:rsidRDefault="004936E3" w:rsidP="004936E3">
      <w:pPr>
        <w:pStyle w:val="Heading1"/>
        <w:numPr>
          <w:ilvl w:val="0"/>
          <w:numId w:val="33"/>
        </w:numPr>
      </w:pPr>
      <w:r w:rsidRPr="004936E3">
        <w:t>Navigation WG matters</w:t>
      </w:r>
    </w:p>
    <w:p w14:paraId="13EA58FA" w14:textId="6532E04F" w:rsidR="007236EE" w:rsidRDefault="007236EE" w:rsidP="004936E3">
      <w:pPr>
        <w:pStyle w:val="BodyText"/>
        <w:rPr>
          <w:b/>
        </w:rPr>
      </w:pPr>
      <w:r>
        <w:rPr>
          <w:b/>
        </w:rPr>
        <w:t>2.1 Development of Maritime Services descriptions</w:t>
      </w:r>
    </w:p>
    <w:p w14:paraId="46F7B157" w14:textId="0370FA2B" w:rsidR="007236EE" w:rsidRDefault="007236EE" w:rsidP="004936E3">
      <w:pPr>
        <w:pStyle w:val="BodyText"/>
      </w:pPr>
      <w:r>
        <w:t xml:space="preserve">NCSR noted the </w:t>
      </w:r>
      <w:r w:rsidR="00D60788">
        <w:t xml:space="preserve">input </w:t>
      </w:r>
      <w:r>
        <w:t xml:space="preserve">paper from IALA </w:t>
      </w:r>
      <w:r w:rsidR="007E5DA8">
        <w:t>(</w:t>
      </w:r>
      <w:r>
        <w:t>NCSR 9/7/2</w:t>
      </w:r>
      <w:r w:rsidR="007E5DA8">
        <w:t>)</w:t>
      </w:r>
      <w:r>
        <w:t xml:space="preserve"> concerning the update of Maritime Services 1 (VTS Information service (INS)), 2 (VTS Navigational assistance service (NAS)) and 3 (Traffic organization service (TOS)) into a new Maritime Service description for vessel traffic service (VTS) in accordance with the revised </w:t>
      </w:r>
      <w:r w:rsidRPr="007236EE">
        <w:t xml:space="preserve">Guidelines for vessel traffic services </w:t>
      </w:r>
      <w:r>
        <w:t>(resolution A.1158(32)), and the development of a new Maritime Service description for aids to navigation (AtoN).</w:t>
      </w:r>
    </w:p>
    <w:p w14:paraId="1149BAAD" w14:textId="77777777" w:rsidR="007E5DA8" w:rsidRPr="007E5DA8" w:rsidRDefault="007E5DA8" w:rsidP="007E5DA8">
      <w:pPr>
        <w:pStyle w:val="BodyText"/>
      </w:pPr>
      <w:r w:rsidRPr="007E5DA8">
        <w:t xml:space="preserve">Noting that further work on the descriptions of Maritime Services was required, the Sub-Committee invited the Committee to extend the target completion year of output 2.11 "Consideration of descriptions of Maritime Services in the context of e-navigation" to 2023. </w:t>
      </w:r>
    </w:p>
    <w:p w14:paraId="2618D8D4" w14:textId="043FA1CF" w:rsidR="007E5DA8" w:rsidRPr="007236EE" w:rsidRDefault="007E5DA8" w:rsidP="007E5DA8">
      <w:pPr>
        <w:pStyle w:val="BodyText"/>
      </w:pPr>
      <w:r w:rsidRPr="007E5DA8">
        <w:t>The Sub-Committee also invited interested Member States and international organizations to submit relevant proposals to NCSR 10 in order to update the description of Maritime Services in the context of e-navigation and finalize the revision of MSC.1/Circ.1610.</w:t>
      </w:r>
    </w:p>
    <w:p w14:paraId="00B82400" w14:textId="00D203D9" w:rsidR="00F162DD" w:rsidRPr="00C6307E" w:rsidRDefault="00F42879" w:rsidP="004936E3">
      <w:pPr>
        <w:pStyle w:val="BodyText"/>
        <w:rPr>
          <w:b/>
        </w:rPr>
      </w:pPr>
      <w:r>
        <w:rPr>
          <w:b/>
        </w:rPr>
        <w:t>2.1</w:t>
      </w:r>
      <w:r w:rsidR="00C6307E" w:rsidRPr="00C6307E">
        <w:rPr>
          <w:b/>
        </w:rPr>
        <w:t xml:space="preserve"> </w:t>
      </w:r>
      <w:r w:rsidR="00985118" w:rsidRPr="00985118">
        <w:rPr>
          <w:b/>
        </w:rPr>
        <w:t>Revision of ECDIS Guidance and performance standards</w:t>
      </w:r>
    </w:p>
    <w:p w14:paraId="0393BC51" w14:textId="77777777" w:rsidR="00032396" w:rsidRPr="00032396" w:rsidRDefault="00032396" w:rsidP="00032396">
      <w:pPr>
        <w:pStyle w:val="BodyText"/>
      </w:pPr>
      <w:r w:rsidRPr="00032396">
        <w:t>The Sub-Committee finalized a revision of the ECDIS Guidance for good practice (MSC.1/Circ.1503/Rev.1) for submission to MSC for approval. The draft updated guidance includes, in particular, a new section on onboard ECDIS updates.</w:t>
      </w:r>
    </w:p>
    <w:p w14:paraId="451D681C" w14:textId="77777777" w:rsidR="00032396" w:rsidRPr="00032396" w:rsidRDefault="00032396" w:rsidP="00032396">
      <w:pPr>
        <w:pStyle w:val="BodyText"/>
      </w:pPr>
      <w:r w:rsidRPr="00032396">
        <w:t>The updates to the performance standards introduce, in particular, the application of new IHO Data Standards and product specifications (S-98, S-100 and S-101) with regard to ECDIS equipment installed on or after 1 January 2029 and, optionally, for equipment installed after 1 January 2026 and before 1 January 2029.</w:t>
      </w:r>
    </w:p>
    <w:p w14:paraId="170D526E" w14:textId="33640309" w:rsidR="001D37D2" w:rsidRPr="00032396" w:rsidRDefault="00441BE7" w:rsidP="004936E3">
      <w:pPr>
        <w:pStyle w:val="BodyText"/>
      </w:pPr>
      <w:r>
        <w:rPr>
          <w:b/>
          <w:bCs/>
        </w:rPr>
        <w:lastRenderedPageBreak/>
        <w:t>2.2. Unlawful practices associated with fraudulent registration and registries of ships</w:t>
      </w:r>
    </w:p>
    <w:p w14:paraId="66693297" w14:textId="5233B31C" w:rsidR="001D37D2" w:rsidRDefault="000713AC" w:rsidP="004936E3">
      <w:pPr>
        <w:pStyle w:val="BodyText"/>
      </w:pPr>
      <w:r>
        <w:t>The Sub-Committee noted that LEG 109 had invited MSC 105 to consider whether to investigate how ships without proper registration were able to obtain Maritime Mobile Service Identity (MMSI) numbers, in particular to manipulate Automatic Information System (AIS) data transmissions, and that, taking into account the technical nature of the issue, the Committee had agreed to refer the matter to the NCSR Sub-Committee for consideration and advice, as appropriate, and invited Member States and international organizations to submit relevant comments and proposals to the Sub-Committee (MSC 105/20, paragraph 2.7).</w:t>
      </w:r>
    </w:p>
    <w:p w14:paraId="1F8BA597" w14:textId="3C25E210" w:rsidR="001D37D2" w:rsidRDefault="000713AC" w:rsidP="004936E3">
      <w:pPr>
        <w:pStyle w:val="BodyText"/>
      </w:pPr>
      <w:r w:rsidRPr="000713AC">
        <w:t xml:space="preserve">In this context, noting that MSC 105 was held after the deadline for submission of documents to NCSR 9, the Sub-Committee agreed to refer the matter to the Working Group on Communications for preliminary consideration and to advise the Sub-Committee, as appropriate. </w:t>
      </w:r>
    </w:p>
    <w:p w14:paraId="6DE75DF0" w14:textId="77777777" w:rsidR="004936E3" w:rsidRPr="004936E3" w:rsidRDefault="004936E3" w:rsidP="004936E3">
      <w:pPr>
        <w:pStyle w:val="Heading1"/>
        <w:numPr>
          <w:ilvl w:val="0"/>
          <w:numId w:val="33"/>
        </w:numPr>
      </w:pPr>
      <w:r w:rsidRPr="004936E3">
        <w:t>Communications WG matters</w:t>
      </w:r>
    </w:p>
    <w:p w14:paraId="7D40BD43" w14:textId="11CFF91C" w:rsidR="00542924" w:rsidRPr="00F1255E" w:rsidRDefault="00E01ED6" w:rsidP="004936E3">
      <w:pPr>
        <w:pStyle w:val="BodyText"/>
        <w:rPr>
          <w:b/>
        </w:rPr>
      </w:pPr>
      <w:r w:rsidRPr="00F1255E">
        <w:rPr>
          <w:b/>
        </w:rPr>
        <w:t>3.</w:t>
      </w:r>
      <w:r w:rsidR="003C3509">
        <w:rPr>
          <w:b/>
        </w:rPr>
        <w:t>1</w:t>
      </w:r>
      <w:r w:rsidRPr="00F1255E">
        <w:rPr>
          <w:b/>
        </w:rPr>
        <w:t xml:space="preserve"> </w:t>
      </w:r>
      <w:r w:rsidR="00F1255E" w:rsidRPr="00F1255E">
        <w:rPr>
          <w:b/>
        </w:rPr>
        <w:t>ITU WRC</w:t>
      </w:r>
      <w:r w:rsidR="00A00019">
        <w:rPr>
          <w:b/>
        </w:rPr>
        <w:t xml:space="preserve"> 23</w:t>
      </w:r>
    </w:p>
    <w:p w14:paraId="57BE54CD" w14:textId="521B726F" w:rsidR="00D32438" w:rsidRDefault="00D32438" w:rsidP="003D1BBF">
      <w:pPr>
        <w:pStyle w:val="BodyText"/>
      </w:pPr>
      <w:r w:rsidRPr="007511DE">
        <w:t xml:space="preserve">In connection with the draft IMO position on WRC-23 agenda item 10, </w:t>
      </w:r>
      <w:r>
        <w:t>NCSR</w:t>
      </w:r>
      <w:r w:rsidRPr="007511DE">
        <w:t xml:space="preserve"> had for its consideration </w:t>
      </w:r>
      <w:r>
        <w:t xml:space="preserve">on the </w:t>
      </w:r>
      <w:r w:rsidR="002109CD">
        <w:t xml:space="preserve">three </w:t>
      </w:r>
      <w:r w:rsidRPr="007511DE">
        <w:t>documents</w:t>
      </w:r>
      <w:r>
        <w:t xml:space="preserve"> from IALA. </w:t>
      </w:r>
    </w:p>
    <w:p w14:paraId="2B939CBB" w14:textId="6B282529" w:rsidR="003D1BBF" w:rsidRPr="003D1BBF" w:rsidRDefault="003D1BBF" w:rsidP="003D1BBF">
      <w:pPr>
        <w:pStyle w:val="BodyText"/>
      </w:pPr>
      <w:r w:rsidRPr="003D1BBF">
        <w:t>The draft IMO position on relevant agenda items of ITU WRC-23 concerning matters relating to maritime services was finalized, for approval by MSC 106 and submission to the ITU's Conference Preparatory Meeting for WRC-23.</w:t>
      </w:r>
      <w:r w:rsidR="002109CD">
        <w:t xml:space="preserve"> </w:t>
      </w:r>
      <w:r w:rsidR="00B26FCE">
        <w:t>However,</w:t>
      </w:r>
      <w:r w:rsidR="00561F48">
        <w:t xml:space="preserve"> regarding the agenda item 10, NCSR instructed the IMO/ITU E</w:t>
      </w:r>
      <w:r w:rsidR="00B26FCE">
        <w:t xml:space="preserve">G 18 to develop the IMO position and to advise NCSR 10 as appropriate. </w:t>
      </w:r>
      <w:r w:rsidR="00561F48">
        <w:t xml:space="preserve"> </w:t>
      </w:r>
    </w:p>
    <w:p w14:paraId="58F08CF8" w14:textId="77777777" w:rsidR="003D1BBF" w:rsidRPr="003D1BBF" w:rsidRDefault="003D1BBF" w:rsidP="003D1BBF">
      <w:pPr>
        <w:pStyle w:val="BodyText"/>
      </w:pPr>
      <w:r w:rsidRPr="003D1BBF">
        <w:t>The next World Radiocommunication Conference (</w:t>
      </w:r>
      <w:hyperlink r:id="rId10" w:history="1">
        <w:r w:rsidRPr="003D1BBF">
          <w:t>WRC-23</w:t>
        </w:r>
      </w:hyperlink>
      <w:r w:rsidRPr="003D1BBF">
        <w:t>) will be held in the United Arab Emirates from 20 November to 15 December 2023.</w:t>
      </w:r>
    </w:p>
    <w:p w14:paraId="7C1B048B" w14:textId="6D1C5BB8" w:rsidR="007511DE" w:rsidRPr="003D1BBF" w:rsidRDefault="003D1BBF" w:rsidP="007511DE">
      <w:pPr>
        <w:pStyle w:val="BodyText"/>
      </w:pPr>
      <w:r w:rsidRPr="003D1BBF">
        <w:t>Draft liaison statements to ITU on maritime radiocommunication matters were also approved.</w:t>
      </w:r>
      <w:r w:rsidR="00B26FCE">
        <w:t xml:space="preserve"> However, the liaison statements on the revision of </w:t>
      </w:r>
      <w:r w:rsidR="002F06DE">
        <w:t xml:space="preserve">Recommendation </w:t>
      </w:r>
      <w:r w:rsidR="00B26FCE">
        <w:t xml:space="preserve">ITU-R M.1371-5, NCSR established a Correspondence Group coordinated by Mr. Stefan Bober (Germany) </w:t>
      </w:r>
      <w:r w:rsidR="002F06DE">
        <w:t xml:space="preserve">to </w:t>
      </w:r>
      <w:r w:rsidR="002F06DE" w:rsidRPr="002F06DE">
        <w:t>submit a report, including a draft liaison statement to ITU-R Working Party 5B for consideration at NCSR 10</w:t>
      </w:r>
    </w:p>
    <w:p w14:paraId="34B1BC7C" w14:textId="77777777" w:rsidR="004936E3" w:rsidRPr="004936E3" w:rsidRDefault="004936E3" w:rsidP="004936E3">
      <w:pPr>
        <w:pStyle w:val="Heading1"/>
        <w:numPr>
          <w:ilvl w:val="0"/>
          <w:numId w:val="33"/>
        </w:numPr>
      </w:pPr>
      <w:r w:rsidRPr="004936E3">
        <w:t>Other matters</w:t>
      </w:r>
    </w:p>
    <w:p w14:paraId="7CCF9414" w14:textId="40ECF72C" w:rsidR="00EF01BD" w:rsidRPr="00562E04" w:rsidRDefault="00562E04" w:rsidP="004936E3">
      <w:pPr>
        <w:pStyle w:val="BodyText"/>
        <w:rPr>
          <w:b/>
        </w:rPr>
      </w:pPr>
      <w:r>
        <w:rPr>
          <w:b/>
        </w:rPr>
        <w:t xml:space="preserve">4.1 </w:t>
      </w:r>
      <w:r w:rsidR="00EF01BD" w:rsidRPr="00562E04">
        <w:rPr>
          <w:b/>
        </w:rPr>
        <w:t>IMO Member State Audit Scheme (IMSAS)</w:t>
      </w:r>
    </w:p>
    <w:p w14:paraId="30499243" w14:textId="4164D0E1" w:rsidR="003600E6" w:rsidRDefault="002F0AE1" w:rsidP="00562E04">
      <w:pPr>
        <w:pStyle w:val="BodyText"/>
      </w:pPr>
      <w:r>
        <w:t>NCSR</w:t>
      </w:r>
      <w:r w:rsidR="00562E04">
        <w:t xml:space="preserve"> noted that MSC 104 had instructed the NCSR to consider the proposal contained in documents MSC 102/22/3 (WMO) and MSC 103/20/9 (IALA), taking into account related mandatory requirements contained in IMO instruments, and advise the Committee accordingly, so that their inclusion in the appropriate IMSAS guidance materials could be considered (MSC 104/18, paragraph 17.17).</w:t>
      </w:r>
    </w:p>
    <w:p w14:paraId="3605FCDE" w14:textId="6455EDBA" w:rsidR="00562E04" w:rsidRDefault="00562E04" w:rsidP="00562E04">
      <w:pPr>
        <w:pStyle w:val="BodyText"/>
      </w:pPr>
      <w:r>
        <w:t xml:space="preserve">The Sub-Committee referred </w:t>
      </w:r>
      <w:r w:rsidR="002F0AE1">
        <w:t xml:space="preserve">the </w:t>
      </w:r>
      <w:r>
        <w:t xml:space="preserve">document </w:t>
      </w:r>
      <w:r w:rsidR="002F0AE1">
        <w:t>from IALA (</w:t>
      </w:r>
      <w:r>
        <w:t>MSC 103/20/9) for consideration at NCSR 10 and invited interested Member States and international organizations to submit relevant proposals, as appropriate.</w:t>
      </w:r>
    </w:p>
    <w:sectPr w:rsidR="00562E04" w:rsidSect="00F96681">
      <w:headerReference w:type="even" r:id="rId11"/>
      <w:headerReference w:type="default" r:id="rId12"/>
      <w:footerReference w:type="even" r:id="rId13"/>
      <w:footerReference w:type="default" r:id="rId14"/>
      <w:headerReference w:type="first" r:id="rId15"/>
      <w:pgSz w:w="11906" w:h="16838"/>
      <w:pgMar w:top="709" w:right="99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B53847" w14:textId="77777777" w:rsidR="007B00CE" w:rsidRDefault="007B00CE" w:rsidP="00362CD9">
      <w:r>
        <w:separator/>
      </w:r>
    </w:p>
  </w:endnote>
  <w:endnote w:type="continuationSeparator" w:id="0">
    <w:p w14:paraId="42108E37" w14:textId="77777777" w:rsidR="007B00CE" w:rsidRDefault="007B00CE"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altName w:val="Arial"/>
    <w:panose1 w:val="020B0704020202020204"/>
    <w:charset w:val="00"/>
    <w:family w:val="auto"/>
    <w:pitch w:val="variable"/>
    <w:sig w:usb0="00000000"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6353702"/>
      <w:docPartObj>
        <w:docPartGallery w:val="Page Numbers (Bottom of Page)"/>
        <w:docPartUnique/>
      </w:docPartObj>
    </w:sdtPr>
    <w:sdtEndPr>
      <w:rPr>
        <w:noProof/>
      </w:rPr>
    </w:sdtEndPr>
    <w:sdtContent>
      <w:p w14:paraId="6DE83347" w14:textId="5A254778" w:rsidR="00F96681" w:rsidRDefault="00F9668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3B279AB" w14:textId="01266D14" w:rsidR="00CE63B2" w:rsidRDefault="00CE63B2" w:rsidP="00CE63B2">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3454943"/>
      <w:docPartObj>
        <w:docPartGallery w:val="Page Numbers (Bottom of Page)"/>
        <w:docPartUnique/>
      </w:docPartObj>
    </w:sdtPr>
    <w:sdtEndPr>
      <w:rPr>
        <w:noProof/>
      </w:rPr>
    </w:sdtEndPr>
    <w:sdtContent>
      <w:p w14:paraId="54DE9935" w14:textId="2ACDE0FD" w:rsidR="00F96681" w:rsidRDefault="00F9668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328FBAE" w14:textId="77777777" w:rsidR="006A78D5" w:rsidRDefault="006A78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64F31D" w14:textId="77777777" w:rsidR="007B00CE" w:rsidRDefault="007B00CE" w:rsidP="00362CD9">
      <w:r>
        <w:separator/>
      </w:r>
    </w:p>
  </w:footnote>
  <w:footnote w:type="continuationSeparator" w:id="0">
    <w:p w14:paraId="3D54A6E9" w14:textId="77777777" w:rsidR="007B00CE" w:rsidRDefault="007B00CE" w:rsidP="00362C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A8989" w14:textId="1B7EF75E" w:rsidR="007C346C" w:rsidRDefault="006A78D5" w:rsidP="006A78D5">
    <w:pPr>
      <w:pStyle w:val="Header"/>
      <w:tabs>
        <w:tab w:val="clear" w:pos="9639"/>
        <w:tab w:val="right" w:pos="5954"/>
      </w:tabs>
      <w:spacing w:after="240"/>
    </w:pPr>
    <w:r>
      <w:rPr>
        <w:rFonts w:ascii="Calibri" w:hAnsi="Calibri"/>
        <w:noProof/>
      </w:rPr>
      <w:drawing>
        <wp:anchor distT="0" distB="0" distL="114300" distR="114300" simplePos="0" relativeHeight="251672576" behindDoc="1" locked="0" layoutInCell="1" allowOverlap="1" wp14:anchorId="7B868A3D" wp14:editId="5A1F55E6">
          <wp:simplePos x="0" y="0"/>
          <wp:positionH relativeFrom="column">
            <wp:posOffset>-539115</wp:posOffset>
          </wp:positionH>
          <wp:positionV relativeFrom="page">
            <wp:posOffset>201595</wp:posOffset>
          </wp:positionV>
          <wp:extent cx="550800" cy="550800"/>
          <wp:effectExtent l="0" t="0" r="1905" b="1905"/>
          <wp:wrapTight wrapText="bothSides">
            <wp:wrapPolygon edited="0">
              <wp:start x="0" y="0"/>
              <wp:lineTo x="0" y="20927"/>
              <wp:lineTo x="20927" y="20927"/>
              <wp:lineTo x="20927" y="0"/>
              <wp:lineTo x="0" y="0"/>
            </wp:wrapPolygon>
          </wp:wrapTight>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0800" cy="550800"/>
                  </a:xfrm>
                  <a:prstGeom prst="rect">
                    <a:avLst/>
                  </a:prstGeom>
                </pic:spPr>
              </pic:pic>
            </a:graphicData>
          </a:graphic>
          <wp14:sizeRelH relativeFrom="margin">
            <wp14:pctWidth>0</wp14:pctWidth>
          </wp14:sizeRelH>
          <wp14:sizeRelV relativeFrom="margin">
            <wp14:pctHeight>0</wp14:pctHeight>
          </wp14:sizeRelV>
        </wp:anchor>
      </w:drawing>
    </w:r>
    <w:r w:rsidR="000904DC">
      <w:rPr>
        <w:rFonts w:ascii="Calibri" w:hAnsi="Calibri"/>
      </w:rPr>
      <w:t>PAP</w:t>
    </w:r>
    <w:r w:rsidR="00A61C07">
      <w:rPr>
        <w:rFonts w:ascii="Calibri" w:hAnsi="Calibri"/>
      </w:rPr>
      <w:t>47-4.2.1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23D6B988" w:rsidR="007C346C" w:rsidRDefault="006A78D5" w:rsidP="006A78D5">
    <w:pPr>
      <w:pStyle w:val="Header"/>
      <w:tabs>
        <w:tab w:val="clear" w:pos="9639"/>
        <w:tab w:val="right" w:pos="5954"/>
      </w:tabs>
      <w:spacing w:after="240"/>
      <w:jc w:val="right"/>
    </w:pPr>
    <w:r>
      <w:rPr>
        <w:rFonts w:ascii="Calibri" w:hAnsi="Calibri"/>
        <w:noProof/>
      </w:rPr>
      <w:drawing>
        <wp:anchor distT="0" distB="0" distL="114300" distR="114300" simplePos="0" relativeHeight="251668480" behindDoc="1" locked="0" layoutInCell="1" allowOverlap="1" wp14:anchorId="0C84DE37" wp14:editId="1AA79061">
          <wp:simplePos x="0" y="0"/>
          <wp:positionH relativeFrom="column">
            <wp:posOffset>6099324</wp:posOffset>
          </wp:positionH>
          <wp:positionV relativeFrom="page">
            <wp:posOffset>280670</wp:posOffset>
          </wp:positionV>
          <wp:extent cx="550800" cy="550800"/>
          <wp:effectExtent l="0" t="0" r="1905" b="1905"/>
          <wp:wrapTight wrapText="bothSides">
            <wp:wrapPolygon edited="0">
              <wp:start x="0" y="0"/>
              <wp:lineTo x="0" y="20927"/>
              <wp:lineTo x="20927" y="20927"/>
              <wp:lineTo x="20927"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0800" cy="550800"/>
                  </a:xfrm>
                  <a:prstGeom prst="rect">
                    <a:avLst/>
                  </a:prstGeom>
                </pic:spPr>
              </pic:pic>
            </a:graphicData>
          </a:graphic>
          <wp14:sizeRelH relativeFrom="margin">
            <wp14:pctWidth>0</wp14:pctWidth>
          </wp14:sizeRelH>
          <wp14:sizeRelV relativeFrom="margin">
            <wp14:pctHeight>0</wp14:pctHeight>
          </wp14:sizeRelV>
        </wp:anchor>
      </w:drawing>
    </w:r>
    <w:r w:rsidR="000D7541" w:rsidRPr="000D7541">
      <w:t xml:space="preserve"> </w:t>
    </w:r>
    <w:r w:rsidR="000D7541" w:rsidRPr="000D7541">
      <w:t>ARM16-3.2.1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3C4F1" w14:textId="5D6DC651" w:rsidR="007C346C" w:rsidRDefault="00484701" w:rsidP="00717A6A">
    <w:pPr>
      <w:pStyle w:val="Header"/>
      <w:tabs>
        <w:tab w:val="clear" w:pos="9639"/>
        <w:tab w:val="right" w:pos="5954"/>
      </w:tabs>
      <w:spacing w:after="240"/>
      <w:jc w:val="right"/>
    </w:pPr>
    <w:r>
      <w:rPr>
        <w:rFonts w:ascii="Calibri" w:hAnsi="Calibri"/>
        <w:noProof/>
      </w:rPr>
      <w:drawing>
        <wp:anchor distT="0" distB="0" distL="114300" distR="114300" simplePos="0" relativeHeight="251666432" behindDoc="1" locked="0" layoutInCell="1" allowOverlap="1" wp14:anchorId="788EB590" wp14:editId="6367DE51">
          <wp:simplePos x="0" y="0"/>
          <wp:positionH relativeFrom="column">
            <wp:posOffset>5878830</wp:posOffset>
          </wp:positionH>
          <wp:positionV relativeFrom="page">
            <wp:posOffset>281109</wp:posOffset>
          </wp:positionV>
          <wp:extent cx="550800" cy="550800"/>
          <wp:effectExtent l="0" t="0" r="1905" b="1905"/>
          <wp:wrapTight wrapText="bothSides">
            <wp:wrapPolygon edited="0">
              <wp:start x="0" y="0"/>
              <wp:lineTo x="0" y="20927"/>
              <wp:lineTo x="20927" y="20927"/>
              <wp:lineTo x="20927" y="0"/>
              <wp:lineTo x="0" y="0"/>
            </wp:wrapPolygon>
          </wp:wrapTight>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0800" cy="550800"/>
                  </a:xfrm>
                  <a:prstGeom prst="rect">
                    <a:avLst/>
                  </a:prstGeom>
                </pic:spPr>
              </pic:pic>
            </a:graphicData>
          </a:graphic>
          <wp14:sizeRelH relativeFrom="margin">
            <wp14:pctWidth>0</wp14:pctWidth>
          </wp14:sizeRelH>
          <wp14:sizeRelV relativeFrom="margin">
            <wp14:pctHeight>0</wp14:pctHeight>
          </wp14:sizeRelV>
        </wp:anchor>
      </w:drawing>
    </w:r>
    <w:r w:rsidR="006A10AE">
      <w:rPr>
        <w:rFonts w:ascii="Calibri" w:hAnsi="Calibri"/>
      </w:rPr>
      <w:t>PAP31-16.3 INF1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91931C1"/>
    <w:multiLevelType w:val="multilevel"/>
    <w:tmpl w:val="461C2A2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0E13EF7"/>
    <w:multiLevelType w:val="hybridMultilevel"/>
    <w:tmpl w:val="1A4297A2"/>
    <w:lvl w:ilvl="0" w:tplc="6F3A784A">
      <w:numFmt w:val="bullet"/>
      <w:lvlText w:val="•"/>
      <w:lvlJc w:val="left"/>
      <w:pPr>
        <w:ind w:left="1080" w:hanging="72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1238139C"/>
    <w:multiLevelType w:val="multilevel"/>
    <w:tmpl w:val="CC7C35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C78589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35A7C9E"/>
    <w:multiLevelType w:val="hybridMultilevel"/>
    <w:tmpl w:val="25EE7C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7297714"/>
    <w:multiLevelType w:val="hybridMultilevel"/>
    <w:tmpl w:val="F8B4BDA4"/>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15:restartNumberingAfterBreak="0">
    <w:nsid w:val="35A377EC"/>
    <w:multiLevelType w:val="hybridMultilevel"/>
    <w:tmpl w:val="B030C6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91B5A2E"/>
    <w:multiLevelType w:val="hybridMultilevel"/>
    <w:tmpl w:val="C430E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DC65CFD"/>
    <w:multiLevelType w:val="hybridMultilevel"/>
    <w:tmpl w:val="42D43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59C21F67"/>
    <w:multiLevelType w:val="hybridMultilevel"/>
    <w:tmpl w:val="CFFEC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3131E6A"/>
    <w:multiLevelType w:val="multilevel"/>
    <w:tmpl w:val="AB08E65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3DA33D8"/>
    <w:multiLevelType w:val="multilevel"/>
    <w:tmpl w:val="DE70FB7A"/>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035886873">
    <w:abstractNumId w:val="23"/>
  </w:num>
  <w:num w:numId="2" w16cid:durableId="1072890734">
    <w:abstractNumId w:val="16"/>
  </w:num>
  <w:num w:numId="3" w16cid:durableId="1642267019">
    <w:abstractNumId w:val="2"/>
  </w:num>
  <w:num w:numId="4" w16cid:durableId="1846937395">
    <w:abstractNumId w:val="26"/>
  </w:num>
  <w:num w:numId="5" w16cid:durableId="966158096">
    <w:abstractNumId w:val="12"/>
  </w:num>
  <w:num w:numId="6" w16cid:durableId="1589343627">
    <w:abstractNumId w:val="9"/>
  </w:num>
  <w:num w:numId="7" w16cid:durableId="686828097">
    <w:abstractNumId w:val="19"/>
  </w:num>
  <w:num w:numId="8" w16cid:durableId="560289282">
    <w:abstractNumId w:val="18"/>
  </w:num>
  <w:num w:numId="9" w16cid:durableId="1688824521">
    <w:abstractNumId w:val="25"/>
  </w:num>
  <w:num w:numId="10" w16cid:durableId="2087069539">
    <w:abstractNumId w:val="7"/>
  </w:num>
  <w:num w:numId="11" w16cid:durableId="1221330728">
    <w:abstractNumId w:val="21"/>
  </w:num>
  <w:num w:numId="12" w16cid:durableId="601298733">
    <w:abstractNumId w:val="14"/>
  </w:num>
  <w:num w:numId="13" w16cid:durableId="497619336">
    <w:abstractNumId w:val="13"/>
  </w:num>
  <w:num w:numId="14" w16cid:durableId="1459837466">
    <w:abstractNumId w:val="5"/>
  </w:num>
  <w:num w:numId="15" w16cid:durableId="685063627">
    <w:abstractNumId w:val="15"/>
  </w:num>
  <w:num w:numId="16" w16cid:durableId="292293629">
    <w:abstractNumId w:val="0"/>
  </w:num>
  <w:num w:numId="17" w16cid:durableId="800803057">
    <w:abstractNumId w:val="24"/>
  </w:num>
  <w:num w:numId="18" w16cid:durableId="643433594">
    <w:abstractNumId w:val="6"/>
  </w:num>
  <w:num w:numId="19" w16cid:durableId="24260765">
    <w:abstractNumId w:val="10"/>
  </w:num>
  <w:num w:numId="20" w16cid:durableId="611935763">
    <w:abstractNumId w:val="3"/>
  </w:num>
  <w:num w:numId="21" w16cid:durableId="107166778">
    <w:abstractNumId w:val="8"/>
  </w:num>
  <w:num w:numId="22" w16cid:durableId="315452585">
    <w:abstractNumId w:val="5"/>
  </w:num>
  <w:num w:numId="23" w16cid:durableId="258873295">
    <w:abstractNumId w:val="5"/>
  </w:num>
  <w:num w:numId="24" w16cid:durableId="1282612880">
    <w:abstractNumId w:val="5"/>
  </w:num>
  <w:num w:numId="25" w16cid:durableId="1368947974">
    <w:abstractNumId w:val="5"/>
  </w:num>
  <w:num w:numId="26" w16cid:durableId="1563784454">
    <w:abstractNumId w:val="5"/>
  </w:num>
  <w:num w:numId="27" w16cid:durableId="41485193">
    <w:abstractNumId w:val="5"/>
  </w:num>
  <w:num w:numId="28" w16cid:durableId="502664007">
    <w:abstractNumId w:val="11"/>
  </w:num>
  <w:num w:numId="29" w16cid:durableId="1812012739">
    <w:abstractNumId w:val="5"/>
  </w:num>
  <w:num w:numId="30" w16cid:durableId="1212958667">
    <w:abstractNumId w:val="1"/>
  </w:num>
  <w:num w:numId="31" w16cid:durableId="1829053514">
    <w:abstractNumId w:val="5"/>
  </w:num>
  <w:num w:numId="32" w16cid:durableId="907149967">
    <w:abstractNumId w:val="5"/>
  </w:num>
  <w:num w:numId="33" w16cid:durableId="4748659">
    <w:abstractNumId w:val="27"/>
  </w:num>
  <w:num w:numId="34" w16cid:durableId="1836146519">
    <w:abstractNumId w:val="20"/>
  </w:num>
  <w:num w:numId="35" w16cid:durableId="1173106749">
    <w:abstractNumId w:val="4"/>
  </w:num>
  <w:num w:numId="36" w16cid:durableId="2060787372">
    <w:abstractNumId w:val="22"/>
  </w:num>
  <w:num w:numId="37" w16cid:durableId="1229727899">
    <w:abstractNumId w:val="5"/>
  </w:num>
  <w:num w:numId="38" w16cid:durableId="375588090">
    <w:abstractNumId w:val="5"/>
  </w:num>
  <w:num w:numId="39" w16cid:durableId="988555246">
    <w:abstractNumId w:val="5"/>
  </w:num>
  <w:num w:numId="40" w16cid:durableId="675426664">
    <w:abstractNumId w:val="5"/>
  </w:num>
  <w:num w:numId="41" w16cid:durableId="747534461">
    <w:abstractNumId w:val="5"/>
  </w:num>
  <w:num w:numId="42" w16cid:durableId="995762818">
    <w:abstractNumId w:val="5"/>
  </w:num>
  <w:num w:numId="43" w16cid:durableId="2049521856">
    <w:abstractNumId w:val="17"/>
  </w:num>
  <w:num w:numId="44" w16cid:durableId="72506984">
    <w:abstractNumId w:val="5"/>
  </w:num>
  <w:num w:numId="45" w16cid:durableId="632558150">
    <w:abstractNumId w:val="5"/>
  </w:num>
  <w:num w:numId="46" w16cid:durableId="1725517124">
    <w:abstractNumId w:val="5"/>
  </w:num>
  <w:num w:numId="47" w16cid:durableId="1819497241">
    <w:abstractNumId w:val="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NDY2MDEGQgNTQzNjQyUdpeDU4uLM/DyQAtNaAERxENYsAAAA"/>
  </w:docVars>
  <w:rsids>
    <w:rsidRoot w:val="00FE5674"/>
    <w:rsid w:val="000005D3"/>
    <w:rsid w:val="000049D8"/>
    <w:rsid w:val="00015AC8"/>
    <w:rsid w:val="00032396"/>
    <w:rsid w:val="00036B9E"/>
    <w:rsid w:val="00037DF4"/>
    <w:rsid w:val="0004101C"/>
    <w:rsid w:val="000421B0"/>
    <w:rsid w:val="000468CA"/>
    <w:rsid w:val="0004700E"/>
    <w:rsid w:val="00050B25"/>
    <w:rsid w:val="00062A4E"/>
    <w:rsid w:val="000635F5"/>
    <w:rsid w:val="00070C13"/>
    <w:rsid w:val="000713AC"/>
    <w:rsid w:val="000715C9"/>
    <w:rsid w:val="000730BC"/>
    <w:rsid w:val="000800D4"/>
    <w:rsid w:val="00084F33"/>
    <w:rsid w:val="000904DC"/>
    <w:rsid w:val="000906E3"/>
    <w:rsid w:val="00093839"/>
    <w:rsid w:val="00093C8F"/>
    <w:rsid w:val="000A1C2F"/>
    <w:rsid w:val="000A77A7"/>
    <w:rsid w:val="000B1707"/>
    <w:rsid w:val="000C1B3E"/>
    <w:rsid w:val="000D7541"/>
    <w:rsid w:val="000E7B44"/>
    <w:rsid w:val="000F376E"/>
    <w:rsid w:val="00107856"/>
    <w:rsid w:val="00110AE7"/>
    <w:rsid w:val="0014273B"/>
    <w:rsid w:val="0014505B"/>
    <w:rsid w:val="001474F6"/>
    <w:rsid w:val="001548B7"/>
    <w:rsid w:val="00154D83"/>
    <w:rsid w:val="00172D85"/>
    <w:rsid w:val="00174AC6"/>
    <w:rsid w:val="00177F4D"/>
    <w:rsid w:val="00180DDA"/>
    <w:rsid w:val="001922CE"/>
    <w:rsid w:val="001A1707"/>
    <w:rsid w:val="001B2A2D"/>
    <w:rsid w:val="001B2BFC"/>
    <w:rsid w:val="001B737D"/>
    <w:rsid w:val="001C19D8"/>
    <w:rsid w:val="001C44A3"/>
    <w:rsid w:val="001C72D8"/>
    <w:rsid w:val="001D37D2"/>
    <w:rsid w:val="001D47AA"/>
    <w:rsid w:val="001D7BBF"/>
    <w:rsid w:val="001E0E15"/>
    <w:rsid w:val="001F528A"/>
    <w:rsid w:val="001F704E"/>
    <w:rsid w:val="00200CE2"/>
    <w:rsid w:val="00201722"/>
    <w:rsid w:val="002109CD"/>
    <w:rsid w:val="002125B0"/>
    <w:rsid w:val="00220952"/>
    <w:rsid w:val="00235B69"/>
    <w:rsid w:val="00243228"/>
    <w:rsid w:val="00251483"/>
    <w:rsid w:val="00255CAA"/>
    <w:rsid w:val="002608B4"/>
    <w:rsid w:val="00263248"/>
    <w:rsid w:val="00263649"/>
    <w:rsid w:val="00264305"/>
    <w:rsid w:val="0028673F"/>
    <w:rsid w:val="00293255"/>
    <w:rsid w:val="002A0346"/>
    <w:rsid w:val="002A4487"/>
    <w:rsid w:val="002B49E9"/>
    <w:rsid w:val="002C1A6A"/>
    <w:rsid w:val="002C632E"/>
    <w:rsid w:val="002D13F2"/>
    <w:rsid w:val="002D3E8B"/>
    <w:rsid w:val="002D4575"/>
    <w:rsid w:val="002D5C0C"/>
    <w:rsid w:val="002E03D1"/>
    <w:rsid w:val="002E6B74"/>
    <w:rsid w:val="002E6FCA"/>
    <w:rsid w:val="002E7740"/>
    <w:rsid w:val="002F06DE"/>
    <w:rsid w:val="002F0AE1"/>
    <w:rsid w:val="002F1195"/>
    <w:rsid w:val="00317E35"/>
    <w:rsid w:val="00324A56"/>
    <w:rsid w:val="0032720A"/>
    <w:rsid w:val="00343F4C"/>
    <w:rsid w:val="003464C4"/>
    <w:rsid w:val="00347339"/>
    <w:rsid w:val="00356CD0"/>
    <w:rsid w:val="003600E6"/>
    <w:rsid w:val="00362CD9"/>
    <w:rsid w:val="00364C58"/>
    <w:rsid w:val="00372FF1"/>
    <w:rsid w:val="003761CA"/>
    <w:rsid w:val="00380D6D"/>
    <w:rsid w:val="00380DAF"/>
    <w:rsid w:val="003928ED"/>
    <w:rsid w:val="00392E07"/>
    <w:rsid w:val="00395336"/>
    <w:rsid w:val="003972CE"/>
    <w:rsid w:val="003A4E95"/>
    <w:rsid w:val="003B28F5"/>
    <w:rsid w:val="003B31C9"/>
    <w:rsid w:val="003B7B7D"/>
    <w:rsid w:val="003C3509"/>
    <w:rsid w:val="003C54CB"/>
    <w:rsid w:val="003C7A2A"/>
    <w:rsid w:val="003D1BBF"/>
    <w:rsid w:val="003D2DC1"/>
    <w:rsid w:val="003D3586"/>
    <w:rsid w:val="003D69D0"/>
    <w:rsid w:val="003E5687"/>
    <w:rsid w:val="003E6583"/>
    <w:rsid w:val="003F2918"/>
    <w:rsid w:val="003F430E"/>
    <w:rsid w:val="003F74AB"/>
    <w:rsid w:val="004027FC"/>
    <w:rsid w:val="00404B82"/>
    <w:rsid w:val="0041088C"/>
    <w:rsid w:val="004111BD"/>
    <w:rsid w:val="00414F49"/>
    <w:rsid w:val="0041645B"/>
    <w:rsid w:val="004171FB"/>
    <w:rsid w:val="00417AD5"/>
    <w:rsid w:val="00420A38"/>
    <w:rsid w:val="00423C27"/>
    <w:rsid w:val="00425AE3"/>
    <w:rsid w:val="00431B19"/>
    <w:rsid w:val="0044054E"/>
    <w:rsid w:val="00441BE7"/>
    <w:rsid w:val="00460F14"/>
    <w:rsid w:val="0046561E"/>
    <w:rsid w:val="004661AD"/>
    <w:rsid w:val="00475340"/>
    <w:rsid w:val="00476A3D"/>
    <w:rsid w:val="00480C49"/>
    <w:rsid w:val="00484701"/>
    <w:rsid w:val="004936E3"/>
    <w:rsid w:val="00493978"/>
    <w:rsid w:val="004D1D85"/>
    <w:rsid w:val="004D2995"/>
    <w:rsid w:val="004D3C3A"/>
    <w:rsid w:val="004D6B41"/>
    <w:rsid w:val="004E1CD1"/>
    <w:rsid w:val="004F2108"/>
    <w:rsid w:val="004F3EE7"/>
    <w:rsid w:val="004F5DFA"/>
    <w:rsid w:val="004F5E28"/>
    <w:rsid w:val="005020A4"/>
    <w:rsid w:val="00502E73"/>
    <w:rsid w:val="005107EB"/>
    <w:rsid w:val="00515D6D"/>
    <w:rsid w:val="00516F06"/>
    <w:rsid w:val="00521345"/>
    <w:rsid w:val="00525845"/>
    <w:rsid w:val="00526DF0"/>
    <w:rsid w:val="00542924"/>
    <w:rsid w:val="00545CC4"/>
    <w:rsid w:val="00551FFF"/>
    <w:rsid w:val="00560091"/>
    <w:rsid w:val="005607A2"/>
    <w:rsid w:val="00561F48"/>
    <w:rsid w:val="00562E04"/>
    <w:rsid w:val="00564C20"/>
    <w:rsid w:val="0057198B"/>
    <w:rsid w:val="005721B3"/>
    <w:rsid w:val="00573CFE"/>
    <w:rsid w:val="00575D31"/>
    <w:rsid w:val="00586916"/>
    <w:rsid w:val="005922EB"/>
    <w:rsid w:val="005969F2"/>
    <w:rsid w:val="00597FAE"/>
    <w:rsid w:val="005A713A"/>
    <w:rsid w:val="005B32A3"/>
    <w:rsid w:val="005B6ADC"/>
    <w:rsid w:val="005C0D44"/>
    <w:rsid w:val="005C566C"/>
    <w:rsid w:val="005C7E69"/>
    <w:rsid w:val="005D2E1E"/>
    <w:rsid w:val="005E262D"/>
    <w:rsid w:val="005F23D3"/>
    <w:rsid w:val="005F7E20"/>
    <w:rsid w:val="00603E98"/>
    <w:rsid w:val="00605E43"/>
    <w:rsid w:val="006153BB"/>
    <w:rsid w:val="0065469D"/>
    <w:rsid w:val="00664A1A"/>
    <w:rsid w:val="006652C3"/>
    <w:rsid w:val="00670688"/>
    <w:rsid w:val="00672BCE"/>
    <w:rsid w:val="006878BF"/>
    <w:rsid w:val="0069154B"/>
    <w:rsid w:val="00691FD0"/>
    <w:rsid w:val="00692148"/>
    <w:rsid w:val="00692410"/>
    <w:rsid w:val="00694217"/>
    <w:rsid w:val="006947BE"/>
    <w:rsid w:val="006A10AE"/>
    <w:rsid w:val="006A1A1E"/>
    <w:rsid w:val="006A5998"/>
    <w:rsid w:val="006A78D5"/>
    <w:rsid w:val="006C0FD8"/>
    <w:rsid w:val="006C5948"/>
    <w:rsid w:val="006D7F57"/>
    <w:rsid w:val="006E7142"/>
    <w:rsid w:val="006F2A74"/>
    <w:rsid w:val="006F7C15"/>
    <w:rsid w:val="0070675D"/>
    <w:rsid w:val="007118F5"/>
    <w:rsid w:val="00712AA4"/>
    <w:rsid w:val="007146C4"/>
    <w:rsid w:val="00717A6A"/>
    <w:rsid w:val="00721416"/>
    <w:rsid w:val="00721AA1"/>
    <w:rsid w:val="007236EE"/>
    <w:rsid w:val="00724B67"/>
    <w:rsid w:val="0073041A"/>
    <w:rsid w:val="00730F9F"/>
    <w:rsid w:val="00734D3B"/>
    <w:rsid w:val="007511DE"/>
    <w:rsid w:val="00751B0A"/>
    <w:rsid w:val="007547F8"/>
    <w:rsid w:val="00762ADD"/>
    <w:rsid w:val="00765622"/>
    <w:rsid w:val="00770B6C"/>
    <w:rsid w:val="00775C78"/>
    <w:rsid w:val="0077644F"/>
    <w:rsid w:val="00782914"/>
    <w:rsid w:val="00782B6C"/>
    <w:rsid w:val="00783FEA"/>
    <w:rsid w:val="007851A4"/>
    <w:rsid w:val="007A3667"/>
    <w:rsid w:val="007A395D"/>
    <w:rsid w:val="007A45C4"/>
    <w:rsid w:val="007A4E44"/>
    <w:rsid w:val="007A723A"/>
    <w:rsid w:val="007B00CE"/>
    <w:rsid w:val="007C2FE3"/>
    <w:rsid w:val="007C320D"/>
    <w:rsid w:val="007C346C"/>
    <w:rsid w:val="007C4749"/>
    <w:rsid w:val="007C54BC"/>
    <w:rsid w:val="007E5DA8"/>
    <w:rsid w:val="0080294B"/>
    <w:rsid w:val="00804B18"/>
    <w:rsid w:val="00816F0E"/>
    <w:rsid w:val="00817988"/>
    <w:rsid w:val="008179D8"/>
    <w:rsid w:val="00821222"/>
    <w:rsid w:val="008247CD"/>
    <w:rsid w:val="0082480E"/>
    <w:rsid w:val="00850293"/>
    <w:rsid w:val="00850D7A"/>
    <w:rsid w:val="00851373"/>
    <w:rsid w:val="00851BA6"/>
    <w:rsid w:val="0085654D"/>
    <w:rsid w:val="008565D7"/>
    <w:rsid w:val="00857F73"/>
    <w:rsid w:val="00861160"/>
    <w:rsid w:val="0086654F"/>
    <w:rsid w:val="00876672"/>
    <w:rsid w:val="00877D4B"/>
    <w:rsid w:val="00890C0A"/>
    <w:rsid w:val="00890D4C"/>
    <w:rsid w:val="00894B73"/>
    <w:rsid w:val="008A356F"/>
    <w:rsid w:val="008A4653"/>
    <w:rsid w:val="008A4717"/>
    <w:rsid w:val="008A50CC"/>
    <w:rsid w:val="008B4798"/>
    <w:rsid w:val="008B71A4"/>
    <w:rsid w:val="008D1694"/>
    <w:rsid w:val="008D79CB"/>
    <w:rsid w:val="008F07BC"/>
    <w:rsid w:val="009108AB"/>
    <w:rsid w:val="0092692B"/>
    <w:rsid w:val="00927B22"/>
    <w:rsid w:val="0093415C"/>
    <w:rsid w:val="00942E43"/>
    <w:rsid w:val="00943E9C"/>
    <w:rsid w:val="00953F4D"/>
    <w:rsid w:val="00960BB8"/>
    <w:rsid w:val="00964F5C"/>
    <w:rsid w:val="009734FC"/>
    <w:rsid w:val="00976184"/>
    <w:rsid w:val="00976C2E"/>
    <w:rsid w:val="009831C0"/>
    <w:rsid w:val="00985118"/>
    <w:rsid w:val="0099161D"/>
    <w:rsid w:val="009A3528"/>
    <w:rsid w:val="009C46D2"/>
    <w:rsid w:val="009E3D4D"/>
    <w:rsid w:val="009F035B"/>
    <w:rsid w:val="009F318D"/>
    <w:rsid w:val="00A00019"/>
    <w:rsid w:val="00A0389B"/>
    <w:rsid w:val="00A33AE9"/>
    <w:rsid w:val="00A34B6F"/>
    <w:rsid w:val="00A363D8"/>
    <w:rsid w:val="00A43EB9"/>
    <w:rsid w:val="00A446C9"/>
    <w:rsid w:val="00A44CC4"/>
    <w:rsid w:val="00A47AD9"/>
    <w:rsid w:val="00A5265A"/>
    <w:rsid w:val="00A5558B"/>
    <w:rsid w:val="00A61C07"/>
    <w:rsid w:val="00A635D6"/>
    <w:rsid w:val="00A72837"/>
    <w:rsid w:val="00A75009"/>
    <w:rsid w:val="00A8013B"/>
    <w:rsid w:val="00A8553A"/>
    <w:rsid w:val="00A93AED"/>
    <w:rsid w:val="00AA563A"/>
    <w:rsid w:val="00AA5F67"/>
    <w:rsid w:val="00AB7807"/>
    <w:rsid w:val="00AC0CBC"/>
    <w:rsid w:val="00AC6A59"/>
    <w:rsid w:val="00AE1319"/>
    <w:rsid w:val="00AE34BB"/>
    <w:rsid w:val="00AE4B71"/>
    <w:rsid w:val="00AF1BE5"/>
    <w:rsid w:val="00B00577"/>
    <w:rsid w:val="00B04683"/>
    <w:rsid w:val="00B14187"/>
    <w:rsid w:val="00B2232D"/>
    <w:rsid w:val="00B226F2"/>
    <w:rsid w:val="00B26FCE"/>
    <w:rsid w:val="00B274DF"/>
    <w:rsid w:val="00B37E69"/>
    <w:rsid w:val="00B41ED5"/>
    <w:rsid w:val="00B43636"/>
    <w:rsid w:val="00B534E2"/>
    <w:rsid w:val="00B53A1B"/>
    <w:rsid w:val="00B56B31"/>
    <w:rsid w:val="00B56BDF"/>
    <w:rsid w:val="00B65812"/>
    <w:rsid w:val="00B8034B"/>
    <w:rsid w:val="00B805FE"/>
    <w:rsid w:val="00B85CD6"/>
    <w:rsid w:val="00B90A27"/>
    <w:rsid w:val="00B9554D"/>
    <w:rsid w:val="00B96497"/>
    <w:rsid w:val="00BA38A4"/>
    <w:rsid w:val="00BA46C7"/>
    <w:rsid w:val="00BB13B1"/>
    <w:rsid w:val="00BB2B9F"/>
    <w:rsid w:val="00BB7D9E"/>
    <w:rsid w:val="00BC2334"/>
    <w:rsid w:val="00BD3CB8"/>
    <w:rsid w:val="00BD4E6F"/>
    <w:rsid w:val="00BF1703"/>
    <w:rsid w:val="00BF32F0"/>
    <w:rsid w:val="00BF4DCE"/>
    <w:rsid w:val="00C05CE5"/>
    <w:rsid w:val="00C0600A"/>
    <w:rsid w:val="00C1462F"/>
    <w:rsid w:val="00C16728"/>
    <w:rsid w:val="00C20FAC"/>
    <w:rsid w:val="00C21722"/>
    <w:rsid w:val="00C37807"/>
    <w:rsid w:val="00C504C0"/>
    <w:rsid w:val="00C52FAC"/>
    <w:rsid w:val="00C6171E"/>
    <w:rsid w:val="00C6307E"/>
    <w:rsid w:val="00C84DD7"/>
    <w:rsid w:val="00C92224"/>
    <w:rsid w:val="00C936BA"/>
    <w:rsid w:val="00CA6F2C"/>
    <w:rsid w:val="00CE63B2"/>
    <w:rsid w:val="00CF1871"/>
    <w:rsid w:val="00D019CE"/>
    <w:rsid w:val="00D102D6"/>
    <w:rsid w:val="00D1133E"/>
    <w:rsid w:val="00D17A34"/>
    <w:rsid w:val="00D26628"/>
    <w:rsid w:val="00D31A97"/>
    <w:rsid w:val="00D32438"/>
    <w:rsid w:val="00D332B3"/>
    <w:rsid w:val="00D45637"/>
    <w:rsid w:val="00D55207"/>
    <w:rsid w:val="00D6023F"/>
    <w:rsid w:val="00D60788"/>
    <w:rsid w:val="00D65064"/>
    <w:rsid w:val="00D81801"/>
    <w:rsid w:val="00D832A1"/>
    <w:rsid w:val="00D91744"/>
    <w:rsid w:val="00D92B45"/>
    <w:rsid w:val="00D95962"/>
    <w:rsid w:val="00DA0E08"/>
    <w:rsid w:val="00DA3F35"/>
    <w:rsid w:val="00DA65DC"/>
    <w:rsid w:val="00DB1821"/>
    <w:rsid w:val="00DB2DD9"/>
    <w:rsid w:val="00DB74B8"/>
    <w:rsid w:val="00DC389B"/>
    <w:rsid w:val="00DC46DF"/>
    <w:rsid w:val="00DE27BB"/>
    <w:rsid w:val="00DE2FEE"/>
    <w:rsid w:val="00E00BE9"/>
    <w:rsid w:val="00E015E7"/>
    <w:rsid w:val="00E01ED6"/>
    <w:rsid w:val="00E1053C"/>
    <w:rsid w:val="00E10990"/>
    <w:rsid w:val="00E2016D"/>
    <w:rsid w:val="00E22A11"/>
    <w:rsid w:val="00E25824"/>
    <w:rsid w:val="00E31E5C"/>
    <w:rsid w:val="00E44DD2"/>
    <w:rsid w:val="00E558C3"/>
    <w:rsid w:val="00E55927"/>
    <w:rsid w:val="00E71D8D"/>
    <w:rsid w:val="00E912A6"/>
    <w:rsid w:val="00E926A4"/>
    <w:rsid w:val="00EA4844"/>
    <w:rsid w:val="00EA4D9C"/>
    <w:rsid w:val="00EA5A97"/>
    <w:rsid w:val="00EB75EE"/>
    <w:rsid w:val="00ED153F"/>
    <w:rsid w:val="00EE4C1D"/>
    <w:rsid w:val="00EE4D5C"/>
    <w:rsid w:val="00EF01BD"/>
    <w:rsid w:val="00EF3685"/>
    <w:rsid w:val="00EF7EAA"/>
    <w:rsid w:val="00F04350"/>
    <w:rsid w:val="00F060DC"/>
    <w:rsid w:val="00F1255E"/>
    <w:rsid w:val="00F133DB"/>
    <w:rsid w:val="00F159EB"/>
    <w:rsid w:val="00F162DD"/>
    <w:rsid w:val="00F21992"/>
    <w:rsid w:val="00F22203"/>
    <w:rsid w:val="00F25BF4"/>
    <w:rsid w:val="00F267DB"/>
    <w:rsid w:val="00F3352B"/>
    <w:rsid w:val="00F34EED"/>
    <w:rsid w:val="00F42879"/>
    <w:rsid w:val="00F46F6F"/>
    <w:rsid w:val="00F60608"/>
    <w:rsid w:val="00F62217"/>
    <w:rsid w:val="00F724DF"/>
    <w:rsid w:val="00F77218"/>
    <w:rsid w:val="00F80F1F"/>
    <w:rsid w:val="00F838F2"/>
    <w:rsid w:val="00F96681"/>
    <w:rsid w:val="00FB0D4C"/>
    <w:rsid w:val="00FB17A9"/>
    <w:rsid w:val="00FB198A"/>
    <w:rsid w:val="00FB3327"/>
    <w:rsid w:val="00FB527C"/>
    <w:rsid w:val="00FB6F75"/>
    <w:rsid w:val="00FC0EB3"/>
    <w:rsid w:val="00FC294F"/>
    <w:rsid w:val="00FD675E"/>
    <w:rsid w:val="00FD7EB7"/>
    <w:rsid w:val="00FE5674"/>
    <w:rsid w:val="00FF25B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0DA6AA77"/>
  <w15:docId w15:val="{B1EC3C17-A538-4912-834D-70E5D6144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3A4E95"/>
    <w:pPr>
      <w:spacing w:after="120"/>
      <w:jc w:val="both"/>
    </w:pPr>
    <w:rPr>
      <w:rFonts w:asciiTheme="minorHAnsi" w:hAnsiTheme="minorHAnsi"/>
    </w:rPr>
  </w:style>
  <w:style w:type="character" w:customStyle="1" w:styleId="BodyTextChar">
    <w:name w:val="Body Text Char"/>
    <w:link w:val="BodyText"/>
    <w:rsid w:val="003A4E95"/>
    <w:rPr>
      <w:rFonts w:asciiTheme="minorHAnsi" w:hAnsiTheme="minorHAnsi" w:cs="Calibri"/>
      <w:sz w:val="22"/>
      <w:szCs w:val="22"/>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Agenda1">
    <w:name w:val="Agenda 1"/>
    <w:basedOn w:val="Normal"/>
    <w:qFormat/>
    <w:rsid w:val="00484701"/>
    <w:pPr>
      <w:tabs>
        <w:tab w:val="num" w:pos="567"/>
      </w:tabs>
      <w:spacing w:before="120" w:after="120"/>
      <w:ind w:left="567" w:hanging="567"/>
      <w:jc w:val="both"/>
    </w:pPr>
    <w:rPr>
      <w:rFonts w:eastAsia="Times New Roman" w:cs="Times New Roman"/>
      <w:szCs w:val="20"/>
      <w:lang w:eastAsia="en-US"/>
    </w:rPr>
  </w:style>
  <w:style w:type="paragraph" w:customStyle="1" w:styleId="Agenda2">
    <w:name w:val="Agenda 2"/>
    <w:basedOn w:val="Normal"/>
    <w:qFormat/>
    <w:rsid w:val="00484701"/>
    <w:pPr>
      <w:tabs>
        <w:tab w:val="num" w:pos="5388"/>
      </w:tabs>
      <w:spacing w:after="60"/>
      <w:ind w:left="5388" w:hanging="851"/>
      <w:jc w:val="both"/>
    </w:pPr>
    <w:rPr>
      <w:rFonts w:eastAsia="MS Mincho" w:cs="Times New Roman"/>
      <w:szCs w:val="24"/>
      <w:lang w:eastAsia="ja-JP"/>
    </w:rPr>
  </w:style>
  <w:style w:type="paragraph" w:customStyle="1" w:styleId="Fonctiondusignataire">
    <w:name w:val="Fonction du signataire"/>
    <w:basedOn w:val="Normal"/>
    <w:qFormat/>
    <w:rsid w:val="00664A1A"/>
    <w:pPr>
      <w:spacing w:line="240" w:lineRule="atLeast"/>
    </w:pPr>
    <w:rPr>
      <w:rFonts w:asciiTheme="minorHAnsi" w:eastAsiaTheme="minorHAnsi" w:hAnsiTheme="minorHAnsi" w:cstheme="minorBidi"/>
      <w:color w:val="EEECE1" w:themeColor="background2"/>
      <w:sz w:val="18"/>
      <w:szCs w:val="20"/>
      <w:lang w:eastAsia="en-US"/>
    </w:rPr>
  </w:style>
  <w:style w:type="table" w:customStyle="1" w:styleId="TableauGrille1Clair-Accentuation11">
    <w:name w:val="Tableau Grille 1 Clair - Accentuation 11"/>
    <w:basedOn w:val="TableNormal"/>
    <w:uiPriority w:val="46"/>
    <w:rsid w:val="00664A1A"/>
    <w:rPr>
      <w:rFonts w:ascii="Times New Roman" w:eastAsia="SimSun" w:hAnsi="Times New Roman"/>
      <w:kern w:val="2"/>
      <w:sz w:val="21"/>
      <w:szCs w:val="22"/>
      <w:lang w:val="en-US" w:eastAsia="zh-CN"/>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NormalWeb">
    <w:name w:val="Normal (Web)"/>
    <w:basedOn w:val="Normal"/>
    <w:uiPriority w:val="99"/>
    <w:semiHidden/>
    <w:unhideWhenUsed/>
    <w:rsid w:val="00E2016D"/>
    <w:rPr>
      <w:rFonts w:ascii="Times New Roman" w:hAnsi="Times New Roman" w:cs="Times New Roman"/>
      <w:sz w:val="24"/>
      <w:szCs w:val="24"/>
    </w:rPr>
  </w:style>
  <w:style w:type="paragraph" w:customStyle="1" w:styleId="Default">
    <w:name w:val="Default"/>
    <w:rsid w:val="004F2108"/>
    <w:pPr>
      <w:autoSpaceDE w:val="0"/>
      <w:autoSpaceDN w:val="0"/>
      <w:adjustRightInd w:val="0"/>
    </w:pPr>
    <w:rPr>
      <w:rFonts w:ascii="Arial" w:hAnsi="Arial" w:cs="Arial"/>
      <w:color w:val="000000"/>
      <w:sz w:val="24"/>
      <w:szCs w:val="24"/>
    </w:rPr>
  </w:style>
  <w:style w:type="character" w:styleId="Strong">
    <w:name w:val="Strong"/>
    <w:basedOn w:val="DefaultParagraphFont"/>
    <w:uiPriority w:val="22"/>
    <w:qFormat/>
    <w:rsid w:val="00985118"/>
    <w:rPr>
      <w:b/>
      <w:bCs/>
    </w:rPr>
  </w:style>
  <w:style w:type="paragraph" w:styleId="Revision">
    <w:name w:val="Revision"/>
    <w:hidden/>
    <w:uiPriority w:val="99"/>
    <w:semiHidden/>
    <w:rsid w:val="00DB1821"/>
    <w:rPr>
      <w:rFonts w:ascii="Arial"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6514415">
      <w:bodyDiv w:val="1"/>
      <w:marLeft w:val="0"/>
      <w:marRight w:val="0"/>
      <w:marTop w:val="0"/>
      <w:marBottom w:val="0"/>
      <w:divBdr>
        <w:top w:val="none" w:sz="0" w:space="0" w:color="auto"/>
        <w:left w:val="none" w:sz="0" w:space="0" w:color="auto"/>
        <w:bottom w:val="none" w:sz="0" w:space="0" w:color="auto"/>
        <w:right w:val="none" w:sz="0" w:space="0" w:color="auto"/>
      </w:divBdr>
    </w:div>
    <w:div w:id="2066297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www.itu.int/wrc-23/en/"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DB6F66C-C654-4FFC-8FEF-2AB02036514C}">
  <ds:schemaRefs>
    <ds:schemaRef ds:uri="http://schemas.openxmlformats.org/officeDocument/2006/bibliography"/>
  </ds:schemaRefs>
</ds:datastoreItem>
</file>

<file path=customXml/itemProps2.xml><?xml version="1.0" encoding="utf-8"?>
<ds:datastoreItem xmlns:ds="http://schemas.openxmlformats.org/officeDocument/2006/customXml" ds:itemID="{43BBDD11-B3B7-46B9-9C04-7486AC6555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5E74AB8-53D8-4850-A8A2-8000BC32B45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771</Words>
  <Characters>4398</Characters>
  <Application>Microsoft Office Word</Application>
  <DocSecurity>0</DocSecurity>
  <Lines>36</Lines>
  <Paragraphs>10</Paragraphs>
  <ScaleCrop>false</ScaleCrop>
  <HeadingPairs>
    <vt:vector size="6" baseType="variant">
      <vt:variant>
        <vt:lpstr>Title</vt:lpstr>
      </vt:variant>
      <vt:variant>
        <vt:i4>1</vt:i4>
      </vt:variant>
      <vt:variant>
        <vt:lpstr>タイトル</vt:lpstr>
      </vt:variant>
      <vt:variant>
        <vt:i4>1</vt:i4>
      </vt:variant>
      <vt:variant>
        <vt:lpstr>Titre</vt:lpstr>
      </vt:variant>
      <vt:variant>
        <vt:i4>1</vt:i4>
      </vt:variant>
    </vt:vector>
  </HeadingPairs>
  <TitlesOfParts>
    <vt:vector size="3" baseType="lpstr">
      <vt:lpstr/>
      <vt:lpstr/>
      <vt:lpstr/>
    </vt:vector>
  </TitlesOfParts>
  <Company/>
  <LinksUpToDate>false</LinksUpToDate>
  <CharactersWithSpaces>5159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Tom Southall</cp:lastModifiedBy>
  <cp:revision>8</cp:revision>
  <cp:lastPrinted>2022-08-30T07:47:00Z</cp:lastPrinted>
  <dcterms:created xsi:type="dcterms:W3CDTF">2022-08-30T07:48:00Z</dcterms:created>
  <dcterms:modified xsi:type="dcterms:W3CDTF">2022-10-04T17:15:00Z</dcterms:modified>
</cp:coreProperties>
</file>