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506C10F" w:rsidR="0080294B" w:rsidRPr="004A1C8C" w:rsidRDefault="00B62AA5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 xml:space="preserve">x 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7F2934A3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B62AA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750947E4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305BD3">
        <w:rPr>
          <w:rFonts w:ascii="Calibri" w:hAnsi="Calibri"/>
          <w:lang w:val="sv-SE"/>
        </w:rPr>
        <w:t>6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18094231" w:rsidR="007755F5" w:rsidRPr="007755F5" w:rsidRDefault="001E26C8" w:rsidP="00B873EA">
      <w:pPr>
        <w:pStyle w:val="Footer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B62AA5">
        <w:rPr>
          <w:rFonts w:asciiTheme="minorHAnsi" w:hAnsiTheme="minorHAnsi" w:cstheme="minorHAnsi"/>
        </w:rPr>
        <w:t>ARM17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 xml:space="preserve">, uploaded to the committee documents area for </w:t>
      </w:r>
      <w:r w:rsidR="00B62AA5">
        <w:rPr>
          <w:rFonts w:asciiTheme="minorHAnsi" w:hAnsiTheme="minorHAnsi" w:cstheme="minorHAnsi"/>
        </w:rPr>
        <w:t>ARM17</w:t>
      </w:r>
      <w:r w:rsidR="00CE6449">
        <w:rPr>
          <w:rFonts w:asciiTheme="minorHAnsi" w:hAnsiTheme="minorHAnsi" w:cstheme="minorHAnsi"/>
        </w:rPr>
        <w:t>, they will also be moved to the fileshare the day before the opening plenary.</w:t>
      </w: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983"/>
        <w:gridCol w:w="997"/>
        <w:gridCol w:w="4961"/>
        <w:gridCol w:w="1701"/>
        <w:gridCol w:w="1276"/>
      </w:tblGrid>
      <w:tr w:rsidR="00B873EA" w:rsidRPr="00B873EA" w14:paraId="352F942B" w14:textId="77777777" w:rsidTr="0023698F">
        <w:trPr>
          <w:trHeight w:val="1380"/>
          <w:tblHeader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7EC7CE88" w14:textId="77777777" w:rsidR="00B873EA" w:rsidRPr="00B873EA" w:rsidRDefault="00B873EA" w:rsidP="00B873E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B873EA">
              <w:rPr>
                <w:rFonts w:ascii="Calibri" w:eastAsia="Times New Roman" w:hAnsi="Calibri"/>
                <w:b/>
                <w:bCs/>
                <w:color w:val="FFFFFF"/>
              </w:rPr>
              <w:t>Meeting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524B3283" w14:textId="77777777" w:rsidR="00B873EA" w:rsidRPr="00B873EA" w:rsidRDefault="00B873EA" w:rsidP="00B873E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B873EA">
              <w:rPr>
                <w:rFonts w:ascii="Calibri" w:eastAsia="Times New Roman" w:hAnsi="Calibri"/>
                <w:b/>
                <w:bCs/>
                <w:color w:val="FFFFFF"/>
              </w:rPr>
              <w:t>Paper Number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29DDB637" w14:textId="77777777" w:rsidR="00B873EA" w:rsidRPr="00B873EA" w:rsidRDefault="00B873EA" w:rsidP="00B873E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B873EA">
              <w:rPr>
                <w:rFonts w:ascii="Calibri" w:eastAsia="Times New Roman" w:hAnsi="Calibri"/>
                <w:b/>
                <w:bCs/>
                <w:color w:val="FFFFFF"/>
              </w:rPr>
              <w:t>Input Paper Title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39A421AA" w14:textId="77777777" w:rsidR="00B873EA" w:rsidRPr="00B873EA" w:rsidRDefault="00B873EA" w:rsidP="00B873E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B873EA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68AC4DBF" w14:textId="7279F558" w:rsidR="00B873EA" w:rsidRPr="00B873EA" w:rsidRDefault="00B873EA" w:rsidP="00B873E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B873EA">
              <w:rPr>
                <w:rFonts w:ascii="Calibri" w:eastAsia="Times New Roman" w:hAnsi="Calibri"/>
                <w:b/>
                <w:bCs/>
                <w:color w:val="FFFFFF"/>
              </w:rPr>
              <w:t>WG</w:t>
            </w:r>
            <w:r>
              <w:rPr>
                <w:rFonts w:ascii="Calibri" w:eastAsia="Times New Roman" w:hAnsi="Calibri"/>
                <w:b/>
                <w:bCs/>
                <w:color w:val="FFFFFF"/>
              </w:rPr>
              <w:t xml:space="preserve"> Allocation</w:t>
            </w:r>
          </w:p>
        </w:tc>
      </w:tr>
      <w:tr w:rsidR="00B873EA" w:rsidRPr="00B873EA" w14:paraId="4CB6F649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41227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6EE3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1.2.1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FB2BD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Provisional Agenda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8BFF2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8519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873EA" w:rsidRPr="00B873EA" w14:paraId="33BB79DB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31F12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BB321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2.1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DEAB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Action Items from ARM16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20C40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F40D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873EA" w:rsidRPr="00B873EA" w14:paraId="5D731976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E85F3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58862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1.4.1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DC78E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Programme of the physical week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D7604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52B8" w14:textId="77777777" w:rsidR="00B873EA" w:rsidRPr="00B873EA" w:rsidRDefault="00B873EA" w:rsidP="00B873EA">
            <w:pPr>
              <w:rPr>
                <w:rFonts w:eastAsia="Times New Roman" w:cs="Arial"/>
                <w:color w:val="000000"/>
              </w:rPr>
            </w:pPr>
            <w:r w:rsidRPr="00B873EA">
              <w:rPr>
                <w:rFonts w:eastAsia="Times New Roman" w:cs="Arial"/>
                <w:color w:val="000000"/>
              </w:rPr>
              <w:t>All</w:t>
            </w:r>
          </w:p>
        </w:tc>
      </w:tr>
      <w:tr w:rsidR="00B873EA" w:rsidRPr="00B873EA" w14:paraId="205F86C0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49BAF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55DEA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3.1.3.1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0D5F0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IALA Conference summary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C42D0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EB52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873EA" w:rsidRPr="00B873EA" w14:paraId="0A63F978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1450D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2BA46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3.2.1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0CBE7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IALA report on IMO NCSR10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0070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7FEA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5F56CF" w:rsidRPr="005F56CF" w14:paraId="355EF5D3" w14:textId="77777777" w:rsidTr="005F56C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9E855" w14:textId="77777777" w:rsidR="005F56CF" w:rsidRPr="005F56CF" w:rsidRDefault="005F56CF" w:rsidP="005F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F56CF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2D9A0" w14:textId="77777777" w:rsidR="005F56CF" w:rsidRPr="005F56CF" w:rsidRDefault="005F56CF" w:rsidP="005F56CF">
            <w:pPr>
              <w:rPr>
                <w:rFonts w:ascii="Calibri" w:eastAsia="Times New Roman" w:hAnsi="Calibri"/>
                <w:color w:val="000000"/>
              </w:rPr>
            </w:pPr>
            <w:r w:rsidRPr="005F56CF">
              <w:rPr>
                <w:rFonts w:ascii="Calibri" w:eastAsia="Times New Roman" w:hAnsi="Calibri"/>
                <w:color w:val="000000"/>
              </w:rPr>
              <w:t>5.1.1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3934F" w14:textId="77777777" w:rsidR="005F56CF" w:rsidRPr="005F56CF" w:rsidRDefault="005F56CF" w:rsidP="005F56CF">
            <w:pPr>
              <w:rPr>
                <w:rFonts w:ascii="Calibri" w:eastAsia="Times New Roman" w:hAnsi="Calibri"/>
                <w:color w:val="000000"/>
              </w:rPr>
            </w:pPr>
            <w:r w:rsidRPr="005F56CF">
              <w:rPr>
                <w:rFonts w:ascii="Calibri" w:eastAsia="Times New Roman" w:hAnsi="Calibri"/>
                <w:color w:val="000000"/>
              </w:rPr>
              <w:t>Committee task plan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722C6" w14:textId="77777777" w:rsidR="005F56CF" w:rsidRPr="005F56CF" w:rsidRDefault="005F56CF" w:rsidP="005F56CF">
            <w:pPr>
              <w:rPr>
                <w:rFonts w:ascii="Calibri" w:eastAsia="Times New Roman" w:hAnsi="Calibri"/>
                <w:color w:val="000000"/>
              </w:rPr>
            </w:pPr>
            <w:r w:rsidRPr="005F56CF">
              <w:rPr>
                <w:rFonts w:ascii="Calibri" w:eastAsia="Times New Roman" w:hAnsi="Calibri"/>
                <w:color w:val="000000"/>
              </w:rPr>
              <w:t>ARM CMT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0768" w14:textId="77777777" w:rsidR="005F56CF" w:rsidRPr="005F56CF" w:rsidRDefault="005F56CF" w:rsidP="005F56CF">
            <w:pPr>
              <w:rPr>
                <w:rFonts w:ascii="Calibri" w:eastAsia="Times New Roman" w:hAnsi="Calibri"/>
                <w:color w:val="000000"/>
              </w:rPr>
            </w:pPr>
            <w:r w:rsidRPr="005F56CF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873EA" w:rsidRPr="00B873EA" w14:paraId="5289886D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632AE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31EFE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6.0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8D1B0" w14:textId="0CBA0B02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Input paper committee meeting template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1177E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0C5A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873EA" w:rsidRPr="00B873EA" w14:paraId="752DDEF8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38C20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368E4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6.1.2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BAE52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Working paper list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B6DAC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349B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873EA" w:rsidRPr="00B873EA" w14:paraId="1E4558E5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FC6ED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F7598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6.2.1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F4008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Liaison note to ARM on definition of nominal range (ENG15-12.1.3)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83778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ENG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B1C9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B873EA" w:rsidRPr="00B873EA" w14:paraId="233C41F7" w14:textId="77777777" w:rsidTr="0023698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FF9BE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CE2D7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6.2.2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70C67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Input paper on OpenRisk 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38B09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 xml:space="preserve">Finnish Transport and Comms Agency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93E9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B873EA" w:rsidRPr="00B873EA" w14:paraId="6C2B7899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9BB5EFF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438344F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6.2.3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B3B5BBD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LN ARM ENG on Technology review MS@MS (DTEC1-12.3.2.1)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F3B65D6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DTEC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4BE861B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WG1 and 2</w:t>
            </w:r>
          </w:p>
        </w:tc>
      </w:tr>
      <w:tr w:rsidR="00B873EA" w:rsidRPr="00B873EA" w14:paraId="17A73312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ABE67A9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59BB5C1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6.2.3.1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1989483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Metal Surface at Magnetic Substance wave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58658E7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DTEC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E0D84A9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WG1 and 2</w:t>
            </w:r>
          </w:p>
        </w:tc>
      </w:tr>
      <w:tr w:rsidR="00B873EA" w:rsidRPr="00B873EA" w14:paraId="1002EEC7" w14:textId="77777777" w:rsidTr="0023698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45EEDC5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8D442D5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6.2.3.2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214BBED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Completed Review of Radio-free wireless comms MS@MS (DTEC1-12.3.2.1.2)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07A1EB5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DTEC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7F8D4A8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WG1 and 2</w:t>
            </w:r>
          </w:p>
        </w:tc>
      </w:tr>
      <w:tr w:rsidR="00D21495" w:rsidRPr="00B873EA" w14:paraId="2E739513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D8FB98C" w14:textId="3FF77EAC" w:rsidR="00D21495" w:rsidRPr="00B873EA" w:rsidRDefault="00D21495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DCE1B02" w14:textId="7C7A4E66" w:rsidR="00D21495" w:rsidRPr="00B873EA" w:rsidRDefault="00D21495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6.2.4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6EEEBD4" w14:textId="5BCAF5C2" w:rsidR="00D21495" w:rsidRPr="00B873EA" w:rsidRDefault="00D21495" w:rsidP="00B873EA">
            <w:pPr>
              <w:rPr>
                <w:rFonts w:ascii="Calibri" w:eastAsia="Times New Roman" w:hAnsi="Calibri"/>
                <w:color w:val="000000"/>
              </w:rPr>
            </w:pPr>
            <w:r w:rsidRPr="00D21495">
              <w:rPr>
                <w:rFonts w:ascii="Calibri" w:eastAsia="Times New Roman" w:hAnsi="Calibri"/>
                <w:color w:val="000000"/>
              </w:rPr>
              <w:t>Water Aerodromes – Areas of Collaboration Between ICAO and IALA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6D9DE2A" w14:textId="178CD6B2" w:rsidR="00D21495" w:rsidRPr="00B873EA" w:rsidRDefault="00D21495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ICAO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F2CA2F0" w14:textId="7162DB5D" w:rsidR="00D21495" w:rsidRPr="00B873EA" w:rsidRDefault="00D21495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AF67EA" w:rsidRPr="00AF67EA" w14:paraId="65D8E27F" w14:textId="77777777" w:rsidTr="00C21618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AC07C8C" w14:textId="77777777" w:rsidR="00AF67EA" w:rsidRPr="00AF67EA" w:rsidRDefault="00AF67EA" w:rsidP="00AF67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AF67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576E4E5" w14:textId="77777777" w:rsidR="00AF67EA" w:rsidRPr="00AF67EA" w:rsidRDefault="00AF67EA" w:rsidP="00AF67EA">
            <w:pPr>
              <w:rPr>
                <w:rFonts w:ascii="Calibri" w:eastAsia="Times New Roman" w:hAnsi="Calibri"/>
                <w:color w:val="000000"/>
              </w:rPr>
            </w:pPr>
            <w:r w:rsidRPr="00AF67EA">
              <w:rPr>
                <w:rFonts w:ascii="Calibri" w:eastAsia="Times New Roman" w:hAnsi="Calibri"/>
                <w:color w:val="000000"/>
              </w:rPr>
              <w:t>6.2.5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D37FD75" w14:textId="77777777" w:rsidR="00AF67EA" w:rsidRPr="00AF67EA" w:rsidRDefault="00AF67EA" w:rsidP="00AF67EA">
            <w:pPr>
              <w:rPr>
                <w:rFonts w:ascii="Calibri" w:eastAsia="Times New Roman" w:hAnsi="Calibri"/>
                <w:color w:val="000000"/>
              </w:rPr>
            </w:pPr>
            <w:r w:rsidRPr="00AF67EA">
              <w:rPr>
                <w:rFonts w:ascii="Calibri" w:eastAsia="Times New Roman" w:hAnsi="Calibri"/>
                <w:color w:val="000000"/>
              </w:rPr>
              <w:t>NIPWG10 outcomes relevant to IALA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8034A4A" w14:textId="77777777" w:rsidR="00AF67EA" w:rsidRPr="00AF67EA" w:rsidRDefault="00AF67EA" w:rsidP="00AF67EA">
            <w:pPr>
              <w:rPr>
                <w:rFonts w:ascii="Calibri" w:eastAsia="Times New Roman" w:hAnsi="Calibri"/>
                <w:color w:val="000000"/>
              </w:rPr>
            </w:pPr>
            <w:r w:rsidRPr="00AF67EA">
              <w:rPr>
                <w:rFonts w:ascii="Calibri" w:eastAsia="Times New Roman" w:hAnsi="Calibri"/>
                <w:color w:val="000000"/>
              </w:rPr>
              <w:t>IHO-NIPWG Chair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1460274" w14:textId="77777777" w:rsidR="00AF67EA" w:rsidRPr="00AF67EA" w:rsidRDefault="00AF67EA" w:rsidP="00AF67EA">
            <w:pPr>
              <w:rPr>
                <w:rFonts w:ascii="Calibri" w:eastAsia="Times New Roman" w:hAnsi="Calibri"/>
                <w:color w:val="000000"/>
              </w:rPr>
            </w:pPr>
            <w:r w:rsidRPr="00AF67E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960B53" w:rsidRPr="00960B53" w14:paraId="780B10A4" w14:textId="77777777" w:rsidTr="00960B53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6400E08" w14:textId="77777777" w:rsidR="00960B53" w:rsidRPr="00960B53" w:rsidRDefault="00960B53" w:rsidP="00960B53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960B53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2674777" w14:textId="77777777" w:rsidR="00960B53" w:rsidRPr="00960B53" w:rsidRDefault="00960B53" w:rsidP="00960B53">
            <w:pPr>
              <w:rPr>
                <w:rFonts w:ascii="Calibri" w:eastAsia="Times New Roman" w:hAnsi="Calibri"/>
                <w:color w:val="000000"/>
              </w:rPr>
            </w:pPr>
            <w:r w:rsidRPr="00960B53">
              <w:rPr>
                <w:rFonts w:ascii="Calibri" w:eastAsia="Times New Roman" w:hAnsi="Calibri"/>
                <w:color w:val="000000"/>
              </w:rPr>
              <w:t>6.2.6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F2D4BC4" w14:textId="77777777" w:rsidR="00960B53" w:rsidRPr="00960B53" w:rsidRDefault="00960B53" w:rsidP="00960B53">
            <w:pPr>
              <w:rPr>
                <w:rFonts w:ascii="Calibri" w:eastAsia="Times New Roman" w:hAnsi="Calibri"/>
                <w:color w:val="000000"/>
              </w:rPr>
            </w:pPr>
            <w:r w:rsidRPr="00960B53">
              <w:rPr>
                <w:rFonts w:ascii="Calibri" w:eastAsia="Times New Roman" w:hAnsi="Calibri"/>
                <w:color w:val="000000"/>
              </w:rPr>
              <w:t>Liaison note to ARM on General Overview of Floating AtoN (ENG17-13.1.2)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7C06623" w14:textId="77777777" w:rsidR="00960B53" w:rsidRPr="00960B53" w:rsidRDefault="00960B53" w:rsidP="00960B53">
            <w:pPr>
              <w:rPr>
                <w:rFonts w:ascii="Calibri" w:eastAsia="Times New Roman" w:hAnsi="Calibri"/>
                <w:color w:val="000000"/>
              </w:rPr>
            </w:pPr>
            <w:r w:rsidRPr="00960B53">
              <w:rPr>
                <w:rFonts w:ascii="Calibri" w:eastAsia="Times New Roman" w:hAnsi="Calibri"/>
                <w:color w:val="000000"/>
              </w:rPr>
              <w:t>ENG17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B1B0E94" w14:textId="77777777" w:rsidR="00960B53" w:rsidRPr="00960B53" w:rsidRDefault="00960B53" w:rsidP="00960B53">
            <w:pPr>
              <w:rPr>
                <w:rFonts w:ascii="Calibri" w:eastAsia="Times New Roman" w:hAnsi="Calibri"/>
                <w:color w:val="000000"/>
              </w:rPr>
            </w:pPr>
            <w:r w:rsidRPr="00960B5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B873EA" w:rsidRPr="00B873EA" w14:paraId="4369CE1A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EEF2E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A9BF8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7.2.1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E2DEC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LN to ARM on Quality Management System for VTS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46C61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VTS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C789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B873EA" w:rsidRPr="00B873EA" w14:paraId="03AB2887" w14:textId="77777777" w:rsidTr="0023698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49489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3247C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7.2.2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B8549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Proposals on the Revision of IALA Guideline 1052 on Quality Management Systems for Aids to Navigation Service Delivery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50C00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249B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B873EA" w:rsidRPr="00B873EA" w14:paraId="1194FE9F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E6AD4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53229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7.3.1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2455C" w14:textId="77777777" w:rsidR="00B873EA" w:rsidRPr="00B873EA" w:rsidRDefault="00B873EA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Liaison note to ARM regarding Buoy Tender Crew Training (ENG16-12.2.5)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B94A4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ENG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3696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B873EA" w:rsidRPr="00B873EA" w14:paraId="63B7DBE0" w14:textId="77777777" w:rsidTr="0023698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BF8E358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lastRenderedPageBreak/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63668AF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7.3.2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05AC083" w14:textId="77777777" w:rsidR="00B873EA" w:rsidRPr="00B873EA" w:rsidRDefault="00B873EA" w:rsidP="00B873EA">
            <w:pPr>
              <w:jc w:val="both"/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LN ARM ENG on Developments on the Maritime Internet of Things (DTEC1-12.3.2.2)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498519C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DTEC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27F965A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WG1 and 2</w:t>
            </w:r>
          </w:p>
        </w:tc>
      </w:tr>
      <w:tr w:rsidR="00C34C24" w:rsidRPr="00C34C24" w14:paraId="178D340F" w14:textId="77777777" w:rsidTr="0023698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CCEF3B5" w14:textId="77777777" w:rsidR="00C34C24" w:rsidRPr="00C34C24" w:rsidRDefault="00C34C24" w:rsidP="00C34C24">
            <w:pPr>
              <w:jc w:val="right"/>
              <w:rPr>
                <w:rFonts w:ascii="Calibri" w:eastAsia="Times New Roman" w:hAnsi="Calibri"/>
              </w:rPr>
            </w:pPr>
            <w:r w:rsidRPr="00C34C24">
              <w:rPr>
                <w:rFonts w:ascii="Calibri" w:eastAsia="Times New Roman" w:hAnsi="Calibri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A687186" w14:textId="77777777" w:rsidR="00C34C24" w:rsidRPr="00C34C24" w:rsidRDefault="00C34C24" w:rsidP="00C34C24">
            <w:pPr>
              <w:rPr>
                <w:rFonts w:ascii="Calibri" w:eastAsia="Times New Roman" w:hAnsi="Calibri"/>
              </w:rPr>
            </w:pPr>
            <w:r w:rsidRPr="00C34C24">
              <w:rPr>
                <w:rFonts w:ascii="Calibri" w:eastAsia="Times New Roman" w:hAnsi="Calibri"/>
              </w:rPr>
              <w:t>7.3.3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3D7F23B" w14:textId="77777777" w:rsidR="00C34C24" w:rsidRPr="00C34C24" w:rsidRDefault="00C34C24" w:rsidP="00C34C24">
            <w:pPr>
              <w:jc w:val="both"/>
              <w:rPr>
                <w:rFonts w:ascii="Calibri" w:eastAsia="Times New Roman" w:hAnsi="Calibri"/>
              </w:rPr>
            </w:pPr>
            <w:r w:rsidRPr="00C34C24">
              <w:rPr>
                <w:rFonts w:ascii="Calibri" w:eastAsia="Times New Roman" w:hAnsi="Calibri"/>
              </w:rPr>
              <w:t>Enhancement of AtoN training within STCW framework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E747F07" w14:textId="77777777" w:rsidR="00C34C24" w:rsidRPr="00C34C24" w:rsidRDefault="00C34C24" w:rsidP="00C34C24">
            <w:pPr>
              <w:rPr>
                <w:rFonts w:ascii="Calibri" w:eastAsia="Times New Roman" w:hAnsi="Calibri"/>
              </w:rPr>
            </w:pPr>
            <w:r w:rsidRPr="00C34C24">
              <w:rPr>
                <w:rFonts w:ascii="Calibri" w:eastAsia="Times New Roman" w:hAnsi="Calibri"/>
              </w:rPr>
              <w:t>Secretariat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639EEDC" w14:textId="77777777" w:rsidR="00C34C24" w:rsidRPr="00C34C24" w:rsidRDefault="00C34C24" w:rsidP="00C34C24">
            <w:pPr>
              <w:rPr>
                <w:rFonts w:ascii="Calibri" w:eastAsia="Times New Roman" w:hAnsi="Calibri"/>
              </w:rPr>
            </w:pPr>
            <w:r w:rsidRPr="00C34C24">
              <w:rPr>
                <w:rFonts w:ascii="Calibri" w:eastAsia="Times New Roman" w:hAnsi="Calibri"/>
              </w:rPr>
              <w:t>WG1</w:t>
            </w:r>
          </w:p>
        </w:tc>
      </w:tr>
      <w:tr w:rsidR="007305EB" w:rsidRPr="00B873EA" w14:paraId="6904CCCA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7B82660" w14:textId="528A09E2" w:rsidR="007305EB" w:rsidRPr="00B873EA" w:rsidRDefault="007305EB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EA4D4D7" w14:textId="4DDB8264" w:rsidR="007305EB" w:rsidRPr="00B873EA" w:rsidRDefault="007305EB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7.3.4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4861D23" w14:textId="4438B3F1" w:rsidR="007305EB" w:rsidRPr="00B873EA" w:rsidRDefault="007305EB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7305EB">
              <w:rPr>
                <w:rFonts w:ascii="Calibri" w:eastAsia="Times New Roman" w:hAnsi="Calibri"/>
                <w:color w:val="000000"/>
              </w:rPr>
              <w:t>Proposal for guideline on design of buoy tender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818AA2C" w14:textId="1413AD46" w:rsidR="007305EB" w:rsidRPr="00B873EA" w:rsidRDefault="007305EB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5452763" w14:textId="65E62C3B" w:rsidR="007305EB" w:rsidRPr="00B873EA" w:rsidRDefault="007305EB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B873EA" w:rsidRPr="00B873EA" w14:paraId="7A94A8C2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B10C5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F1ABA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 xml:space="preserve">7.7.1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11E26" w14:textId="77777777" w:rsidR="00B873EA" w:rsidRPr="00B873EA" w:rsidRDefault="00B873EA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Input paper on Navigating around OREI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E63B5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Trinity House and AMSA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F0AB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B873EA" w:rsidRPr="00B873EA" w14:paraId="1F332D8A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B161C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BFEED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8.4.1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F79E7" w14:textId="77777777" w:rsidR="00B873EA" w:rsidRPr="00B873EA" w:rsidRDefault="00B873EA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Proposal for portrayal of Updated Data Method of S125 on ECDIS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46869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67A7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0D7103" w:rsidRPr="00B873EA" w14:paraId="50BF7C3B" w14:textId="77777777" w:rsidTr="0023698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2C37F4B" w14:textId="2ED4D3CA" w:rsidR="000D7103" w:rsidRPr="00B873EA" w:rsidRDefault="000D7103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0F7392F" w14:textId="131F51D1" w:rsidR="000D7103" w:rsidRPr="00B873EA" w:rsidRDefault="000D7103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8.4.2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759B138" w14:textId="28276F71" w:rsidR="000D7103" w:rsidRPr="00B873EA" w:rsidRDefault="0023698F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23698F">
              <w:rPr>
                <w:rFonts w:ascii="Calibri" w:eastAsia="Times New Roman" w:hAnsi="Calibri"/>
                <w:color w:val="000000"/>
              </w:rPr>
              <w:t>Demonstration of Aton Service based on S-124 S-125 data model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6F06F76" w14:textId="1AE12F87" w:rsidR="000D7103" w:rsidRPr="00B873EA" w:rsidRDefault="000D7103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KRISO et 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0F0CB99" w14:textId="36F9A5D4" w:rsidR="000D7103" w:rsidRPr="00B873EA" w:rsidRDefault="000D7103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0F73D4" w:rsidRPr="00B873EA" w14:paraId="4FE0A9E1" w14:textId="77777777" w:rsidTr="009373D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54651D1" w14:textId="129808CA" w:rsidR="000F73D4" w:rsidRPr="00B873EA" w:rsidRDefault="000F73D4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5BD99D1" w14:textId="2DEF6F2F" w:rsidR="000F73D4" w:rsidRPr="00B873EA" w:rsidRDefault="000F73D4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8.4.3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5C2A710" w14:textId="40E06B52" w:rsidR="000F73D4" w:rsidRPr="00B873EA" w:rsidRDefault="00F87B1E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F87B1E">
              <w:rPr>
                <w:rFonts w:ascii="Calibri" w:eastAsia="Times New Roman" w:hAnsi="Calibri"/>
                <w:color w:val="000000"/>
              </w:rPr>
              <w:t>S-200 testbed comments and Proposed Aton Portal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78FFD3C" w14:textId="6FF93FA4" w:rsidR="000F73D4" w:rsidRPr="00B873EA" w:rsidRDefault="000F73D4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KRISO</w:t>
            </w:r>
            <w:r w:rsidR="00F87B1E">
              <w:rPr>
                <w:rFonts w:ascii="Calibri" w:eastAsia="Times New Roman" w:hAnsi="Calibri"/>
                <w:color w:val="000000"/>
              </w:rPr>
              <w:t xml:space="preserve"> et 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9F2BA44" w14:textId="6E82DD5B" w:rsidR="000F73D4" w:rsidRPr="00B873EA" w:rsidRDefault="000F73D4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0F73D4" w:rsidRPr="00B873EA" w14:paraId="6E65D87E" w14:textId="77777777" w:rsidTr="009373D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7E42D85" w14:textId="1E769916" w:rsidR="000F73D4" w:rsidRPr="00B873EA" w:rsidRDefault="000F73D4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7B2FD7D" w14:textId="6C21876A" w:rsidR="000F73D4" w:rsidRPr="00B873EA" w:rsidRDefault="000F73D4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8.4.3.1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8B38AC4" w14:textId="01873FC1" w:rsidR="000F73D4" w:rsidRPr="00B873EA" w:rsidRDefault="00F87B1E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F87B1E">
              <w:rPr>
                <w:rFonts w:ascii="Calibri" w:eastAsia="Times New Roman" w:hAnsi="Calibri"/>
                <w:color w:val="000000"/>
              </w:rPr>
              <w:t>S-200 testbed comments and Proposed Aton Portal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  <w:r w:rsidRPr="00F87B1E">
              <w:rPr>
                <w:rFonts w:ascii="Calibri" w:eastAsia="Times New Roman" w:hAnsi="Calibri"/>
                <w:color w:val="000000"/>
              </w:rPr>
              <w:t>(Annex)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ADF397A" w14:textId="3A4923BA" w:rsidR="000F73D4" w:rsidRPr="00B873EA" w:rsidRDefault="000F73D4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KRISO</w:t>
            </w:r>
            <w:r w:rsidR="00F87B1E">
              <w:rPr>
                <w:rFonts w:ascii="Calibri" w:eastAsia="Times New Roman" w:hAnsi="Calibri"/>
                <w:color w:val="000000"/>
              </w:rPr>
              <w:t xml:space="preserve"> et 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0ACC09B" w14:textId="43227A3B" w:rsidR="000F73D4" w:rsidRPr="00B873EA" w:rsidRDefault="000F73D4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4D6E63" w:rsidRPr="00B873EA" w14:paraId="3C426865" w14:textId="77777777" w:rsidTr="009373D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1E1CF42" w14:textId="57275E6E" w:rsidR="004D6E63" w:rsidRPr="00B873EA" w:rsidRDefault="004D6E63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ED8C9DB" w14:textId="5CD9F5B9" w:rsidR="004D6E63" w:rsidRPr="00B873EA" w:rsidRDefault="004D6E63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8.4.4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DC496D8" w14:textId="57AD15EA" w:rsidR="004D6E63" w:rsidRPr="00B873EA" w:rsidRDefault="00A54024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A54024">
              <w:rPr>
                <w:rFonts w:ascii="Calibri" w:eastAsia="Times New Roman" w:hAnsi="Calibri"/>
                <w:color w:val="000000"/>
              </w:rPr>
              <w:t>Discussion on IHO S-125 Comments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9DBD6D3" w14:textId="359846E1" w:rsidR="004D6E63" w:rsidRPr="00B873EA" w:rsidRDefault="004D6E63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KRISO et 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1CD4E53" w14:textId="2C365123" w:rsidR="004D6E63" w:rsidRPr="00B873EA" w:rsidRDefault="004D6E63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A54024" w:rsidRPr="00B873EA" w14:paraId="33E4B125" w14:textId="77777777" w:rsidTr="009373D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F138AFD" w14:textId="7B4EB363" w:rsidR="00A54024" w:rsidRPr="00B873EA" w:rsidRDefault="00A54024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BC7F02A" w14:textId="0BA6A675" w:rsidR="00A54024" w:rsidRPr="00B873EA" w:rsidRDefault="00A54024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8.4.4.1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0555699" w14:textId="585814D0" w:rsidR="00A54024" w:rsidRPr="00B873EA" w:rsidRDefault="00547D1F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547D1F">
              <w:rPr>
                <w:rFonts w:ascii="Calibri" w:eastAsia="Times New Roman" w:hAnsi="Calibri"/>
                <w:color w:val="000000"/>
              </w:rPr>
              <w:t>Discussion on IHO S-125 Comments (Annex)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4E7EF2C" w14:textId="37E7AECC" w:rsidR="00A54024" w:rsidRPr="00B873EA" w:rsidRDefault="00A54024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KRISO et 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0CF1851" w14:textId="12AB40F9" w:rsidR="00A54024" w:rsidRPr="00B873EA" w:rsidRDefault="00A54024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217E71" w:rsidRPr="00B873EA" w14:paraId="20B1329D" w14:textId="77777777" w:rsidTr="009373D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37D59F1" w14:textId="7A1FA9B9" w:rsidR="00217E71" w:rsidRPr="00B873EA" w:rsidRDefault="00217E71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AF061F8" w14:textId="52AB748D" w:rsidR="00217E71" w:rsidRPr="00B873EA" w:rsidRDefault="00217E71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8.4.5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2EB44C1" w14:textId="0F282B1A" w:rsidR="00217E71" w:rsidRPr="00B873EA" w:rsidRDefault="004369B6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4369B6">
              <w:rPr>
                <w:rFonts w:ascii="Calibri" w:eastAsia="Times New Roman" w:hAnsi="Calibri"/>
                <w:color w:val="000000"/>
              </w:rPr>
              <w:t>Proposal of converting S-201 to IALA guideline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6B97BE7" w14:textId="6CF48860" w:rsidR="00217E71" w:rsidRPr="00B873EA" w:rsidRDefault="004369B6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KRISO et 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4D313F3" w14:textId="323DE006" w:rsidR="00217E71" w:rsidRPr="00B873EA" w:rsidRDefault="004369B6" w:rsidP="00B873E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B873EA" w:rsidRPr="00B873EA" w14:paraId="299AB85B" w14:textId="77777777" w:rsidTr="0023698F">
        <w:trPr>
          <w:trHeight w:val="590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6BFA2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2672E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8.7.1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D302F" w14:textId="77777777" w:rsidR="00B873EA" w:rsidRPr="00B873EA" w:rsidRDefault="00B873EA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Liaison note from VTS to ARM and DTEC on cyber security guideline (VTS54-12.3.1)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3C69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VTS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70F8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B873EA" w:rsidRPr="00B873EA" w14:paraId="3B1413B3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F41DE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EAE14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8.7.1.1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8F33B" w14:textId="77777777" w:rsidR="00B873EA" w:rsidRPr="00B873EA" w:rsidRDefault="00B873EA" w:rsidP="00B873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Revised Draft Guideline on Cyber Security (VTS54-12.3.1.1)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0097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VTS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78C0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B873EA" w:rsidRPr="00B873EA" w14:paraId="4796B302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C448B7A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CA78BCE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8.7.2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2AB386E" w14:textId="77777777" w:rsidR="00B873EA" w:rsidRPr="00B873EA" w:rsidRDefault="00B873EA" w:rsidP="00B873EA">
            <w:pPr>
              <w:jc w:val="both"/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LN ARM ENG on Cyber Security guideline (DTEC1-12.3.1.1)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DA07839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DTEC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0311F9E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WG2</w:t>
            </w:r>
          </w:p>
        </w:tc>
      </w:tr>
      <w:tr w:rsidR="00B873EA" w:rsidRPr="00B873EA" w14:paraId="53BAF886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B5E3FEB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9C725A9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8.7.2.1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7FCB803" w14:textId="77777777" w:rsidR="00B873EA" w:rsidRPr="00B873EA" w:rsidRDefault="00B873EA" w:rsidP="00B873EA">
            <w:pPr>
              <w:jc w:val="both"/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Draft Guideline on Cyber Security (DTEC1-12.3.1.1.1)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52C08FB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DTEC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5616060" w14:textId="77777777" w:rsidR="00B873EA" w:rsidRPr="00B873EA" w:rsidRDefault="00B873EA" w:rsidP="00B873EA">
            <w:pPr>
              <w:rPr>
                <w:rFonts w:ascii="Calibri" w:eastAsia="Times New Roman" w:hAnsi="Calibri"/>
              </w:rPr>
            </w:pPr>
            <w:r w:rsidRPr="00B873EA">
              <w:rPr>
                <w:rFonts w:ascii="Calibri" w:eastAsia="Times New Roman" w:hAnsi="Calibri"/>
              </w:rPr>
              <w:t>WG2</w:t>
            </w:r>
          </w:p>
        </w:tc>
      </w:tr>
      <w:tr w:rsidR="00947074" w:rsidRPr="00B873EA" w14:paraId="76895C89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8FF4F4D" w14:textId="520A65B0" w:rsidR="00947074" w:rsidRPr="00B873EA" w:rsidRDefault="00947074" w:rsidP="00B873EA">
            <w:pPr>
              <w:jc w:val="right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592031C" w14:textId="77BB621B" w:rsidR="00947074" w:rsidRPr="00B873EA" w:rsidRDefault="00947074" w:rsidP="00B873EA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8.7.3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D8DFD40" w14:textId="2BE9E4F1" w:rsidR="00947074" w:rsidRPr="00B873EA" w:rsidRDefault="00812779" w:rsidP="00B873EA">
            <w:pPr>
              <w:jc w:val="both"/>
              <w:rPr>
                <w:rFonts w:ascii="Calibri" w:eastAsia="Times New Roman" w:hAnsi="Calibri"/>
              </w:rPr>
            </w:pPr>
            <w:r w:rsidRPr="00812779">
              <w:rPr>
                <w:rFonts w:ascii="Calibri" w:eastAsia="Times New Roman" w:hAnsi="Calibri"/>
              </w:rPr>
              <w:t>Liaison note to ARM on the progress of cyber security tasks (ENG17-13.1.3)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B393CF1" w14:textId="3EE5D30F" w:rsidR="00947074" w:rsidRPr="00B873EA" w:rsidRDefault="000D299D" w:rsidP="00B873EA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ENG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DE3C857" w14:textId="741EEDA4" w:rsidR="00947074" w:rsidRPr="00B873EA" w:rsidRDefault="000D299D" w:rsidP="00B873EA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WG2</w:t>
            </w:r>
          </w:p>
        </w:tc>
      </w:tr>
      <w:tr w:rsidR="001E6029" w:rsidRPr="00B873EA" w14:paraId="281E5A8C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894515E" w14:textId="7B29B7FB" w:rsidR="001E6029" w:rsidRDefault="001E6029" w:rsidP="00B873EA">
            <w:pPr>
              <w:jc w:val="right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D0260F5" w14:textId="218793D6" w:rsidR="001E6029" w:rsidRDefault="001E6029" w:rsidP="00B873EA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8.7.3.1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F4E80BA" w14:textId="69E7072A" w:rsidR="001E6029" w:rsidRPr="00812779" w:rsidRDefault="001E6029" w:rsidP="00B873EA">
            <w:pPr>
              <w:jc w:val="both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 xml:space="preserve">ENG comments on </w:t>
            </w:r>
            <w:r w:rsidR="004F0A7B">
              <w:rPr>
                <w:rFonts w:ascii="Calibri" w:eastAsia="Times New Roman" w:hAnsi="Calibri"/>
              </w:rPr>
              <w:t xml:space="preserve">draft </w:t>
            </w:r>
            <w:r>
              <w:rPr>
                <w:rFonts w:ascii="Calibri" w:eastAsia="Times New Roman" w:hAnsi="Calibri"/>
              </w:rPr>
              <w:t>cyber security</w:t>
            </w:r>
            <w:r w:rsidR="004F0A7B">
              <w:rPr>
                <w:rFonts w:ascii="Calibri" w:eastAsia="Times New Roman" w:hAnsi="Calibri"/>
              </w:rPr>
              <w:t xml:space="preserve"> guideline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1AD44BA" w14:textId="08375002" w:rsidR="001E6029" w:rsidRDefault="001E6029" w:rsidP="00B873EA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ENG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F324F70" w14:textId="04E54472" w:rsidR="001E6029" w:rsidRDefault="001E6029" w:rsidP="00B873EA">
            <w:pPr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WG2</w:t>
            </w:r>
          </w:p>
        </w:tc>
      </w:tr>
      <w:tr w:rsidR="00B873EA" w:rsidRPr="00B873EA" w14:paraId="6759FB83" w14:textId="77777777" w:rsidTr="0023698F">
        <w:trPr>
          <w:trHeight w:val="295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D089E" w14:textId="77777777" w:rsidR="00B873EA" w:rsidRPr="00B873EA" w:rsidRDefault="00B873EA" w:rsidP="00B873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ARM17-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06A5E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9.1.1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D713D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Input paper on cost benefit techniques research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E09E0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IALA WWA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B29D" w14:textId="77777777" w:rsidR="00B873EA" w:rsidRPr="00B873EA" w:rsidRDefault="00B873EA" w:rsidP="00B873EA">
            <w:pPr>
              <w:rPr>
                <w:rFonts w:ascii="Calibri" w:eastAsia="Times New Roman" w:hAnsi="Calibri"/>
                <w:color w:val="000000"/>
              </w:rPr>
            </w:pPr>
            <w:r w:rsidRPr="00B873E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8E51" w14:textId="77777777" w:rsidR="00AA7F5C" w:rsidRDefault="00AA7F5C" w:rsidP="00362CD9">
      <w:r>
        <w:separator/>
      </w:r>
    </w:p>
  </w:endnote>
  <w:endnote w:type="continuationSeparator" w:id="0">
    <w:p w14:paraId="6F194D53" w14:textId="77777777" w:rsidR="00AA7F5C" w:rsidRDefault="00AA7F5C" w:rsidP="00362CD9">
      <w:r>
        <w:continuationSeparator/>
      </w:r>
    </w:p>
  </w:endnote>
  <w:endnote w:type="continuationNotice" w:id="1">
    <w:p w14:paraId="14D423A3" w14:textId="77777777" w:rsidR="00AA7F5C" w:rsidRDefault="00AA7F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D2A38" w14:textId="77777777" w:rsidR="00AA7F5C" w:rsidRDefault="00AA7F5C" w:rsidP="00362CD9">
      <w:r>
        <w:separator/>
      </w:r>
    </w:p>
  </w:footnote>
  <w:footnote w:type="continuationSeparator" w:id="0">
    <w:p w14:paraId="218E10FF" w14:textId="77777777" w:rsidR="00AA7F5C" w:rsidRDefault="00AA7F5C" w:rsidP="00362CD9">
      <w:r>
        <w:continuationSeparator/>
      </w:r>
    </w:p>
  </w:footnote>
  <w:footnote w:type="continuationNotice" w:id="1">
    <w:p w14:paraId="37DFE29A" w14:textId="77777777" w:rsidR="00AA7F5C" w:rsidRDefault="00AA7F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5C55" w14:textId="381DFA12" w:rsidR="008221A2" w:rsidRPr="008221A2" w:rsidRDefault="008221A2" w:rsidP="00FC1723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2AA5">
      <w:rPr>
        <w:rFonts w:ascii="Calibri" w:hAnsi="Calibri"/>
      </w:rPr>
      <w:t>ARM17</w:t>
    </w:r>
    <w:r>
      <w:rPr>
        <w:rFonts w:ascii="Calibri" w:hAnsi="Calibri"/>
      </w:rPr>
      <w:t>-</w:t>
    </w:r>
    <w:r w:rsidR="00305BD3">
      <w:rPr>
        <w:rFonts w:ascii="Calibri" w:hAnsi="Calibri"/>
      </w:rPr>
      <w:t>6</w:t>
    </w:r>
    <w:r>
      <w:rPr>
        <w:rFonts w:ascii="Calibri" w:hAnsi="Calibri"/>
      </w:rPr>
      <w:t>.1.1</w:t>
    </w:r>
    <w:r>
      <w:rPr>
        <w:rFonts w:ascii="Calibri" w:hAnsi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1489410">
    <w:abstractNumId w:val="19"/>
  </w:num>
  <w:num w:numId="2" w16cid:durableId="2072846301">
    <w:abstractNumId w:val="15"/>
  </w:num>
  <w:num w:numId="3" w16cid:durableId="737702248">
    <w:abstractNumId w:val="2"/>
  </w:num>
  <w:num w:numId="4" w16cid:durableId="1361737625">
    <w:abstractNumId w:val="22"/>
  </w:num>
  <w:num w:numId="5" w16cid:durableId="1811088680">
    <w:abstractNumId w:val="11"/>
  </w:num>
  <w:num w:numId="6" w16cid:durableId="1600942840">
    <w:abstractNumId w:val="8"/>
  </w:num>
  <w:num w:numId="7" w16cid:durableId="779422334">
    <w:abstractNumId w:val="17"/>
  </w:num>
  <w:num w:numId="8" w16cid:durableId="1179152959">
    <w:abstractNumId w:val="16"/>
  </w:num>
  <w:num w:numId="9" w16cid:durableId="1213495104">
    <w:abstractNumId w:val="21"/>
  </w:num>
  <w:num w:numId="10" w16cid:durableId="1026784363">
    <w:abstractNumId w:val="6"/>
  </w:num>
  <w:num w:numId="11" w16cid:durableId="1790120374">
    <w:abstractNumId w:val="18"/>
  </w:num>
  <w:num w:numId="12" w16cid:durableId="1066535703">
    <w:abstractNumId w:val="13"/>
  </w:num>
  <w:num w:numId="13" w16cid:durableId="530151342">
    <w:abstractNumId w:val="12"/>
  </w:num>
  <w:num w:numId="14" w16cid:durableId="1171261959">
    <w:abstractNumId w:val="4"/>
  </w:num>
  <w:num w:numId="15" w16cid:durableId="1358505014">
    <w:abstractNumId w:val="14"/>
  </w:num>
  <w:num w:numId="16" w16cid:durableId="917128718">
    <w:abstractNumId w:val="0"/>
  </w:num>
  <w:num w:numId="17" w16cid:durableId="838886231">
    <w:abstractNumId w:val="20"/>
  </w:num>
  <w:num w:numId="18" w16cid:durableId="376784719">
    <w:abstractNumId w:val="5"/>
  </w:num>
  <w:num w:numId="19" w16cid:durableId="1739933471">
    <w:abstractNumId w:val="9"/>
  </w:num>
  <w:num w:numId="20" w16cid:durableId="532809135">
    <w:abstractNumId w:val="3"/>
  </w:num>
  <w:num w:numId="21" w16cid:durableId="1187331610">
    <w:abstractNumId w:val="7"/>
  </w:num>
  <w:num w:numId="22" w16cid:durableId="2039354741">
    <w:abstractNumId w:val="4"/>
  </w:num>
  <w:num w:numId="23" w16cid:durableId="1859195696">
    <w:abstractNumId w:val="4"/>
  </w:num>
  <w:num w:numId="24" w16cid:durableId="1673795226">
    <w:abstractNumId w:val="4"/>
  </w:num>
  <w:num w:numId="25" w16cid:durableId="1100487853">
    <w:abstractNumId w:val="4"/>
  </w:num>
  <w:num w:numId="26" w16cid:durableId="589656553">
    <w:abstractNumId w:val="4"/>
  </w:num>
  <w:num w:numId="27" w16cid:durableId="1944143327">
    <w:abstractNumId w:val="4"/>
  </w:num>
  <w:num w:numId="28" w16cid:durableId="247422695">
    <w:abstractNumId w:val="10"/>
  </w:num>
  <w:num w:numId="29" w16cid:durableId="290672013">
    <w:abstractNumId w:val="4"/>
  </w:num>
  <w:num w:numId="30" w16cid:durableId="688415637">
    <w:abstractNumId w:val="1"/>
  </w:num>
  <w:num w:numId="31" w16cid:durableId="1419987272">
    <w:abstractNumId w:val="4"/>
  </w:num>
  <w:num w:numId="32" w16cid:durableId="29451909">
    <w:abstractNumId w:val="4"/>
  </w:num>
  <w:num w:numId="33" w16cid:durableId="859708791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8A1"/>
    <w:rsid w:val="000049D8"/>
    <w:rsid w:val="00004E2D"/>
    <w:rsid w:val="0001003A"/>
    <w:rsid w:val="00010AC9"/>
    <w:rsid w:val="000112ED"/>
    <w:rsid w:val="00016250"/>
    <w:rsid w:val="00022BB1"/>
    <w:rsid w:val="00025E48"/>
    <w:rsid w:val="00027674"/>
    <w:rsid w:val="00030AAB"/>
    <w:rsid w:val="00032C3C"/>
    <w:rsid w:val="00036B9E"/>
    <w:rsid w:val="00037DF4"/>
    <w:rsid w:val="000432D0"/>
    <w:rsid w:val="00046887"/>
    <w:rsid w:val="0004700E"/>
    <w:rsid w:val="00050B4F"/>
    <w:rsid w:val="0005655D"/>
    <w:rsid w:val="00060A64"/>
    <w:rsid w:val="00062283"/>
    <w:rsid w:val="00062A4E"/>
    <w:rsid w:val="00070C13"/>
    <w:rsid w:val="000715C9"/>
    <w:rsid w:val="000730BC"/>
    <w:rsid w:val="0007327A"/>
    <w:rsid w:val="000800D4"/>
    <w:rsid w:val="00082F1F"/>
    <w:rsid w:val="00083267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0AAB"/>
    <w:rsid w:val="000C1B3E"/>
    <w:rsid w:val="000C390D"/>
    <w:rsid w:val="000C3D6C"/>
    <w:rsid w:val="000C4CB7"/>
    <w:rsid w:val="000C6F3A"/>
    <w:rsid w:val="000D299D"/>
    <w:rsid w:val="000D5C5F"/>
    <w:rsid w:val="000D7103"/>
    <w:rsid w:val="000E03A2"/>
    <w:rsid w:val="000E1ABA"/>
    <w:rsid w:val="000E2294"/>
    <w:rsid w:val="000E484F"/>
    <w:rsid w:val="000E7F7A"/>
    <w:rsid w:val="000F36A7"/>
    <w:rsid w:val="000F56E3"/>
    <w:rsid w:val="000F73D4"/>
    <w:rsid w:val="00102052"/>
    <w:rsid w:val="00102312"/>
    <w:rsid w:val="00110AE7"/>
    <w:rsid w:val="0011534B"/>
    <w:rsid w:val="00130589"/>
    <w:rsid w:val="00135BCD"/>
    <w:rsid w:val="0013638C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82665"/>
    <w:rsid w:val="001920C1"/>
    <w:rsid w:val="001922CE"/>
    <w:rsid w:val="00196492"/>
    <w:rsid w:val="001A5C93"/>
    <w:rsid w:val="001A5E44"/>
    <w:rsid w:val="001B2A2D"/>
    <w:rsid w:val="001B737D"/>
    <w:rsid w:val="001C44A3"/>
    <w:rsid w:val="001D4DDB"/>
    <w:rsid w:val="001D692F"/>
    <w:rsid w:val="001E0E15"/>
    <w:rsid w:val="001E19F1"/>
    <w:rsid w:val="001E26C8"/>
    <w:rsid w:val="001E6029"/>
    <w:rsid w:val="001F00E7"/>
    <w:rsid w:val="001F0701"/>
    <w:rsid w:val="001F2A62"/>
    <w:rsid w:val="001F3B6D"/>
    <w:rsid w:val="001F528A"/>
    <w:rsid w:val="001F704E"/>
    <w:rsid w:val="00201722"/>
    <w:rsid w:val="00201966"/>
    <w:rsid w:val="00203DA4"/>
    <w:rsid w:val="002125B0"/>
    <w:rsid w:val="00217E71"/>
    <w:rsid w:val="00220659"/>
    <w:rsid w:val="00230266"/>
    <w:rsid w:val="00235B69"/>
    <w:rsid w:val="0023698F"/>
    <w:rsid w:val="00243228"/>
    <w:rsid w:val="00251483"/>
    <w:rsid w:val="002534B3"/>
    <w:rsid w:val="00255CAA"/>
    <w:rsid w:val="00263248"/>
    <w:rsid w:val="00264305"/>
    <w:rsid w:val="00267941"/>
    <w:rsid w:val="002709A4"/>
    <w:rsid w:val="00272813"/>
    <w:rsid w:val="0028222F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55CC"/>
    <w:rsid w:val="002E6B74"/>
    <w:rsid w:val="002E6FCA"/>
    <w:rsid w:val="002E7740"/>
    <w:rsid w:val="00302470"/>
    <w:rsid w:val="00305BD3"/>
    <w:rsid w:val="00306D5F"/>
    <w:rsid w:val="0031014A"/>
    <w:rsid w:val="003171BC"/>
    <w:rsid w:val="00321ABF"/>
    <w:rsid w:val="00321F61"/>
    <w:rsid w:val="0032247F"/>
    <w:rsid w:val="003374D2"/>
    <w:rsid w:val="003375D9"/>
    <w:rsid w:val="00343F4C"/>
    <w:rsid w:val="003464B5"/>
    <w:rsid w:val="00346972"/>
    <w:rsid w:val="00354870"/>
    <w:rsid w:val="00356CD0"/>
    <w:rsid w:val="00361D05"/>
    <w:rsid w:val="00362CD9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4FCE"/>
    <w:rsid w:val="00395336"/>
    <w:rsid w:val="003972CE"/>
    <w:rsid w:val="003A431D"/>
    <w:rsid w:val="003A4E95"/>
    <w:rsid w:val="003A7F46"/>
    <w:rsid w:val="003B28F5"/>
    <w:rsid w:val="003B7B7D"/>
    <w:rsid w:val="003C54CB"/>
    <w:rsid w:val="003C7A2A"/>
    <w:rsid w:val="003D2DC1"/>
    <w:rsid w:val="003D407C"/>
    <w:rsid w:val="003D69D0"/>
    <w:rsid w:val="003D7DE3"/>
    <w:rsid w:val="003E5C6D"/>
    <w:rsid w:val="003E64A1"/>
    <w:rsid w:val="003E6583"/>
    <w:rsid w:val="003F1F6B"/>
    <w:rsid w:val="003F2918"/>
    <w:rsid w:val="003F430E"/>
    <w:rsid w:val="003F4651"/>
    <w:rsid w:val="00400C64"/>
    <w:rsid w:val="0040324C"/>
    <w:rsid w:val="0041088C"/>
    <w:rsid w:val="00415232"/>
    <w:rsid w:val="00417AD5"/>
    <w:rsid w:val="00420A38"/>
    <w:rsid w:val="00420EAB"/>
    <w:rsid w:val="004227C5"/>
    <w:rsid w:val="00423C27"/>
    <w:rsid w:val="00431B19"/>
    <w:rsid w:val="00435AEC"/>
    <w:rsid w:val="004369B6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0BBE"/>
    <w:rsid w:val="004A1C8C"/>
    <w:rsid w:val="004B27BB"/>
    <w:rsid w:val="004C2CAD"/>
    <w:rsid w:val="004D1D85"/>
    <w:rsid w:val="004D3C3A"/>
    <w:rsid w:val="004D6B41"/>
    <w:rsid w:val="004D6E63"/>
    <w:rsid w:val="004E1CD1"/>
    <w:rsid w:val="004F0A7B"/>
    <w:rsid w:val="004F3C65"/>
    <w:rsid w:val="004F4A3E"/>
    <w:rsid w:val="004F5129"/>
    <w:rsid w:val="004F5E28"/>
    <w:rsid w:val="00501D51"/>
    <w:rsid w:val="00502E73"/>
    <w:rsid w:val="00506D6F"/>
    <w:rsid w:val="005101F4"/>
    <w:rsid w:val="005107EB"/>
    <w:rsid w:val="0051142F"/>
    <w:rsid w:val="00521345"/>
    <w:rsid w:val="00526DF0"/>
    <w:rsid w:val="00542C3E"/>
    <w:rsid w:val="00545CC4"/>
    <w:rsid w:val="005469C8"/>
    <w:rsid w:val="00547350"/>
    <w:rsid w:val="00547933"/>
    <w:rsid w:val="00547D1F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E52C3"/>
    <w:rsid w:val="005F17BE"/>
    <w:rsid w:val="005F1B75"/>
    <w:rsid w:val="005F23D3"/>
    <w:rsid w:val="005F56CF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A10AE"/>
    <w:rsid w:val="006A1A1E"/>
    <w:rsid w:val="006A3E0B"/>
    <w:rsid w:val="006A5998"/>
    <w:rsid w:val="006A6428"/>
    <w:rsid w:val="006A65F6"/>
    <w:rsid w:val="006A78D5"/>
    <w:rsid w:val="006B4488"/>
    <w:rsid w:val="006B4820"/>
    <w:rsid w:val="006B684D"/>
    <w:rsid w:val="006C5948"/>
    <w:rsid w:val="006D2199"/>
    <w:rsid w:val="006E6EE3"/>
    <w:rsid w:val="006F2A74"/>
    <w:rsid w:val="0070063C"/>
    <w:rsid w:val="007118F5"/>
    <w:rsid w:val="00712AA4"/>
    <w:rsid w:val="007146C4"/>
    <w:rsid w:val="00717A6A"/>
    <w:rsid w:val="007206BF"/>
    <w:rsid w:val="00721AA1"/>
    <w:rsid w:val="00724B67"/>
    <w:rsid w:val="007305EB"/>
    <w:rsid w:val="007547F8"/>
    <w:rsid w:val="00756622"/>
    <w:rsid w:val="00762ADD"/>
    <w:rsid w:val="00765622"/>
    <w:rsid w:val="00770B6C"/>
    <w:rsid w:val="007755F5"/>
    <w:rsid w:val="0077644F"/>
    <w:rsid w:val="00777021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034A"/>
    <w:rsid w:val="007B2193"/>
    <w:rsid w:val="007C346C"/>
    <w:rsid w:val="007D18BF"/>
    <w:rsid w:val="007D4B00"/>
    <w:rsid w:val="007E3F3E"/>
    <w:rsid w:val="007E5C21"/>
    <w:rsid w:val="007E7715"/>
    <w:rsid w:val="007F68B6"/>
    <w:rsid w:val="0080294B"/>
    <w:rsid w:val="0080382A"/>
    <w:rsid w:val="00810E96"/>
    <w:rsid w:val="00812779"/>
    <w:rsid w:val="00816F0E"/>
    <w:rsid w:val="008179D8"/>
    <w:rsid w:val="00821222"/>
    <w:rsid w:val="008221A2"/>
    <w:rsid w:val="0082480E"/>
    <w:rsid w:val="00831CE2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480D"/>
    <w:rsid w:val="00886421"/>
    <w:rsid w:val="0088701A"/>
    <w:rsid w:val="00890C0A"/>
    <w:rsid w:val="008927DF"/>
    <w:rsid w:val="008933B1"/>
    <w:rsid w:val="00894E97"/>
    <w:rsid w:val="00896F1C"/>
    <w:rsid w:val="008A356F"/>
    <w:rsid w:val="008A3F01"/>
    <w:rsid w:val="008A4653"/>
    <w:rsid w:val="008A4717"/>
    <w:rsid w:val="008A4E02"/>
    <w:rsid w:val="008A50CC"/>
    <w:rsid w:val="008B04BD"/>
    <w:rsid w:val="008B3D60"/>
    <w:rsid w:val="008B4798"/>
    <w:rsid w:val="008B71A4"/>
    <w:rsid w:val="008D1694"/>
    <w:rsid w:val="008D1D16"/>
    <w:rsid w:val="008D5721"/>
    <w:rsid w:val="008D79CB"/>
    <w:rsid w:val="008E06B8"/>
    <w:rsid w:val="008E204C"/>
    <w:rsid w:val="008E5A9C"/>
    <w:rsid w:val="008F03B1"/>
    <w:rsid w:val="008F07BC"/>
    <w:rsid w:val="008F6733"/>
    <w:rsid w:val="008F765A"/>
    <w:rsid w:val="00900B11"/>
    <w:rsid w:val="0090403E"/>
    <w:rsid w:val="00917A6F"/>
    <w:rsid w:val="00921526"/>
    <w:rsid w:val="00921FED"/>
    <w:rsid w:val="0092692B"/>
    <w:rsid w:val="00927B22"/>
    <w:rsid w:val="00930F90"/>
    <w:rsid w:val="009373DF"/>
    <w:rsid w:val="00943E9C"/>
    <w:rsid w:val="00947074"/>
    <w:rsid w:val="00947773"/>
    <w:rsid w:val="00951923"/>
    <w:rsid w:val="00951BB9"/>
    <w:rsid w:val="00953F4D"/>
    <w:rsid w:val="00954682"/>
    <w:rsid w:val="00955310"/>
    <w:rsid w:val="00955765"/>
    <w:rsid w:val="009559B8"/>
    <w:rsid w:val="00960B53"/>
    <w:rsid w:val="00960BB8"/>
    <w:rsid w:val="00964F5C"/>
    <w:rsid w:val="009740D0"/>
    <w:rsid w:val="00976184"/>
    <w:rsid w:val="00976E19"/>
    <w:rsid w:val="009831C0"/>
    <w:rsid w:val="0099161D"/>
    <w:rsid w:val="00997E53"/>
    <w:rsid w:val="009A3528"/>
    <w:rsid w:val="009A4D5C"/>
    <w:rsid w:val="009C0FED"/>
    <w:rsid w:val="009C2C49"/>
    <w:rsid w:val="009C3631"/>
    <w:rsid w:val="009D37D6"/>
    <w:rsid w:val="009E118A"/>
    <w:rsid w:val="009E7C7C"/>
    <w:rsid w:val="009F01CD"/>
    <w:rsid w:val="009F0731"/>
    <w:rsid w:val="009F1F0E"/>
    <w:rsid w:val="009F3E32"/>
    <w:rsid w:val="00A0389B"/>
    <w:rsid w:val="00A070E9"/>
    <w:rsid w:val="00A212DB"/>
    <w:rsid w:val="00A215AD"/>
    <w:rsid w:val="00A24526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44FD3"/>
    <w:rsid w:val="00A5265A"/>
    <w:rsid w:val="00A533F1"/>
    <w:rsid w:val="00A54024"/>
    <w:rsid w:val="00A635D6"/>
    <w:rsid w:val="00A72018"/>
    <w:rsid w:val="00A72837"/>
    <w:rsid w:val="00A73A77"/>
    <w:rsid w:val="00A8553A"/>
    <w:rsid w:val="00A91DB3"/>
    <w:rsid w:val="00A93AED"/>
    <w:rsid w:val="00A94999"/>
    <w:rsid w:val="00AA2791"/>
    <w:rsid w:val="00AA5F67"/>
    <w:rsid w:val="00AA7E84"/>
    <w:rsid w:val="00AA7F5C"/>
    <w:rsid w:val="00AB4316"/>
    <w:rsid w:val="00AE1319"/>
    <w:rsid w:val="00AE34BB"/>
    <w:rsid w:val="00AE4B71"/>
    <w:rsid w:val="00AE5F9C"/>
    <w:rsid w:val="00AE678B"/>
    <w:rsid w:val="00AF67EA"/>
    <w:rsid w:val="00B015E6"/>
    <w:rsid w:val="00B027E0"/>
    <w:rsid w:val="00B02F7C"/>
    <w:rsid w:val="00B04683"/>
    <w:rsid w:val="00B10801"/>
    <w:rsid w:val="00B12644"/>
    <w:rsid w:val="00B14187"/>
    <w:rsid w:val="00B21E6D"/>
    <w:rsid w:val="00B226F2"/>
    <w:rsid w:val="00B258ED"/>
    <w:rsid w:val="00B266A0"/>
    <w:rsid w:val="00B274DF"/>
    <w:rsid w:val="00B327FC"/>
    <w:rsid w:val="00B37E69"/>
    <w:rsid w:val="00B41ED5"/>
    <w:rsid w:val="00B53A1B"/>
    <w:rsid w:val="00B56B31"/>
    <w:rsid w:val="00B56BDF"/>
    <w:rsid w:val="00B62AA5"/>
    <w:rsid w:val="00B62E89"/>
    <w:rsid w:val="00B6348F"/>
    <w:rsid w:val="00B65812"/>
    <w:rsid w:val="00B70CFB"/>
    <w:rsid w:val="00B734BE"/>
    <w:rsid w:val="00B778CF"/>
    <w:rsid w:val="00B8034B"/>
    <w:rsid w:val="00B805FE"/>
    <w:rsid w:val="00B80970"/>
    <w:rsid w:val="00B81874"/>
    <w:rsid w:val="00B85CD6"/>
    <w:rsid w:val="00B873EA"/>
    <w:rsid w:val="00B8776B"/>
    <w:rsid w:val="00B90A27"/>
    <w:rsid w:val="00B9554D"/>
    <w:rsid w:val="00B96497"/>
    <w:rsid w:val="00BA2989"/>
    <w:rsid w:val="00BA7FB2"/>
    <w:rsid w:val="00BB2B9F"/>
    <w:rsid w:val="00BB5F18"/>
    <w:rsid w:val="00BB7D9E"/>
    <w:rsid w:val="00BC2334"/>
    <w:rsid w:val="00BD389B"/>
    <w:rsid w:val="00BD3CB8"/>
    <w:rsid w:val="00BD4B0D"/>
    <w:rsid w:val="00BD4E6F"/>
    <w:rsid w:val="00BF1103"/>
    <w:rsid w:val="00BF32F0"/>
    <w:rsid w:val="00BF3ADC"/>
    <w:rsid w:val="00BF4011"/>
    <w:rsid w:val="00BF4DCE"/>
    <w:rsid w:val="00BF5894"/>
    <w:rsid w:val="00BF771E"/>
    <w:rsid w:val="00C00BB8"/>
    <w:rsid w:val="00C05CE5"/>
    <w:rsid w:val="00C0600A"/>
    <w:rsid w:val="00C109BC"/>
    <w:rsid w:val="00C20417"/>
    <w:rsid w:val="00C21618"/>
    <w:rsid w:val="00C21722"/>
    <w:rsid w:val="00C34C24"/>
    <w:rsid w:val="00C37EE8"/>
    <w:rsid w:val="00C40C21"/>
    <w:rsid w:val="00C457E4"/>
    <w:rsid w:val="00C461CC"/>
    <w:rsid w:val="00C4688F"/>
    <w:rsid w:val="00C52FAC"/>
    <w:rsid w:val="00C6171E"/>
    <w:rsid w:val="00C64133"/>
    <w:rsid w:val="00C704FC"/>
    <w:rsid w:val="00C85C09"/>
    <w:rsid w:val="00C94300"/>
    <w:rsid w:val="00C94553"/>
    <w:rsid w:val="00CA6966"/>
    <w:rsid w:val="00CA6F2C"/>
    <w:rsid w:val="00CC0831"/>
    <w:rsid w:val="00CC21CA"/>
    <w:rsid w:val="00CC244E"/>
    <w:rsid w:val="00CE1C7E"/>
    <w:rsid w:val="00CE63B2"/>
    <w:rsid w:val="00CE6449"/>
    <w:rsid w:val="00CE756C"/>
    <w:rsid w:val="00CF1871"/>
    <w:rsid w:val="00CF21C3"/>
    <w:rsid w:val="00CF2856"/>
    <w:rsid w:val="00CF7AA2"/>
    <w:rsid w:val="00D019CE"/>
    <w:rsid w:val="00D02C3F"/>
    <w:rsid w:val="00D065AA"/>
    <w:rsid w:val="00D07ECC"/>
    <w:rsid w:val="00D102D6"/>
    <w:rsid w:val="00D1133E"/>
    <w:rsid w:val="00D13A8A"/>
    <w:rsid w:val="00D17A34"/>
    <w:rsid w:val="00D21495"/>
    <w:rsid w:val="00D22FB2"/>
    <w:rsid w:val="00D26628"/>
    <w:rsid w:val="00D332B3"/>
    <w:rsid w:val="00D436DB"/>
    <w:rsid w:val="00D447B4"/>
    <w:rsid w:val="00D55207"/>
    <w:rsid w:val="00D6023F"/>
    <w:rsid w:val="00D641E7"/>
    <w:rsid w:val="00D65064"/>
    <w:rsid w:val="00D81801"/>
    <w:rsid w:val="00D85C13"/>
    <w:rsid w:val="00D900A6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D6E01"/>
    <w:rsid w:val="00DE0572"/>
    <w:rsid w:val="00DE2FEE"/>
    <w:rsid w:val="00DF1C8F"/>
    <w:rsid w:val="00DF1D7F"/>
    <w:rsid w:val="00E00BE9"/>
    <w:rsid w:val="00E0484D"/>
    <w:rsid w:val="00E07AD4"/>
    <w:rsid w:val="00E22A11"/>
    <w:rsid w:val="00E23301"/>
    <w:rsid w:val="00E23926"/>
    <w:rsid w:val="00E31E5C"/>
    <w:rsid w:val="00E355FC"/>
    <w:rsid w:val="00E43A96"/>
    <w:rsid w:val="00E44DD2"/>
    <w:rsid w:val="00E558C3"/>
    <w:rsid w:val="00E55927"/>
    <w:rsid w:val="00E57ED4"/>
    <w:rsid w:val="00E60B3D"/>
    <w:rsid w:val="00E71837"/>
    <w:rsid w:val="00E750DE"/>
    <w:rsid w:val="00E90842"/>
    <w:rsid w:val="00E912A6"/>
    <w:rsid w:val="00E94AA6"/>
    <w:rsid w:val="00EA156B"/>
    <w:rsid w:val="00EA2711"/>
    <w:rsid w:val="00EA4844"/>
    <w:rsid w:val="00EA4D9C"/>
    <w:rsid w:val="00EA5A97"/>
    <w:rsid w:val="00EA5F87"/>
    <w:rsid w:val="00EB5479"/>
    <w:rsid w:val="00EB5860"/>
    <w:rsid w:val="00EB6FC3"/>
    <w:rsid w:val="00EB75EE"/>
    <w:rsid w:val="00EC12B9"/>
    <w:rsid w:val="00EC44AE"/>
    <w:rsid w:val="00EE3F37"/>
    <w:rsid w:val="00EE4C1D"/>
    <w:rsid w:val="00EE64E1"/>
    <w:rsid w:val="00EF3685"/>
    <w:rsid w:val="00EF5910"/>
    <w:rsid w:val="00EF76EC"/>
    <w:rsid w:val="00F04350"/>
    <w:rsid w:val="00F04641"/>
    <w:rsid w:val="00F04DA7"/>
    <w:rsid w:val="00F053AB"/>
    <w:rsid w:val="00F12EDF"/>
    <w:rsid w:val="00F133DB"/>
    <w:rsid w:val="00F159EB"/>
    <w:rsid w:val="00F22203"/>
    <w:rsid w:val="00F232DF"/>
    <w:rsid w:val="00F25BF4"/>
    <w:rsid w:val="00F267DB"/>
    <w:rsid w:val="00F33B4B"/>
    <w:rsid w:val="00F43687"/>
    <w:rsid w:val="00F46F6F"/>
    <w:rsid w:val="00F5178E"/>
    <w:rsid w:val="00F60608"/>
    <w:rsid w:val="00F62217"/>
    <w:rsid w:val="00F63625"/>
    <w:rsid w:val="00F707AB"/>
    <w:rsid w:val="00F71FF5"/>
    <w:rsid w:val="00F724DF"/>
    <w:rsid w:val="00F74CF4"/>
    <w:rsid w:val="00F76B0C"/>
    <w:rsid w:val="00F80593"/>
    <w:rsid w:val="00F838F2"/>
    <w:rsid w:val="00F8751B"/>
    <w:rsid w:val="00F87B1E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1723"/>
    <w:rsid w:val="00FC294F"/>
    <w:rsid w:val="00FD675E"/>
    <w:rsid w:val="00FD6CF3"/>
    <w:rsid w:val="00FE113A"/>
    <w:rsid w:val="00FE33B7"/>
    <w:rsid w:val="00FE457C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8741E2-6F89-4919-80AD-EA98BA863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33</cp:revision>
  <cp:lastPrinted>2021-09-02T05:25:00Z</cp:lastPrinted>
  <dcterms:created xsi:type="dcterms:W3CDTF">2023-10-09T14:04:00Z</dcterms:created>
  <dcterms:modified xsi:type="dcterms:W3CDTF">2023-10-22T08:01:00Z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