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21456666"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AF0590" w:rsidRPr="00AF0590">
        <w:rPr>
          <w:rFonts w:ascii="Calibri" w:hAnsi="Calibri"/>
        </w:rPr>
        <w:t>ENG17-3.1.2.7</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062DD792"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91760D">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76DBD649"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009D1A67">
        <w:rPr>
          <w:rFonts w:ascii="Calibri" w:hAnsi="Calibri" w:cs="Arial"/>
        </w:rPr>
        <w:t>DTEC</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t>n.n</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229281DF"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A45E9F">
        <w:rPr>
          <w:rFonts w:ascii="Calibri" w:hAnsi="Calibri"/>
        </w:rPr>
        <w:t>E. Lacarra (ESSP), G. Fernández (ESSP), M. Lopez-Martinez (EUSPA)</w:t>
      </w:r>
    </w:p>
    <w:p w14:paraId="60BCC120" w14:textId="77777777" w:rsidR="0080294B" w:rsidRPr="007A395D" w:rsidRDefault="0080294B" w:rsidP="00FE5674">
      <w:pPr>
        <w:pStyle w:val="BodyText"/>
        <w:tabs>
          <w:tab w:val="left" w:pos="2835"/>
        </w:tabs>
        <w:rPr>
          <w:rFonts w:ascii="Calibri" w:hAnsi="Calibri"/>
        </w:rPr>
      </w:pPr>
    </w:p>
    <w:p w14:paraId="4834080C" w14:textId="44CA7513" w:rsidR="00A446C9" w:rsidRPr="00605E43" w:rsidRDefault="00A45E9F" w:rsidP="00A446C9">
      <w:pPr>
        <w:pStyle w:val="Title"/>
        <w:rPr>
          <w:rFonts w:ascii="Calibri" w:hAnsi="Calibri"/>
          <w:color w:val="0070C0"/>
        </w:rPr>
      </w:pPr>
      <w:r>
        <w:rPr>
          <w:rFonts w:ascii="Calibri" w:hAnsi="Calibri"/>
          <w:color w:val="0070C0"/>
        </w:rPr>
        <w:t xml:space="preserve">Upcoming IEC standard for SBAS </w:t>
      </w:r>
      <w:r w:rsidR="00DA4294">
        <w:rPr>
          <w:rFonts w:ascii="Calibri" w:hAnsi="Calibri"/>
          <w:color w:val="0070C0"/>
        </w:rPr>
        <w:t xml:space="preserve">L1 </w:t>
      </w:r>
      <w:r>
        <w:rPr>
          <w:rFonts w:ascii="Calibri" w:hAnsi="Calibri"/>
          <w:color w:val="0070C0"/>
        </w:rPr>
        <w:t>shipborne receivers</w:t>
      </w:r>
    </w:p>
    <w:p w14:paraId="0F258596" w14:textId="50FB6E37" w:rsidR="00A446C9" w:rsidRPr="00605E43" w:rsidRDefault="00A446C9" w:rsidP="00605E43">
      <w:pPr>
        <w:pStyle w:val="Heading1"/>
      </w:pPr>
      <w:r w:rsidRPr="00605E43">
        <w:t>Summary</w:t>
      </w:r>
    </w:p>
    <w:p w14:paraId="63F3E2C6" w14:textId="47B1C3FF" w:rsidR="00A45E9F" w:rsidRDefault="00A45E9F" w:rsidP="00B56BDF">
      <w:pPr>
        <w:pStyle w:val="BodyText"/>
        <w:rPr>
          <w:rFonts w:ascii="Calibri" w:hAnsi="Calibri"/>
        </w:rPr>
      </w:pPr>
      <w:r>
        <w:rPr>
          <w:rFonts w:ascii="Calibri" w:hAnsi="Calibri"/>
        </w:rPr>
        <w:t xml:space="preserve">Standard for SBAS </w:t>
      </w:r>
      <w:r w:rsidR="00F76CAC">
        <w:rPr>
          <w:rFonts w:ascii="Calibri" w:hAnsi="Calibri"/>
        </w:rPr>
        <w:t xml:space="preserve">L1 </w:t>
      </w:r>
      <w:r>
        <w:rPr>
          <w:rFonts w:ascii="Calibri" w:hAnsi="Calibri"/>
        </w:rPr>
        <w:t xml:space="preserve">shipborne receivers IEC 61108-7 </w:t>
      </w:r>
      <w:r>
        <w:rPr>
          <w:rFonts w:ascii="Calibri" w:hAnsi="Calibri"/>
        </w:rPr>
        <w:fldChar w:fldCharType="begin"/>
      </w:r>
      <w:r>
        <w:rPr>
          <w:rFonts w:ascii="Calibri" w:hAnsi="Calibri"/>
        </w:rPr>
        <w:instrText xml:space="preserve"> REF _Ref144903970 \w \h </w:instrText>
      </w:r>
      <w:r>
        <w:rPr>
          <w:rFonts w:ascii="Calibri" w:hAnsi="Calibri"/>
        </w:rPr>
      </w:r>
      <w:r>
        <w:rPr>
          <w:rFonts w:ascii="Calibri" w:hAnsi="Calibri"/>
        </w:rPr>
        <w:fldChar w:fldCharType="separate"/>
      </w:r>
      <w:r w:rsidR="00781B07">
        <w:rPr>
          <w:rFonts w:ascii="Calibri" w:hAnsi="Calibri"/>
        </w:rPr>
        <w:t>[2]</w:t>
      </w:r>
      <w:r>
        <w:rPr>
          <w:rFonts w:ascii="Calibri" w:hAnsi="Calibri"/>
        </w:rPr>
        <w:fldChar w:fldCharType="end"/>
      </w:r>
      <w:r>
        <w:rPr>
          <w:rFonts w:ascii="Calibri" w:hAnsi="Calibri"/>
        </w:rPr>
        <w:t xml:space="preserve"> is currently under ballot for the final publication up to 29</w:t>
      </w:r>
      <w:r w:rsidRPr="00A45E9F">
        <w:rPr>
          <w:rFonts w:ascii="Calibri" w:hAnsi="Calibri"/>
          <w:vertAlign w:val="superscript"/>
        </w:rPr>
        <w:t>th</w:t>
      </w:r>
      <w:r>
        <w:rPr>
          <w:rFonts w:ascii="Calibri" w:hAnsi="Calibri"/>
        </w:rPr>
        <w:t xml:space="preserve"> September. Members </w:t>
      </w:r>
      <w:r w:rsidRPr="00A45E9F">
        <w:rPr>
          <w:rFonts w:ascii="Calibri" w:hAnsi="Calibri"/>
        </w:rPr>
        <w:t>with representation in IEC</w:t>
      </w:r>
      <w:r>
        <w:rPr>
          <w:rFonts w:ascii="Calibri" w:hAnsi="Calibri"/>
        </w:rPr>
        <w:t xml:space="preserve"> TC 80</w:t>
      </w:r>
      <w:r w:rsidRPr="00A45E9F">
        <w:rPr>
          <w:rFonts w:ascii="Calibri" w:hAnsi="Calibri"/>
        </w:rPr>
        <w:t xml:space="preserve"> </w:t>
      </w:r>
      <w:r>
        <w:rPr>
          <w:rFonts w:ascii="Calibri" w:hAnsi="Calibri"/>
        </w:rPr>
        <w:t xml:space="preserve">are encouraged to provide a </w:t>
      </w:r>
      <w:r w:rsidRPr="00A45E9F">
        <w:rPr>
          <w:rFonts w:ascii="Calibri" w:hAnsi="Calibri"/>
        </w:rPr>
        <w:t>positive vote</w:t>
      </w:r>
      <w:r>
        <w:rPr>
          <w:rFonts w:ascii="Calibri" w:hAnsi="Calibri"/>
        </w:rPr>
        <w:t xml:space="preserve"> to support the </w:t>
      </w:r>
      <w:r w:rsidRPr="00A45E9F">
        <w:rPr>
          <w:rFonts w:ascii="Calibri" w:hAnsi="Calibri"/>
        </w:rPr>
        <w:t>harmonised and safe adoption of SBAS in the maritime domain.</w:t>
      </w:r>
    </w:p>
    <w:p w14:paraId="0F229620" w14:textId="0AA57442" w:rsidR="00A45E9F" w:rsidRDefault="00A45E9F" w:rsidP="00B56BDF">
      <w:pPr>
        <w:pStyle w:val="BodyText"/>
        <w:rPr>
          <w:rFonts w:ascii="Calibri" w:hAnsi="Calibri"/>
        </w:rPr>
      </w:pPr>
      <w:r>
        <w:rPr>
          <w:rFonts w:ascii="Calibri" w:hAnsi="Calibri"/>
        </w:rPr>
        <w:t xml:space="preserve">Once SBAS receiver equipment standard (IEC 61108-7 </w:t>
      </w:r>
      <w:r>
        <w:rPr>
          <w:rFonts w:ascii="Calibri" w:hAnsi="Calibri"/>
        </w:rPr>
        <w:fldChar w:fldCharType="begin"/>
      </w:r>
      <w:r>
        <w:rPr>
          <w:rFonts w:ascii="Calibri" w:hAnsi="Calibri"/>
        </w:rPr>
        <w:instrText xml:space="preserve"> REF _Ref144903970 \w \h </w:instrText>
      </w:r>
      <w:r>
        <w:rPr>
          <w:rFonts w:ascii="Calibri" w:hAnsi="Calibri"/>
        </w:rPr>
      </w:r>
      <w:r>
        <w:rPr>
          <w:rFonts w:ascii="Calibri" w:hAnsi="Calibri"/>
        </w:rPr>
        <w:fldChar w:fldCharType="separate"/>
      </w:r>
      <w:r w:rsidR="00781B07">
        <w:rPr>
          <w:rFonts w:ascii="Calibri" w:hAnsi="Calibri"/>
        </w:rPr>
        <w:t>[2]</w:t>
      </w:r>
      <w:r>
        <w:rPr>
          <w:rFonts w:ascii="Calibri" w:hAnsi="Calibri"/>
        </w:rPr>
        <w:fldChar w:fldCharType="end"/>
      </w:r>
      <w:r>
        <w:rPr>
          <w:rFonts w:ascii="Calibri" w:hAnsi="Calibri"/>
        </w:rPr>
        <w:t xml:space="preserve">) is published, </w:t>
      </w:r>
      <w:r w:rsidRPr="00A45E9F">
        <w:rPr>
          <w:rFonts w:ascii="Calibri" w:hAnsi="Calibri"/>
        </w:rPr>
        <w:t xml:space="preserve">vessels will </w:t>
      </w:r>
      <w:r>
        <w:rPr>
          <w:rFonts w:ascii="Calibri" w:hAnsi="Calibri"/>
        </w:rPr>
        <w:t xml:space="preserve">be able to equip </w:t>
      </w:r>
      <w:r w:rsidRPr="00A45E9F">
        <w:rPr>
          <w:rFonts w:ascii="Calibri" w:hAnsi="Calibri"/>
        </w:rPr>
        <w:t>type-approval receivers using SBAS and RAIM to ensure a safe navigation in harbour entrances/approaches and coastal waters</w:t>
      </w:r>
      <w:r>
        <w:rPr>
          <w:rFonts w:ascii="Calibri" w:hAnsi="Calibri"/>
        </w:rPr>
        <w:t xml:space="preserve"> according to </w:t>
      </w:r>
      <w:r w:rsidRPr="00A45E9F">
        <w:rPr>
          <w:rFonts w:ascii="Calibri" w:hAnsi="Calibri"/>
        </w:rPr>
        <w:t>operational requirements (IMO Res. 1046(27)</w:t>
      </w:r>
      <w:r>
        <w:rPr>
          <w:rFonts w:ascii="Calibri" w:hAnsi="Calibri"/>
        </w:rPr>
        <w:t xml:space="preserve"> </w:t>
      </w:r>
      <w:r>
        <w:rPr>
          <w:rFonts w:ascii="Calibri" w:hAnsi="Calibri"/>
        </w:rPr>
        <w:fldChar w:fldCharType="begin"/>
      </w:r>
      <w:r>
        <w:rPr>
          <w:rFonts w:ascii="Calibri" w:hAnsi="Calibri"/>
        </w:rPr>
        <w:instrText xml:space="preserve"> REF _Ref144904454 \w \h </w:instrText>
      </w:r>
      <w:r>
        <w:rPr>
          <w:rFonts w:ascii="Calibri" w:hAnsi="Calibri"/>
        </w:rPr>
      </w:r>
      <w:r>
        <w:rPr>
          <w:rFonts w:ascii="Calibri" w:hAnsi="Calibri"/>
        </w:rPr>
        <w:fldChar w:fldCharType="separate"/>
      </w:r>
      <w:r w:rsidR="00781B07">
        <w:rPr>
          <w:rFonts w:ascii="Calibri" w:hAnsi="Calibri"/>
        </w:rPr>
        <w:t>[1]</w:t>
      </w:r>
      <w:r>
        <w:rPr>
          <w:rFonts w:ascii="Calibri" w:hAnsi="Calibri"/>
        </w:rPr>
        <w:fldChar w:fldCharType="end"/>
      </w:r>
      <w:r w:rsidRPr="00A45E9F">
        <w:rPr>
          <w:rFonts w:ascii="Calibri" w:hAnsi="Calibri"/>
        </w:rPr>
        <w:t xml:space="preserve">). </w:t>
      </w:r>
      <w:r w:rsidR="008321E9">
        <w:rPr>
          <w:rFonts w:ascii="Calibri" w:hAnsi="Calibri"/>
        </w:rPr>
        <w:t xml:space="preserve">Vessels should be equipped with type approval receivers in order to navigate using the </w:t>
      </w:r>
      <w:r>
        <w:rPr>
          <w:rFonts w:ascii="Calibri" w:hAnsi="Calibri"/>
        </w:rPr>
        <w:t xml:space="preserve">EGNOS maritime service </w:t>
      </w:r>
      <w:r w:rsidR="008321E9">
        <w:rPr>
          <w:rFonts w:ascii="Calibri" w:hAnsi="Calibri"/>
        </w:rPr>
        <w:t xml:space="preserve">over Europe, which is </w:t>
      </w:r>
      <w:r>
        <w:rPr>
          <w:rFonts w:ascii="Calibri" w:hAnsi="Calibri"/>
        </w:rPr>
        <w:t xml:space="preserve">planned </w:t>
      </w:r>
      <w:r w:rsidR="008321E9">
        <w:rPr>
          <w:rFonts w:ascii="Calibri" w:hAnsi="Calibri"/>
        </w:rPr>
        <w:t>to be shortly available (</w:t>
      </w:r>
      <w:r>
        <w:rPr>
          <w:rFonts w:ascii="Calibri" w:hAnsi="Calibri"/>
        </w:rPr>
        <w:t>end 2023 – beginning 2024)</w:t>
      </w:r>
      <w:r w:rsidR="008321E9">
        <w:rPr>
          <w:rFonts w:ascii="Calibri" w:hAnsi="Calibri"/>
        </w:rPr>
        <w:t>.</w:t>
      </w:r>
    </w:p>
    <w:p w14:paraId="0B783C4D" w14:textId="77777777" w:rsidR="00A45E9F" w:rsidRDefault="00A45E9F" w:rsidP="00B56BDF">
      <w:pPr>
        <w:pStyle w:val="BodyText"/>
        <w:rPr>
          <w:rFonts w:ascii="Calibri" w:hAnsi="Calibri"/>
        </w:rPr>
      </w:pPr>
    </w:p>
    <w:p w14:paraId="3C575A26" w14:textId="77777777" w:rsidR="001C44A3" w:rsidRPr="00605E43" w:rsidRDefault="00BD4E6F" w:rsidP="00605E43">
      <w:pPr>
        <w:pStyle w:val="Heading2"/>
      </w:pPr>
      <w:r w:rsidRPr="00605E43">
        <w:t>Purpose</w:t>
      </w:r>
      <w:r w:rsidR="004D1D85" w:rsidRPr="00605E43">
        <w:t xml:space="preserve"> of the document</w:t>
      </w:r>
    </w:p>
    <w:p w14:paraId="009E68A2" w14:textId="5004DB32" w:rsidR="00422134" w:rsidRDefault="00422134" w:rsidP="00E55927">
      <w:pPr>
        <w:pStyle w:val="BodyText"/>
        <w:rPr>
          <w:rFonts w:ascii="Calibri" w:hAnsi="Calibri"/>
        </w:rPr>
      </w:pPr>
      <w:r>
        <w:rPr>
          <w:rFonts w:ascii="Calibri" w:hAnsi="Calibri"/>
        </w:rPr>
        <w:t xml:space="preserve">The purpose of the document is to inform that the standard for SBAS </w:t>
      </w:r>
      <w:r w:rsidR="00F76CAC">
        <w:rPr>
          <w:rFonts w:ascii="Calibri" w:hAnsi="Calibri"/>
        </w:rPr>
        <w:t xml:space="preserve">L1 </w:t>
      </w:r>
      <w:r>
        <w:rPr>
          <w:rFonts w:ascii="Calibri" w:hAnsi="Calibri"/>
        </w:rPr>
        <w:t xml:space="preserve">shipborne receivers IEC 61108-7 </w:t>
      </w:r>
      <w:r>
        <w:rPr>
          <w:rFonts w:ascii="Calibri" w:hAnsi="Calibri"/>
        </w:rPr>
        <w:fldChar w:fldCharType="begin"/>
      </w:r>
      <w:r>
        <w:rPr>
          <w:rFonts w:ascii="Calibri" w:hAnsi="Calibri"/>
        </w:rPr>
        <w:instrText xml:space="preserve"> REF _Ref144903970 \w \h </w:instrText>
      </w:r>
      <w:r>
        <w:rPr>
          <w:rFonts w:ascii="Calibri" w:hAnsi="Calibri"/>
        </w:rPr>
      </w:r>
      <w:r>
        <w:rPr>
          <w:rFonts w:ascii="Calibri" w:hAnsi="Calibri"/>
        </w:rPr>
        <w:fldChar w:fldCharType="separate"/>
      </w:r>
      <w:r>
        <w:rPr>
          <w:rFonts w:ascii="Calibri" w:hAnsi="Calibri"/>
        </w:rPr>
        <w:t>[2]</w:t>
      </w:r>
      <w:r>
        <w:rPr>
          <w:rFonts w:ascii="Calibri" w:hAnsi="Calibri"/>
        </w:rPr>
        <w:fldChar w:fldCharType="end"/>
      </w:r>
      <w:r>
        <w:rPr>
          <w:rFonts w:ascii="Calibri" w:hAnsi="Calibri"/>
        </w:rPr>
        <w:t xml:space="preserve"> is planned to be published by end 2023-beginning 2024.</w:t>
      </w:r>
    </w:p>
    <w:p w14:paraId="7E2A4642" w14:textId="5820B643" w:rsidR="00E55927" w:rsidRDefault="008321E9" w:rsidP="00E55927">
      <w:pPr>
        <w:pStyle w:val="BodyText"/>
        <w:rPr>
          <w:rFonts w:ascii="Calibri" w:hAnsi="Calibri"/>
        </w:rPr>
      </w:pPr>
      <w:r w:rsidRPr="008321E9">
        <w:rPr>
          <w:rFonts w:ascii="Calibri" w:hAnsi="Calibri"/>
        </w:rPr>
        <w:t xml:space="preserve">Members with representation in IEC TC 80 are encouraged to provide a positive vote </w:t>
      </w:r>
      <w:r>
        <w:rPr>
          <w:rFonts w:ascii="Calibri" w:hAnsi="Calibri"/>
        </w:rPr>
        <w:t>before 29</w:t>
      </w:r>
      <w:r w:rsidRPr="008321E9">
        <w:rPr>
          <w:rFonts w:ascii="Calibri" w:hAnsi="Calibri"/>
          <w:vertAlign w:val="superscript"/>
        </w:rPr>
        <w:t>th</w:t>
      </w:r>
      <w:r>
        <w:rPr>
          <w:rFonts w:ascii="Calibri" w:hAnsi="Calibri"/>
        </w:rPr>
        <w:t xml:space="preserve"> September </w:t>
      </w:r>
      <w:r w:rsidRPr="008321E9">
        <w:rPr>
          <w:rFonts w:ascii="Calibri" w:hAnsi="Calibri"/>
        </w:rPr>
        <w:t>to support the harmonised and safe adoption of SBAS in the maritime domain.</w:t>
      </w:r>
      <w:r>
        <w:rPr>
          <w:rFonts w:ascii="Calibri" w:hAnsi="Calibri"/>
        </w:rPr>
        <w:t xml:space="preserve"> </w:t>
      </w:r>
    </w:p>
    <w:p w14:paraId="57F2CEC6" w14:textId="7B5DE113" w:rsidR="00270018" w:rsidRDefault="00270018" w:rsidP="00E55927">
      <w:pPr>
        <w:pStyle w:val="BodyText"/>
        <w:rPr>
          <w:rFonts w:ascii="Calibri" w:hAnsi="Calibri"/>
        </w:rPr>
      </w:pPr>
      <w:proofErr w:type="gramStart"/>
      <w:r>
        <w:rPr>
          <w:rFonts w:ascii="Calibri" w:hAnsi="Calibri"/>
        </w:rPr>
        <w:t>Receivers</w:t>
      </w:r>
      <w:proofErr w:type="gramEnd"/>
      <w:r>
        <w:rPr>
          <w:rFonts w:ascii="Calibri" w:hAnsi="Calibri"/>
        </w:rPr>
        <w:t xml:space="preserve"> manufactures are invited to upgrade their receivers according to upcoming SBAS receiver equipment standard (IEC 61108-7 </w:t>
      </w:r>
      <w:r>
        <w:rPr>
          <w:rFonts w:ascii="Calibri" w:hAnsi="Calibri"/>
        </w:rPr>
        <w:fldChar w:fldCharType="begin"/>
      </w:r>
      <w:r>
        <w:rPr>
          <w:rFonts w:ascii="Calibri" w:hAnsi="Calibri"/>
        </w:rPr>
        <w:instrText xml:space="preserve"> REF _Ref144903970 \w \h </w:instrText>
      </w:r>
      <w:r>
        <w:rPr>
          <w:rFonts w:ascii="Calibri" w:hAnsi="Calibri"/>
        </w:rPr>
      </w:r>
      <w:r>
        <w:rPr>
          <w:rFonts w:ascii="Calibri" w:hAnsi="Calibri"/>
        </w:rPr>
        <w:fldChar w:fldCharType="separate"/>
      </w:r>
      <w:r w:rsidR="00781B07">
        <w:rPr>
          <w:rFonts w:ascii="Calibri" w:hAnsi="Calibri"/>
        </w:rPr>
        <w:t>[2]</w:t>
      </w:r>
      <w:r>
        <w:rPr>
          <w:rFonts w:ascii="Calibri" w:hAnsi="Calibri"/>
        </w:rPr>
        <w:fldChar w:fldCharType="end"/>
      </w:r>
      <w:r>
        <w:rPr>
          <w:rFonts w:ascii="Calibri" w:hAnsi="Calibri"/>
        </w:rPr>
        <w:t xml:space="preserve">). They are welcome to contact us (ESSP and EUSPA) in order to find free-of-charge technical support for this potential update. </w:t>
      </w:r>
    </w:p>
    <w:p w14:paraId="6105D3B2" w14:textId="77777777" w:rsidR="008321E9" w:rsidRPr="007A395D" w:rsidRDefault="008321E9" w:rsidP="00E55927">
      <w:pPr>
        <w:pStyle w:val="BodyText"/>
        <w:rPr>
          <w:rFonts w:ascii="Calibri" w:hAnsi="Calibri"/>
        </w:rPr>
      </w:pPr>
    </w:p>
    <w:p w14:paraId="53733F03" w14:textId="77777777" w:rsidR="00A446C9" w:rsidRPr="007A395D" w:rsidRDefault="00A446C9" w:rsidP="00605E43">
      <w:pPr>
        <w:pStyle w:val="Heading1"/>
      </w:pPr>
      <w:r w:rsidRPr="007A395D">
        <w:t>Background</w:t>
      </w:r>
    </w:p>
    <w:p w14:paraId="13EEA3FB" w14:textId="0F9F912D" w:rsidR="00270018" w:rsidRDefault="00270018" w:rsidP="008D19F6">
      <w:pPr>
        <w:pStyle w:val="BodyText"/>
        <w:numPr>
          <w:ilvl w:val="0"/>
          <w:numId w:val="18"/>
        </w:numPr>
        <w:rPr>
          <w:rFonts w:ascii="Calibri" w:hAnsi="Calibri"/>
        </w:rPr>
      </w:pPr>
      <w:r w:rsidRPr="00270018">
        <w:rPr>
          <w:rFonts w:ascii="Calibri" w:hAnsi="Calibri"/>
        </w:rPr>
        <w:t>ENG13-3.1.3.12</w:t>
      </w:r>
      <w:r>
        <w:rPr>
          <w:rFonts w:ascii="Calibri" w:hAnsi="Calibri"/>
        </w:rPr>
        <w:t xml:space="preserve">: </w:t>
      </w:r>
      <w:r w:rsidRPr="00270018">
        <w:rPr>
          <w:rFonts w:ascii="Calibri" w:hAnsi="Calibri"/>
        </w:rPr>
        <w:t>IEC Standardisation for SBAS maritime receivers</w:t>
      </w:r>
    </w:p>
    <w:p w14:paraId="1A80CFB3" w14:textId="3F050253" w:rsidR="00270018" w:rsidRDefault="00270018" w:rsidP="008D19F6">
      <w:pPr>
        <w:pStyle w:val="BodyText"/>
        <w:numPr>
          <w:ilvl w:val="0"/>
          <w:numId w:val="18"/>
        </w:numPr>
        <w:rPr>
          <w:rFonts w:ascii="Calibri" w:hAnsi="Calibri"/>
        </w:rPr>
      </w:pPr>
      <w:r w:rsidRPr="00270018">
        <w:rPr>
          <w:rFonts w:ascii="Calibri" w:hAnsi="Calibri"/>
        </w:rPr>
        <w:t>ENG1</w:t>
      </w:r>
      <w:r>
        <w:rPr>
          <w:rFonts w:ascii="Calibri" w:hAnsi="Calibri"/>
        </w:rPr>
        <w:t>5-</w:t>
      </w:r>
      <w:r w:rsidRPr="00270018">
        <w:rPr>
          <w:rFonts w:ascii="Calibri" w:hAnsi="Calibri"/>
        </w:rPr>
        <w:t>3.1.3.2</w:t>
      </w:r>
      <w:r>
        <w:rPr>
          <w:rFonts w:ascii="Calibri" w:hAnsi="Calibri"/>
        </w:rPr>
        <w:t xml:space="preserve">: </w:t>
      </w:r>
      <w:r w:rsidRPr="00270018">
        <w:rPr>
          <w:rFonts w:ascii="Calibri" w:hAnsi="Calibri"/>
        </w:rPr>
        <w:t>IEC Standardisation for SBAS maritime receivers</w:t>
      </w:r>
    </w:p>
    <w:p w14:paraId="018726A4" w14:textId="3500934C" w:rsidR="00270018" w:rsidRDefault="00270018" w:rsidP="008D19F6">
      <w:pPr>
        <w:pStyle w:val="BodyText"/>
        <w:numPr>
          <w:ilvl w:val="0"/>
          <w:numId w:val="18"/>
        </w:numPr>
        <w:rPr>
          <w:rFonts w:ascii="Calibri" w:hAnsi="Calibri"/>
        </w:rPr>
      </w:pPr>
      <w:r>
        <w:rPr>
          <w:rFonts w:ascii="Calibri" w:hAnsi="Calibri"/>
        </w:rPr>
        <w:t xml:space="preserve">IALA Conference 2023: </w:t>
      </w:r>
      <w:r w:rsidRPr="00270018">
        <w:rPr>
          <w:rFonts w:ascii="Calibri" w:hAnsi="Calibri"/>
        </w:rPr>
        <w:t>Standardisation Process for SBAS Maritime receiver in the International Electrotechnical Commission</w:t>
      </w:r>
    </w:p>
    <w:p w14:paraId="77911BF9" w14:textId="77777777" w:rsidR="00270018" w:rsidRDefault="00270018" w:rsidP="00A446C9">
      <w:pPr>
        <w:pStyle w:val="BodyText"/>
        <w:rPr>
          <w:rFonts w:ascii="Calibri" w:hAnsi="Calibri"/>
        </w:rPr>
      </w:pPr>
    </w:p>
    <w:p w14:paraId="041E9135" w14:textId="77777777" w:rsidR="00A446C9" w:rsidRPr="007A395D" w:rsidRDefault="00A446C9" w:rsidP="00605E43">
      <w:pPr>
        <w:pStyle w:val="Heading1"/>
      </w:pPr>
      <w:r w:rsidRPr="007A395D">
        <w:t>Discussion</w:t>
      </w:r>
    </w:p>
    <w:p w14:paraId="23B5467E" w14:textId="50448C6A" w:rsidR="00F25BF4" w:rsidRDefault="000442A4" w:rsidP="00A446C9">
      <w:pPr>
        <w:pStyle w:val="BodyText"/>
        <w:rPr>
          <w:rFonts w:ascii="Calibri" w:hAnsi="Calibri"/>
        </w:rPr>
      </w:pPr>
      <w:r>
        <w:rPr>
          <w:rFonts w:ascii="Calibri" w:hAnsi="Calibri"/>
        </w:rPr>
        <w:t xml:space="preserve">Comments related to SBAS </w:t>
      </w:r>
      <w:r w:rsidR="00145AC7">
        <w:rPr>
          <w:rFonts w:ascii="Calibri" w:hAnsi="Calibri"/>
        </w:rPr>
        <w:t xml:space="preserve">L1 </w:t>
      </w:r>
      <w:r>
        <w:rPr>
          <w:rFonts w:ascii="Calibri" w:hAnsi="Calibri"/>
        </w:rPr>
        <w:t xml:space="preserve">shipborne receivers’ standard IEC 61108-7 </w:t>
      </w:r>
      <w:r>
        <w:rPr>
          <w:rFonts w:ascii="Calibri" w:hAnsi="Calibri"/>
        </w:rPr>
        <w:fldChar w:fldCharType="begin"/>
      </w:r>
      <w:r>
        <w:rPr>
          <w:rFonts w:ascii="Calibri" w:hAnsi="Calibri"/>
        </w:rPr>
        <w:instrText xml:space="preserve"> REF _Ref144903970 \w \h </w:instrText>
      </w:r>
      <w:r>
        <w:rPr>
          <w:rFonts w:ascii="Calibri" w:hAnsi="Calibri"/>
        </w:rPr>
      </w:r>
      <w:r>
        <w:rPr>
          <w:rFonts w:ascii="Calibri" w:hAnsi="Calibri"/>
        </w:rPr>
        <w:fldChar w:fldCharType="separate"/>
      </w:r>
      <w:r w:rsidR="00781B07">
        <w:rPr>
          <w:rFonts w:ascii="Calibri" w:hAnsi="Calibri"/>
        </w:rPr>
        <w:t>[2]</w:t>
      </w:r>
      <w:r>
        <w:rPr>
          <w:rFonts w:ascii="Calibri" w:hAnsi="Calibri"/>
        </w:rPr>
        <w:fldChar w:fldCharType="end"/>
      </w:r>
      <w:r>
        <w:rPr>
          <w:rFonts w:ascii="Calibri" w:hAnsi="Calibri"/>
        </w:rPr>
        <w:t xml:space="preserve"> are welcome.</w:t>
      </w:r>
    </w:p>
    <w:p w14:paraId="5C48C7C8" w14:textId="0970BEDB" w:rsidR="000442A4" w:rsidRDefault="00DA4294" w:rsidP="00DA4294">
      <w:pPr>
        <w:pStyle w:val="Heading1"/>
      </w:pPr>
      <w:r w:rsidRPr="00DA4294">
        <w:t>IEC standard for SBAS L1 shipborne receivers</w:t>
      </w:r>
    </w:p>
    <w:p w14:paraId="45568617" w14:textId="3741DEB5" w:rsidR="00DA4294" w:rsidRDefault="00DA4294" w:rsidP="00DA4294">
      <w:pPr>
        <w:pStyle w:val="Heading2"/>
      </w:pPr>
      <w:r>
        <w:t>Purpose</w:t>
      </w:r>
    </w:p>
    <w:p w14:paraId="08E00A8A" w14:textId="5725682D" w:rsidR="000442A4" w:rsidRPr="000442A4" w:rsidRDefault="000442A4" w:rsidP="000442A4">
      <w:pPr>
        <w:pStyle w:val="BodyText"/>
        <w:rPr>
          <w:rFonts w:ascii="Calibri" w:hAnsi="Calibri"/>
        </w:rPr>
      </w:pPr>
      <w:r w:rsidRPr="000442A4">
        <w:rPr>
          <w:rFonts w:ascii="Calibri" w:hAnsi="Calibri"/>
        </w:rPr>
        <w:t>Maritime community is interested in using SBAS</w:t>
      </w:r>
      <w:r>
        <w:rPr>
          <w:rFonts w:ascii="Calibri" w:hAnsi="Calibri"/>
        </w:rPr>
        <w:t xml:space="preserve"> (</w:t>
      </w:r>
      <w:r w:rsidRPr="000442A4">
        <w:rPr>
          <w:rFonts w:ascii="Calibri" w:hAnsi="Calibri"/>
        </w:rPr>
        <w:t>Satellite Based Augmentation System</w:t>
      </w:r>
      <w:r>
        <w:rPr>
          <w:rFonts w:ascii="Calibri" w:hAnsi="Calibri"/>
        </w:rPr>
        <w:t>)</w:t>
      </w:r>
      <w:r w:rsidRPr="000442A4">
        <w:rPr>
          <w:rFonts w:ascii="Calibri" w:hAnsi="Calibri"/>
        </w:rPr>
        <w:t>, especially where there is no back-up infrastructure or in poorly covered environments.</w:t>
      </w:r>
      <w:r>
        <w:rPr>
          <w:rFonts w:ascii="Calibri" w:hAnsi="Calibri"/>
        </w:rPr>
        <w:t xml:space="preserve"> SBAS enhances GNSS (</w:t>
      </w:r>
      <w:r w:rsidRPr="000442A4">
        <w:rPr>
          <w:rFonts w:ascii="Calibri" w:hAnsi="Calibri"/>
        </w:rPr>
        <w:t>Global Navigation Satellite System</w:t>
      </w:r>
      <w:r>
        <w:rPr>
          <w:rFonts w:ascii="Calibri" w:hAnsi="Calibri"/>
        </w:rPr>
        <w:t>) standalone navigation</w:t>
      </w:r>
      <w:r w:rsidRPr="000442A4">
        <w:rPr>
          <w:rFonts w:ascii="Calibri" w:hAnsi="Calibri"/>
        </w:rPr>
        <w:t xml:space="preserve"> by broadcasting additional signals from geostationary (GEO) satellites over a specific service area (e.g. EGNOS is the SBAS system over Europe). Using a reference monitoring network that receive GNSS signals, the SBAS systems broadcast satellite and ionospheric correction messages that improve accuracy against GNSS standalone solution along with some integrity data that increase the confidence in the navigation position.</w:t>
      </w:r>
    </w:p>
    <w:p w14:paraId="1600F3E0" w14:textId="77777777" w:rsidR="000442A4" w:rsidRDefault="000442A4" w:rsidP="000442A4">
      <w:pPr>
        <w:pStyle w:val="BodyText"/>
        <w:keepNext/>
        <w:keepLines/>
        <w:jc w:val="center"/>
      </w:pPr>
      <w:r w:rsidRPr="00051DBD">
        <w:rPr>
          <w:noProof/>
          <w:sz w:val="20"/>
          <w:szCs w:val="20"/>
        </w:rPr>
        <w:drawing>
          <wp:inline distT="0" distB="0" distL="0" distR="0" wp14:anchorId="5DE1820B" wp14:editId="2F46C35A">
            <wp:extent cx="3795025" cy="1958279"/>
            <wp:effectExtent l="0" t="0" r="0" b="4445"/>
            <wp:docPr id="6" name="Picture 6" descr="ESSP-MOM-19672-01_00 SBAS_for_Maritime_Applications_201705_DJ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SP-MOM-19672-01_00 SBAS_for_Maritime_Applications_201705_DJB"/>
                    <pic:cNvPicPr>
                      <a:picLocks noChangeAspect="1" noChangeArrowheads="1"/>
                    </pic:cNvPicPr>
                  </pic:nvPicPr>
                  <pic:blipFill>
                    <a:blip r:embed="rId11" cstate="print">
                      <a:extLst>
                        <a:ext uri="{28A0092B-C50C-407E-A947-70E740481C1C}">
                          <a14:useLocalDpi xmlns:a14="http://schemas.microsoft.com/office/drawing/2010/main" val="0"/>
                        </a:ext>
                      </a:extLst>
                    </a:blip>
                    <a:srcRect t="22653" b="8850"/>
                    <a:stretch>
                      <a:fillRect/>
                    </a:stretch>
                  </pic:blipFill>
                  <pic:spPr bwMode="auto">
                    <a:xfrm>
                      <a:off x="0" y="0"/>
                      <a:ext cx="3796530" cy="1959056"/>
                    </a:xfrm>
                    <a:prstGeom prst="rect">
                      <a:avLst/>
                    </a:prstGeom>
                    <a:noFill/>
                    <a:ln>
                      <a:noFill/>
                    </a:ln>
                  </pic:spPr>
                </pic:pic>
              </a:graphicData>
            </a:graphic>
          </wp:inline>
        </w:drawing>
      </w:r>
    </w:p>
    <w:p w14:paraId="3D98A481" w14:textId="3E537FEA" w:rsidR="000442A4" w:rsidRPr="00B23225" w:rsidRDefault="000442A4" w:rsidP="00B23225">
      <w:pPr>
        <w:pStyle w:val="Figure"/>
      </w:pPr>
      <w:r w:rsidRPr="00B23225">
        <w:t xml:space="preserve"> SBAS architecture</w:t>
      </w:r>
    </w:p>
    <w:p w14:paraId="23EBB152" w14:textId="77777777" w:rsidR="000442A4" w:rsidRPr="000442A4" w:rsidRDefault="000442A4" w:rsidP="000442A4">
      <w:pPr>
        <w:pStyle w:val="BodyText"/>
        <w:rPr>
          <w:rFonts w:ascii="Calibri" w:hAnsi="Calibri"/>
        </w:rPr>
      </w:pPr>
      <w:r w:rsidRPr="000442A4">
        <w:rPr>
          <w:rFonts w:ascii="Calibri" w:hAnsi="Calibri"/>
        </w:rPr>
        <w:t>Apart from EGNOS, several other SBAS system are currently defined or under definition around the world.</w:t>
      </w:r>
    </w:p>
    <w:p w14:paraId="23FE6311" w14:textId="179B9709" w:rsidR="000442A4" w:rsidRDefault="00875373" w:rsidP="000442A4">
      <w:pPr>
        <w:pStyle w:val="BodyText"/>
        <w:keepNext/>
        <w:keepLines/>
        <w:jc w:val="center"/>
      </w:pPr>
      <w:r>
        <w:rPr>
          <w:noProof/>
        </w:rPr>
        <w:drawing>
          <wp:inline distT="0" distB="0" distL="0" distR="0" wp14:anchorId="46FE01E6" wp14:editId="199BA5EE">
            <wp:extent cx="5943600" cy="31546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3154680"/>
                    </a:xfrm>
                    <a:prstGeom prst="rect">
                      <a:avLst/>
                    </a:prstGeom>
                  </pic:spPr>
                </pic:pic>
              </a:graphicData>
            </a:graphic>
          </wp:inline>
        </w:drawing>
      </w:r>
    </w:p>
    <w:p w14:paraId="397B56D0" w14:textId="63FE6C3F" w:rsidR="000442A4" w:rsidRPr="000442A4" w:rsidRDefault="000442A4" w:rsidP="00B23225">
      <w:pPr>
        <w:pStyle w:val="Figure"/>
      </w:pPr>
      <w:r>
        <w:t xml:space="preserve"> </w:t>
      </w:r>
      <w:r w:rsidR="00875373">
        <w:t xml:space="preserve">Existing and </w:t>
      </w:r>
      <w:r w:rsidR="001B1C4B">
        <w:t>planned</w:t>
      </w:r>
      <w:r w:rsidR="00875373">
        <w:t xml:space="preserve"> SBAS systems</w:t>
      </w:r>
      <w:r w:rsidRPr="000442A4">
        <w:t xml:space="preserve">. Source: </w:t>
      </w:r>
      <w:hyperlink r:id="rId13" w:history="1">
        <w:r w:rsidR="00875373">
          <w:rPr>
            <w:rStyle w:val="Hyperlink"/>
            <w:color w:val="0070C0"/>
            <w:u w:val="single"/>
          </w:rPr>
          <w:t>EDAS SDD</w:t>
        </w:r>
      </w:hyperlink>
    </w:p>
    <w:p w14:paraId="6C3E9F8A" w14:textId="77777777" w:rsidR="000442A4" w:rsidRDefault="000442A4" w:rsidP="000442A4">
      <w:pPr>
        <w:pStyle w:val="BodyText"/>
        <w:keepNext/>
        <w:keepLines/>
        <w:jc w:val="center"/>
      </w:pPr>
    </w:p>
    <w:p w14:paraId="2A95F0F2" w14:textId="7E824542" w:rsidR="00875373" w:rsidRDefault="00875373" w:rsidP="007D5A25">
      <w:pPr>
        <w:pStyle w:val="BodyText"/>
        <w:rPr>
          <w:rFonts w:ascii="Calibri" w:hAnsi="Calibri"/>
        </w:rPr>
      </w:pPr>
      <w:r w:rsidRPr="00875373">
        <w:rPr>
          <w:rFonts w:ascii="Calibri" w:hAnsi="Calibri"/>
        </w:rPr>
        <w:t xml:space="preserve">Currently, GNSS systems (i.e. GPS, Galileo, GLONASS and BeiDou) are recognised by the International Maritime Organization (IMO) as components of the World Wide Radio Navigation System, but they are not suitable for harbour entrances/approaches and coastal waters without augmentation. For this type of operations, differential services, like DGPS/DGLONASS, are used to broadcast augmentation data </w:t>
      </w:r>
      <w:proofErr w:type="gramStart"/>
      <w:r w:rsidRPr="00875373">
        <w:rPr>
          <w:rFonts w:ascii="Calibri" w:hAnsi="Calibri"/>
        </w:rPr>
        <w:t>in order to</w:t>
      </w:r>
      <w:proofErr w:type="gramEnd"/>
      <w:r w:rsidRPr="00875373">
        <w:rPr>
          <w:rFonts w:ascii="Calibri" w:hAnsi="Calibri"/>
        </w:rPr>
        <w:t xml:space="preserve"> fulfil the performance level required by IMO Res A.1046(27)</w:t>
      </w:r>
      <w:r w:rsidR="00DA4294">
        <w:rPr>
          <w:rFonts w:ascii="Calibri" w:hAnsi="Calibri"/>
        </w:rPr>
        <w:t xml:space="preserve"> </w:t>
      </w:r>
      <w:r w:rsidR="00DA4294">
        <w:rPr>
          <w:rFonts w:ascii="Calibri" w:hAnsi="Calibri"/>
        </w:rPr>
        <w:fldChar w:fldCharType="begin"/>
      </w:r>
      <w:r w:rsidR="00DA4294">
        <w:rPr>
          <w:rFonts w:ascii="Calibri" w:hAnsi="Calibri"/>
        </w:rPr>
        <w:instrText xml:space="preserve"> REF _Ref144904454 \w \h </w:instrText>
      </w:r>
      <w:r w:rsidR="00DA4294">
        <w:rPr>
          <w:rFonts w:ascii="Calibri" w:hAnsi="Calibri"/>
        </w:rPr>
      </w:r>
      <w:r w:rsidR="00DA4294">
        <w:rPr>
          <w:rFonts w:ascii="Calibri" w:hAnsi="Calibri"/>
        </w:rPr>
        <w:fldChar w:fldCharType="separate"/>
      </w:r>
      <w:r w:rsidR="00781B07">
        <w:rPr>
          <w:rFonts w:ascii="Calibri" w:hAnsi="Calibri"/>
        </w:rPr>
        <w:t>[1]</w:t>
      </w:r>
      <w:r w:rsidR="00DA4294">
        <w:rPr>
          <w:rFonts w:ascii="Calibri" w:hAnsi="Calibri"/>
        </w:rPr>
        <w:fldChar w:fldCharType="end"/>
      </w:r>
      <w:r w:rsidR="00DA4294">
        <w:rPr>
          <w:rFonts w:ascii="Calibri" w:hAnsi="Calibri"/>
        </w:rPr>
        <w:t xml:space="preserve"> </w:t>
      </w:r>
      <w:r w:rsidRPr="00875373">
        <w:rPr>
          <w:rFonts w:ascii="Calibri" w:hAnsi="Calibri"/>
        </w:rPr>
        <w:t>.</w:t>
      </w:r>
      <w:r w:rsidR="007D5A25">
        <w:rPr>
          <w:rFonts w:ascii="Calibri" w:hAnsi="Calibri"/>
        </w:rPr>
        <w:t xml:space="preserve"> </w:t>
      </w:r>
      <w:r w:rsidR="008535F3">
        <w:rPr>
          <w:rFonts w:ascii="Calibri" w:hAnsi="Calibri"/>
        </w:rPr>
        <w:t xml:space="preserve">Similarly, </w:t>
      </w:r>
      <w:r w:rsidR="007D5A25">
        <w:rPr>
          <w:rFonts w:ascii="Calibri" w:hAnsi="Calibri"/>
        </w:rPr>
        <w:t xml:space="preserve">SBAS </w:t>
      </w:r>
      <w:r w:rsidR="008535F3">
        <w:rPr>
          <w:rFonts w:ascii="Calibri" w:hAnsi="Calibri"/>
        </w:rPr>
        <w:t xml:space="preserve">can </w:t>
      </w:r>
      <w:r w:rsidR="00DA4294">
        <w:rPr>
          <w:rFonts w:ascii="Calibri" w:hAnsi="Calibri"/>
        </w:rPr>
        <w:t>be used as</w:t>
      </w:r>
      <w:r w:rsidR="007D5A25">
        <w:rPr>
          <w:rFonts w:ascii="Calibri" w:hAnsi="Calibri"/>
        </w:rPr>
        <w:t xml:space="preserve"> a suitable </w:t>
      </w:r>
      <w:r w:rsidR="007D5A25" w:rsidRPr="007D5A25">
        <w:rPr>
          <w:rFonts w:ascii="Calibri" w:hAnsi="Calibri"/>
        </w:rPr>
        <w:t xml:space="preserve">augmentation system </w:t>
      </w:r>
      <w:r w:rsidR="007D5A25">
        <w:rPr>
          <w:rFonts w:ascii="Calibri" w:hAnsi="Calibri"/>
        </w:rPr>
        <w:t xml:space="preserve">for </w:t>
      </w:r>
      <w:r w:rsidR="007D5A25" w:rsidRPr="00875373">
        <w:rPr>
          <w:rFonts w:ascii="Calibri" w:hAnsi="Calibri"/>
        </w:rPr>
        <w:t>harbour entrances/approaches and coastal waters</w:t>
      </w:r>
      <w:r w:rsidR="008535F3">
        <w:rPr>
          <w:rFonts w:ascii="Calibri" w:hAnsi="Calibri"/>
        </w:rPr>
        <w:t xml:space="preserve">. </w:t>
      </w:r>
      <w:r w:rsidR="009C336F">
        <w:rPr>
          <w:rFonts w:ascii="Calibri" w:hAnsi="Calibri"/>
        </w:rPr>
        <w:t>To support its adoption, a</w:t>
      </w:r>
      <w:r w:rsidR="008535F3">
        <w:rPr>
          <w:rFonts w:ascii="Calibri" w:hAnsi="Calibri"/>
        </w:rPr>
        <w:t xml:space="preserve"> new standard is about to be approved and published by IEC Technical Committee 80 for the implementation of SBAS L1 in shipborne receivers</w:t>
      </w:r>
      <w:r w:rsidR="009C336F">
        <w:rPr>
          <w:rFonts w:ascii="Calibri" w:hAnsi="Calibri"/>
        </w:rPr>
        <w:t>.</w:t>
      </w:r>
    </w:p>
    <w:p w14:paraId="72F0ABCD" w14:textId="77777777" w:rsidR="000442A4" w:rsidRPr="00DA4294" w:rsidRDefault="000442A4" w:rsidP="000442A4">
      <w:pPr>
        <w:pStyle w:val="BodyText"/>
        <w:rPr>
          <w:rFonts w:ascii="Calibri" w:hAnsi="Calibri"/>
        </w:rPr>
      </w:pPr>
    </w:p>
    <w:p w14:paraId="5C04F4D6" w14:textId="1B3B4356" w:rsidR="00DA4294" w:rsidRPr="00DA4294" w:rsidRDefault="00DA4294" w:rsidP="00DA4294">
      <w:pPr>
        <w:pStyle w:val="Heading2"/>
      </w:pPr>
      <w:r w:rsidRPr="00DA4294">
        <w:t>Content</w:t>
      </w:r>
    </w:p>
    <w:p w14:paraId="6A4137CB" w14:textId="406D4ACC" w:rsidR="00866AC0" w:rsidRDefault="00866AC0" w:rsidP="00866AC0">
      <w:pPr>
        <w:pStyle w:val="BodyText"/>
        <w:rPr>
          <w:rFonts w:ascii="Calibri" w:hAnsi="Calibri"/>
        </w:rPr>
      </w:pPr>
      <w:r w:rsidRPr="00866AC0">
        <w:rPr>
          <w:rFonts w:ascii="Calibri" w:hAnsi="Calibri"/>
        </w:rPr>
        <w:t xml:space="preserve">The title proposal </w:t>
      </w:r>
      <w:r>
        <w:rPr>
          <w:rFonts w:ascii="Calibri" w:hAnsi="Calibri"/>
        </w:rPr>
        <w:t>for this under development</w:t>
      </w:r>
      <w:r w:rsidRPr="00866AC0">
        <w:rPr>
          <w:rFonts w:ascii="Calibri" w:hAnsi="Calibri"/>
        </w:rPr>
        <w:t xml:space="preserve"> standard IEC 61108-7</w:t>
      </w:r>
      <w:r>
        <w:rPr>
          <w:lang w:eastAsia="de-DE"/>
        </w:rPr>
        <w:t xml:space="preserve"> </w:t>
      </w:r>
      <w:r w:rsidRPr="00866AC0">
        <w:rPr>
          <w:rFonts w:ascii="Calibri" w:hAnsi="Calibri"/>
        </w:rPr>
        <w:t>is “Maritime navigation and radiocommunication equipment and systems - Global navigation satellite systems (GNSS) – Part 7: Satellite Based Augmentation Systems (SBAS) L1 – Receiver Equipment – Performance requirements and method of testing”.</w:t>
      </w:r>
    </w:p>
    <w:p w14:paraId="2128CE12" w14:textId="325B0339" w:rsidR="00866AC0" w:rsidRDefault="00866AC0" w:rsidP="00866AC0">
      <w:pPr>
        <w:pStyle w:val="BodyText"/>
        <w:rPr>
          <w:rFonts w:ascii="Calibri" w:hAnsi="Calibri"/>
        </w:rPr>
      </w:pPr>
      <w:r>
        <w:rPr>
          <w:rFonts w:ascii="Calibri" w:hAnsi="Calibri"/>
        </w:rPr>
        <w:t>The CDV (Committee Draft for Vote) submitted for</w:t>
      </w:r>
      <w:r w:rsidRPr="00866AC0">
        <w:rPr>
          <w:rFonts w:ascii="Calibri" w:hAnsi="Calibri"/>
        </w:rPr>
        <w:t xml:space="preserve"> IEC 61108-7</w:t>
      </w:r>
      <w:r>
        <w:rPr>
          <w:rFonts w:ascii="Calibri" w:hAnsi="Calibri"/>
        </w:rPr>
        <w:t xml:space="preserve"> </w:t>
      </w:r>
      <w:r w:rsidRPr="00866AC0">
        <w:rPr>
          <w:rFonts w:ascii="Calibri" w:hAnsi="Calibri"/>
        </w:rPr>
        <w:t xml:space="preserve">standard </w:t>
      </w:r>
      <w:r>
        <w:rPr>
          <w:rFonts w:ascii="Calibri" w:hAnsi="Calibri"/>
        </w:rPr>
        <w:fldChar w:fldCharType="begin"/>
      </w:r>
      <w:r>
        <w:rPr>
          <w:rFonts w:ascii="Calibri" w:hAnsi="Calibri"/>
        </w:rPr>
        <w:instrText xml:space="preserve"> REF _Ref144903970 \r \h </w:instrText>
      </w:r>
      <w:r>
        <w:rPr>
          <w:rFonts w:ascii="Calibri" w:hAnsi="Calibri"/>
        </w:rPr>
      </w:r>
      <w:r>
        <w:rPr>
          <w:rFonts w:ascii="Calibri" w:hAnsi="Calibri"/>
        </w:rPr>
        <w:fldChar w:fldCharType="separate"/>
      </w:r>
      <w:r w:rsidR="00781B07">
        <w:rPr>
          <w:rFonts w:ascii="Calibri" w:hAnsi="Calibri"/>
        </w:rPr>
        <w:t>[2]</w:t>
      </w:r>
      <w:r>
        <w:rPr>
          <w:rFonts w:ascii="Calibri" w:hAnsi="Calibri"/>
        </w:rPr>
        <w:fldChar w:fldCharType="end"/>
      </w:r>
      <w:r w:rsidRPr="00866AC0">
        <w:rPr>
          <w:rFonts w:ascii="Calibri" w:hAnsi="Calibri"/>
        </w:rPr>
        <w:t xml:space="preserve"> addresses the use of SBAS L1 to provide augmentation to the GPS shipborne receiver. This standard, as done for all the standards belonging to the IEC 61108 series, is composed by a set of minimum performance requirements, method of testing and the required test results. </w:t>
      </w:r>
    </w:p>
    <w:p w14:paraId="2767CFEF" w14:textId="74F6A020" w:rsidR="00B23225" w:rsidRDefault="00B23225" w:rsidP="00B23225">
      <w:pPr>
        <w:pStyle w:val="BodyText"/>
        <w:jc w:val="center"/>
        <w:rPr>
          <w:rFonts w:ascii="Calibri" w:hAnsi="Calibri"/>
        </w:rPr>
      </w:pPr>
      <w:r>
        <w:rPr>
          <w:noProof/>
        </w:rPr>
        <w:drawing>
          <wp:inline distT="0" distB="0" distL="0" distR="0" wp14:anchorId="3469E130" wp14:editId="561C9602">
            <wp:extent cx="2952750" cy="2514093"/>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952750" cy="2514093"/>
                    </a:xfrm>
                    <a:prstGeom prst="rect">
                      <a:avLst/>
                    </a:prstGeom>
                  </pic:spPr>
                </pic:pic>
              </a:graphicData>
            </a:graphic>
          </wp:inline>
        </w:drawing>
      </w:r>
    </w:p>
    <w:p w14:paraId="77B7B841" w14:textId="3B359473" w:rsidR="00B23225" w:rsidRPr="000442A4" w:rsidRDefault="00B23225" w:rsidP="00B23225">
      <w:pPr>
        <w:pStyle w:val="Figure"/>
      </w:pPr>
      <w:r>
        <w:t>IEC 6118-7 content</w:t>
      </w:r>
    </w:p>
    <w:p w14:paraId="20BE2D12" w14:textId="6AF592AE" w:rsidR="004E4B9D" w:rsidRDefault="00866AC0" w:rsidP="00866AC0">
      <w:pPr>
        <w:pStyle w:val="BodyText"/>
        <w:rPr>
          <w:rFonts w:ascii="Calibri" w:hAnsi="Calibri"/>
        </w:rPr>
      </w:pPr>
      <w:r w:rsidRPr="00866AC0">
        <w:rPr>
          <w:rFonts w:ascii="Calibri" w:hAnsi="Calibri"/>
        </w:rPr>
        <w:t xml:space="preserve">IEC 61108-7 includes the minimum performance for SBAS L1 maritime receivers to be obtained by the equipment under coverage of SBAS service in order to be compliant with the IMO Resolution A.1046(27) </w:t>
      </w:r>
      <w:r w:rsidR="000F5CBC">
        <w:rPr>
          <w:rFonts w:ascii="Calibri" w:hAnsi="Calibri"/>
        </w:rPr>
        <w:fldChar w:fldCharType="begin"/>
      </w:r>
      <w:r w:rsidR="000F5CBC">
        <w:rPr>
          <w:rFonts w:ascii="Calibri" w:hAnsi="Calibri"/>
        </w:rPr>
        <w:instrText xml:space="preserve"> REF _Ref144904454 \r \h </w:instrText>
      </w:r>
      <w:r w:rsidR="000F5CBC">
        <w:rPr>
          <w:rFonts w:ascii="Calibri" w:hAnsi="Calibri"/>
        </w:rPr>
      </w:r>
      <w:r w:rsidR="000F5CBC">
        <w:rPr>
          <w:rFonts w:ascii="Calibri" w:hAnsi="Calibri"/>
        </w:rPr>
        <w:fldChar w:fldCharType="separate"/>
      </w:r>
      <w:r w:rsidR="000F5CBC">
        <w:rPr>
          <w:rFonts w:ascii="Calibri" w:hAnsi="Calibri"/>
        </w:rPr>
        <w:t>[1]</w:t>
      </w:r>
      <w:r w:rsidR="000F5CBC">
        <w:rPr>
          <w:rFonts w:ascii="Calibri" w:hAnsi="Calibri"/>
        </w:rPr>
        <w:fldChar w:fldCharType="end"/>
      </w:r>
      <w:r w:rsidRPr="00866AC0">
        <w:rPr>
          <w:rFonts w:ascii="Calibri" w:hAnsi="Calibri"/>
        </w:rPr>
        <w:fldChar w:fldCharType="begin"/>
      </w:r>
      <w:r w:rsidRPr="00866AC0">
        <w:rPr>
          <w:rFonts w:ascii="Calibri" w:hAnsi="Calibri"/>
        </w:rPr>
        <w:instrText xml:space="preserve"> REF _Ref129774581 \r \h </w:instrText>
      </w:r>
      <w:r>
        <w:rPr>
          <w:rFonts w:ascii="Calibri" w:hAnsi="Calibri"/>
        </w:rPr>
        <w:instrText xml:space="preserve"> \* MERGEFORMAT </w:instrText>
      </w:r>
      <w:r w:rsidRPr="00866AC0">
        <w:rPr>
          <w:rFonts w:ascii="Calibri" w:hAnsi="Calibri"/>
        </w:rPr>
      </w:r>
      <w:r w:rsidRPr="00866AC0">
        <w:rPr>
          <w:rFonts w:ascii="Calibri" w:hAnsi="Calibri"/>
        </w:rPr>
        <w:fldChar w:fldCharType="end"/>
      </w:r>
      <w:r w:rsidRPr="00866AC0">
        <w:rPr>
          <w:rFonts w:ascii="Calibri" w:hAnsi="Calibri"/>
        </w:rPr>
        <w:t xml:space="preserve">, describing operational requirements for ocean waters, coastal waters and harbour entrances/approaches. </w:t>
      </w:r>
    </w:p>
    <w:p w14:paraId="3E360B37" w14:textId="668DC253" w:rsidR="004E4B9D" w:rsidRDefault="004E4B9D" w:rsidP="00866AC0">
      <w:pPr>
        <w:pStyle w:val="BodyText"/>
        <w:rPr>
          <w:rFonts w:ascii="Calibri" w:hAnsi="Calibri"/>
        </w:rPr>
      </w:pPr>
      <w:r>
        <w:rPr>
          <w:rFonts w:ascii="Calibri" w:hAnsi="Calibri"/>
        </w:rPr>
        <w:t>Firstly, t</w:t>
      </w:r>
      <w:r w:rsidR="00866AC0" w:rsidRPr="00866AC0">
        <w:rPr>
          <w:rFonts w:ascii="Calibri" w:hAnsi="Calibri"/>
        </w:rPr>
        <w:t xml:space="preserve">he requirements included in the standard define the specifications for </w:t>
      </w:r>
      <w:r>
        <w:rPr>
          <w:rFonts w:ascii="Calibri" w:hAnsi="Calibri"/>
        </w:rPr>
        <w:t>the following aspects:</w:t>
      </w:r>
    </w:p>
    <w:p w14:paraId="0DD88F30" w14:textId="77777777" w:rsidR="004E4B9D" w:rsidRDefault="004E4B9D" w:rsidP="008D19F6">
      <w:pPr>
        <w:pStyle w:val="BodyText"/>
        <w:numPr>
          <w:ilvl w:val="0"/>
          <w:numId w:val="20"/>
        </w:numPr>
        <w:spacing w:after="0"/>
        <w:ind w:left="714" w:hanging="357"/>
        <w:rPr>
          <w:rFonts w:ascii="Calibri" w:hAnsi="Calibri"/>
        </w:rPr>
        <w:sectPr w:rsidR="004E4B9D" w:rsidSect="007A395D">
          <w:headerReference w:type="even" r:id="rId15"/>
          <w:headerReference w:type="default" r:id="rId16"/>
          <w:footerReference w:type="default" r:id="rId17"/>
          <w:headerReference w:type="first" r:id="rId18"/>
          <w:pgSz w:w="11906" w:h="16838"/>
          <w:pgMar w:top="709" w:right="991" w:bottom="1134" w:left="1134" w:header="709" w:footer="709" w:gutter="0"/>
          <w:cols w:space="708"/>
          <w:titlePg/>
          <w:docGrid w:linePitch="360"/>
        </w:sectPr>
      </w:pPr>
    </w:p>
    <w:p w14:paraId="25C038B3" w14:textId="4A432B15" w:rsidR="004E4B9D" w:rsidRPr="004E4B9D" w:rsidRDefault="004E4B9D" w:rsidP="008D19F6">
      <w:pPr>
        <w:pStyle w:val="BodyText"/>
        <w:numPr>
          <w:ilvl w:val="0"/>
          <w:numId w:val="20"/>
        </w:numPr>
        <w:spacing w:after="0"/>
        <w:ind w:left="714" w:hanging="357"/>
        <w:rPr>
          <w:rFonts w:ascii="Calibri" w:hAnsi="Calibri"/>
        </w:rPr>
      </w:pPr>
      <w:r w:rsidRPr="004E4B9D">
        <w:rPr>
          <w:rFonts w:ascii="Calibri" w:hAnsi="Calibri"/>
        </w:rPr>
        <w:t>General</w:t>
      </w:r>
    </w:p>
    <w:p w14:paraId="5A4BE279" w14:textId="77777777" w:rsidR="004E4B9D" w:rsidRPr="004E4B9D" w:rsidRDefault="004E4B9D" w:rsidP="008D19F6">
      <w:pPr>
        <w:pStyle w:val="BodyText"/>
        <w:numPr>
          <w:ilvl w:val="0"/>
          <w:numId w:val="20"/>
        </w:numPr>
        <w:spacing w:after="0"/>
        <w:ind w:left="714" w:hanging="357"/>
        <w:rPr>
          <w:rFonts w:ascii="Calibri" w:hAnsi="Calibri"/>
        </w:rPr>
      </w:pPr>
      <w:r w:rsidRPr="004E4B9D">
        <w:rPr>
          <w:rFonts w:ascii="Calibri" w:hAnsi="Calibri"/>
        </w:rPr>
        <w:t>Equipment output</w:t>
      </w:r>
    </w:p>
    <w:p w14:paraId="2C3C25AF" w14:textId="77777777" w:rsidR="004E4B9D" w:rsidRPr="004E4B9D" w:rsidRDefault="004E4B9D" w:rsidP="008D19F6">
      <w:pPr>
        <w:pStyle w:val="BodyText"/>
        <w:numPr>
          <w:ilvl w:val="0"/>
          <w:numId w:val="20"/>
        </w:numPr>
        <w:spacing w:after="0"/>
        <w:ind w:left="714" w:hanging="357"/>
        <w:rPr>
          <w:rFonts w:ascii="Calibri" w:hAnsi="Calibri"/>
        </w:rPr>
      </w:pPr>
      <w:r w:rsidRPr="004E4B9D">
        <w:rPr>
          <w:rFonts w:ascii="Calibri" w:hAnsi="Calibri"/>
        </w:rPr>
        <w:t>Accuracy</w:t>
      </w:r>
      <w:r w:rsidRPr="004E4B9D">
        <w:rPr>
          <w:rFonts w:ascii="Calibri" w:hAnsi="Calibri"/>
        </w:rPr>
        <w:tab/>
      </w:r>
    </w:p>
    <w:p w14:paraId="1A7E695E" w14:textId="77777777" w:rsidR="004E4B9D" w:rsidRPr="004E4B9D" w:rsidRDefault="004E4B9D" w:rsidP="008D19F6">
      <w:pPr>
        <w:pStyle w:val="BodyText"/>
        <w:numPr>
          <w:ilvl w:val="0"/>
          <w:numId w:val="20"/>
        </w:numPr>
        <w:spacing w:after="0"/>
        <w:ind w:left="714" w:hanging="357"/>
        <w:rPr>
          <w:rFonts w:ascii="Calibri" w:hAnsi="Calibri"/>
        </w:rPr>
      </w:pPr>
      <w:r w:rsidRPr="004E4B9D">
        <w:rPr>
          <w:rFonts w:ascii="Calibri" w:hAnsi="Calibri"/>
        </w:rPr>
        <w:t>Acquisition</w:t>
      </w:r>
      <w:r w:rsidRPr="004E4B9D">
        <w:rPr>
          <w:rFonts w:ascii="Calibri" w:hAnsi="Calibri"/>
        </w:rPr>
        <w:tab/>
      </w:r>
    </w:p>
    <w:p w14:paraId="7E9CF6DD" w14:textId="77777777" w:rsidR="004E4B9D" w:rsidRPr="004E4B9D" w:rsidRDefault="004E4B9D" w:rsidP="008D19F6">
      <w:pPr>
        <w:pStyle w:val="BodyText"/>
        <w:numPr>
          <w:ilvl w:val="0"/>
          <w:numId w:val="20"/>
        </w:numPr>
        <w:spacing w:after="0"/>
        <w:ind w:left="714" w:hanging="357"/>
        <w:rPr>
          <w:rFonts w:ascii="Calibri" w:hAnsi="Calibri"/>
        </w:rPr>
      </w:pPr>
      <w:r w:rsidRPr="004E4B9D">
        <w:rPr>
          <w:rFonts w:ascii="Calibri" w:hAnsi="Calibri"/>
        </w:rPr>
        <w:t>Availability</w:t>
      </w:r>
      <w:r w:rsidRPr="004E4B9D">
        <w:rPr>
          <w:rFonts w:ascii="Calibri" w:hAnsi="Calibri"/>
        </w:rPr>
        <w:tab/>
      </w:r>
    </w:p>
    <w:p w14:paraId="66B77392" w14:textId="77777777" w:rsidR="004E4B9D" w:rsidRPr="004E4B9D" w:rsidRDefault="004E4B9D" w:rsidP="008D19F6">
      <w:pPr>
        <w:pStyle w:val="BodyText"/>
        <w:numPr>
          <w:ilvl w:val="0"/>
          <w:numId w:val="20"/>
        </w:numPr>
        <w:spacing w:after="0"/>
        <w:ind w:left="714" w:hanging="357"/>
        <w:rPr>
          <w:rFonts w:ascii="Calibri" w:hAnsi="Calibri"/>
        </w:rPr>
      </w:pPr>
      <w:r w:rsidRPr="004E4B9D">
        <w:rPr>
          <w:rFonts w:ascii="Calibri" w:hAnsi="Calibri"/>
        </w:rPr>
        <w:t>Dynamic range</w:t>
      </w:r>
      <w:r w:rsidRPr="004E4B9D">
        <w:rPr>
          <w:rFonts w:ascii="Calibri" w:hAnsi="Calibri"/>
        </w:rPr>
        <w:tab/>
      </w:r>
    </w:p>
    <w:p w14:paraId="26D98879" w14:textId="77777777" w:rsidR="004E4B9D" w:rsidRPr="004E4B9D" w:rsidRDefault="004E4B9D" w:rsidP="008D19F6">
      <w:pPr>
        <w:pStyle w:val="BodyText"/>
        <w:numPr>
          <w:ilvl w:val="0"/>
          <w:numId w:val="20"/>
        </w:numPr>
        <w:spacing w:after="0"/>
        <w:ind w:left="714" w:hanging="357"/>
        <w:rPr>
          <w:rFonts w:ascii="Calibri" w:hAnsi="Calibri"/>
        </w:rPr>
      </w:pPr>
      <w:r w:rsidRPr="004E4B9D">
        <w:rPr>
          <w:rFonts w:ascii="Calibri" w:hAnsi="Calibri"/>
        </w:rPr>
        <w:t>Effects of specific interfering signals</w:t>
      </w:r>
      <w:r w:rsidRPr="004E4B9D">
        <w:rPr>
          <w:rFonts w:ascii="Calibri" w:hAnsi="Calibri"/>
        </w:rPr>
        <w:tab/>
      </w:r>
    </w:p>
    <w:p w14:paraId="02555B09" w14:textId="77777777" w:rsidR="004E4B9D" w:rsidRPr="004E4B9D" w:rsidRDefault="004E4B9D" w:rsidP="008D19F6">
      <w:pPr>
        <w:pStyle w:val="BodyText"/>
        <w:numPr>
          <w:ilvl w:val="0"/>
          <w:numId w:val="20"/>
        </w:numPr>
        <w:spacing w:after="0"/>
        <w:ind w:left="714" w:hanging="357"/>
        <w:rPr>
          <w:rFonts w:ascii="Calibri" w:hAnsi="Calibri"/>
        </w:rPr>
      </w:pPr>
      <w:r w:rsidRPr="004E4B9D">
        <w:rPr>
          <w:rFonts w:ascii="Calibri" w:hAnsi="Calibri"/>
        </w:rPr>
        <w:t>Position update</w:t>
      </w:r>
      <w:r w:rsidRPr="004E4B9D">
        <w:rPr>
          <w:rFonts w:ascii="Calibri" w:hAnsi="Calibri"/>
        </w:rPr>
        <w:tab/>
      </w:r>
    </w:p>
    <w:p w14:paraId="1F9209EA" w14:textId="77777777" w:rsidR="004E4B9D" w:rsidRPr="004E4B9D" w:rsidRDefault="004E4B9D" w:rsidP="008D19F6">
      <w:pPr>
        <w:pStyle w:val="BodyText"/>
        <w:numPr>
          <w:ilvl w:val="0"/>
          <w:numId w:val="20"/>
        </w:numPr>
        <w:spacing w:after="0"/>
        <w:ind w:left="714" w:hanging="357"/>
        <w:rPr>
          <w:rFonts w:ascii="Calibri" w:hAnsi="Calibri"/>
        </w:rPr>
      </w:pPr>
      <w:r w:rsidRPr="004E4B9D">
        <w:rPr>
          <w:rFonts w:ascii="Calibri" w:hAnsi="Calibri"/>
        </w:rPr>
        <w:t>SBAS input and processing</w:t>
      </w:r>
      <w:r w:rsidRPr="004E4B9D">
        <w:rPr>
          <w:rFonts w:ascii="Calibri" w:hAnsi="Calibri"/>
        </w:rPr>
        <w:tab/>
      </w:r>
    </w:p>
    <w:p w14:paraId="40931ED7" w14:textId="77777777" w:rsidR="004E4B9D" w:rsidRPr="004E4B9D" w:rsidRDefault="004E4B9D" w:rsidP="008D19F6">
      <w:pPr>
        <w:pStyle w:val="BodyText"/>
        <w:numPr>
          <w:ilvl w:val="0"/>
          <w:numId w:val="20"/>
        </w:numPr>
        <w:spacing w:after="0"/>
        <w:ind w:left="714" w:hanging="357"/>
        <w:rPr>
          <w:rFonts w:ascii="Calibri" w:hAnsi="Calibri"/>
        </w:rPr>
      </w:pPr>
      <w:r w:rsidRPr="004E4B9D">
        <w:rPr>
          <w:rFonts w:ascii="Calibri" w:hAnsi="Calibri"/>
        </w:rPr>
        <w:t>Navigational status indications</w:t>
      </w:r>
      <w:r w:rsidRPr="004E4B9D">
        <w:rPr>
          <w:rFonts w:ascii="Calibri" w:hAnsi="Calibri"/>
        </w:rPr>
        <w:tab/>
      </w:r>
    </w:p>
    <w:p w14:paraId="6712FDDD" w14:textId="77777777" w:rsidR="004E4B9D" w:rsidRPr="004E4B9D" w:rsidRDefault="004E4B9D" w:rsidP="008D19F6">
      <w:pPr>
        <w:pStyle w:val="BodyText"/>
        <w:numPr>
          <w:ilvl w:val="0"/>
          <w:numId w:val="20"/>
        </w:numPr>
        <w:spacing w:after="0"/>
        <w:ind w:left="714" w:hanging="357"/>
        <w:rPr>
          <w:rFonts w:ascii="Calibri" w:hAnsi="Calibri"/>
        </w:rPr>
      </w:pPr>
      <w:r w:rsidRPr="004E4B9D">
        <w:rPr>
          <w:rFonts w:ascii="Calibri" w:hAnsi="Calibri"/>
        </w:rPr>
        <w:t>Operation under typical interference conditions</w:t>
      </w:r>
      <w:r w:rsidRPr="004E4B9D">
        <w:rPr>
          <w:rFonts w:ascii="Calibri" w:hAnsi="Calibri"/>
        </w:rPr>
        <w:tab/>
      </w:r>
    </w:p>
    <w:p w14:paraId="0346182D" w14:textId="77777777" w:rsidR="00196604" w:rsidRDefault="004E4B9D" w:rsidP="008D19F6">
      <w:pPr>
        <w:pStyle w:val="BodyText"/>
        <w:numPr>
          <w:ilvl w:val="0"/>
          <w:numId w:val="20"/>
        </w:numPr>
        <w:spacing w:after="0"/>
        <w:ind w:left="714" w:hanging="357"/>
        <w:rPr>
          <w:rFonts w:ascii="Calibri" w:hAnsi="Calibri"/>
        </w:rPr>
        <w:sectPr w:rsidR="00196604" w:rsidSect="00196604">
          <w:type w:val="continuous"/>
          <w:pgSz w:w="11906" w:h="16838"/>
          <w:pgMar w:top="709" w:right="991" w:bottom="1134" w:left="1134" w:header="709" w:footer="709" w:gutter="0"/>
          <w:cols w:num="2" w:space="708"/>
          <w:titlePg/>
          <w:docGrid w:linePitch="360"/>
        </w:sectPr>
      </w:pPr>
      <w:r w:rsidRPr="004E4B9D">
        <w:rPr>
          <w:rFonts w:ascii="Calibri" w:hAnsi="Calibri"/>
        </w:rPr>
        <w:t>Output of COG, SOG and UTC</w:t>
      </w:r>
      <w:r w:rsidRPr="004E4B9D">
        <w:rPr>
          <w:rFonts w:ascii="Calibri" w:hAnsi="Calibri"/>
        </w:rPr>
        <w:tab/>
      </w:r>
    </w:p>
    <w:p w14:paraId="734E2A94" w14:textId="77777777" w:rsidR="004E4B9D" w:rsidRDefault="004E4B9D" w:rsidP="00866AC0">
      <w:pPr>
        <w:pStyle w:val="BodyText"/>
        <w:rPr>
          <w:rFonts w:ascii="Calibri" w:hAnsi="Calibri"/>
        </w:rPr>
      </w:pPr>
    </w:p>
    <w:p w14:paraId="357659D6" w14:textId="47F9CDA6" w:rsidR="00866AC0" w:rsidRDefault="00866AC0" w:rsidP="00866AC0">
      <w:pPr>
        <w:pStyle w:val="BodyText"/>
        <w:rPr>
          <w:rFonts w:ascii="Calibri" w:hAnsi="Calibri"/>
        </w:rPr>
      </w:pPr>
      <w:r w:rsidRPr="00866AC0">
        <w:rPr>
          <w:rFonts w:ascii="Calibri" w:hAnsi="Calibri"/>
        </w:rPr>
        <w:t xml:space="preserve">In addition, it includes a high level procedure for SBAS L1 navigation computation to ensure that receivers correctly process and uses the SBAS data, the receiver output sentences to support SBAS L1 operation and bridge alert management compliant with IEC 62923-1 </w:t>
      </w:r>
      <w:r>
        <w:rPr>
          <w:rFonts w:ascii="Calibri" w:hAnsi="Calibri"/>
        </w:rPr>
        <w:fldChar w:fldCharType="begin"/>
      </w:r>
      <w:r>
        <w:rPr>
          <w:rFonts w:ascii="Calibri" w:hAnsi="Calibri"/>
        </w:rPr>
        <w:instrText xml:space="preserve"> REF _Ref144985413 \r \h </w:instrText>
      </w:r>
      <w:r>
        <w:rPr>
          <w:rFonts w:ascii="Calibri" w:hAnsi="Calibri"/>
        </w:rPr>
      </w:r>
      <w:r>
        <w:rPr>
          <w:rFonts w:ascii="Calibri" w:hAnsi="Calibri"/>
        </w:rPr>
        <w:fldChar w:fldCharType="separate"/>
      </w:r>
      <w:r w:rsidR="00781B07">
        <w:rPr>
          <w:rFonts w:ascii="Calibri" w:hAnsi="Calibri"/>
        </w:rPr>
        <w:t>[3]</w:t>
      </w:r>
      <w:r>
        <w:rPr>
          <w:rFonts w:ascii="Calibri" w:hAnsi="Calibri"/>
        </w:rPr>
        <w:fldChar w:fldCharType="end"/>
      </w:r>
      <w:r w:rsidRPr="00866AC0">
        <w:rPr>
          <w:rFonts w:ascii="Calibri" w:hAnsi="Calibri"/>
        </w:rPr>
        <w:t>and IEC 62923-2</w:t>
      </w:r>
      <w:r>
        <w:rPr>
          <w:rFonts w:ascii="Calibri" w:hAnsi="Calibri"/>
        </w:rPr>
        <w:t xml:space="preserve"> </w:t>
      </w:r>
      <w:r>
        <w:rPr>
          <w:rFonts w:ascii="Calibri" w:hAnsi="Calibri"/>
        </w:rPr>
        <w:fldChar w:fldCharType="begin"/>
      </w:r>
      <w:r>
        <w:rPr>
          <w:rFonts w:ascii="Calibri" w:hAnsi="Calibri"/>
        </w:rPr>
        <w:instrText xml:space="preserve"> REF _Ref144985421 \r \h </w:instrText>
      </w:r>
      <w:r>
        <w:rPr>
          <w:rFonts w:ascii="Calibri" w:hAnsi="Calibri"/>
        </w:rPr>
      </w:r>
      <w:r>
        <w:rPr>
          <w:rFonts w:ascii="Calibri" w:hAnsi="Calibri"/>
        </w:rPr>
        <w:fldChar w:fldCharType="separate"/>
      </w:r>
      <w:r w:rsidR="00781B07">
        <w:rPr>
          <w:rFonts w:ascii="Calibri" w:hAnsi="Calibri"/>
        </w:rPr>
        <w:t>[4]</w:t>
      </w:r>
      <w:r>
        <w:rPr>
          <w:rFonts w:ascii="Calibri" w:hAnsi="Calibri"/>
        </w:rPr>
        <w:fldChar w:fldCharType="end"/>
      </w:r>
      <w:r w:rsidRPr="00866AC0">
        <w:rPr>
          <w:rFonts w:ascii="Calibri" w:hAnsi="Calibri"/>
        </w:rPr>
        <w:t>.</w:t>
      </w:r>
    </w:p>
    <w:p w14:paraId="186143A8" w14:textId="536341DC" w:rsidR="00866AC0" w:rsidRDefault="00866AC0" w:rsidP="00866AC0">
      <w:pPr>
        <w:pStyle w:val="BodyText"/>
        <w:rPr>
          <w:rFonts w:ascii="Calibri" w:hAnsi="Calibri"/>
        </w:rPr>
      </w:pPr>
      <w:r w:rsidRPr="00866AC0">
        <w:rPr>
          <w:rFonts w:ascii="Calibri" w:hAnsi="Calibri"/>
        </w:rPr>
        <w:t>Finally, to ensure that the receiver correctly implements the requirements</w:t>
      </w:r>
      <w:r w:rsidR="00EF382E">
        <w:rPr>
          <w:rFonts w:ascii="Calibri" w:hAnsi="Calibri"/>
        </w:rPr>
        <w:t>,</w:t>
      </w:r>
      <w:r w:rsidRPr="00866AC0">
        <w:rPr>
          <w:rFonts w:ascii="Calibri" w:hAnsi="Calibri"/>
        </w:rPr>
        <w:t xml:space="preserve"> a set of tests are also included in the standard describing the method of testing and the required test results. The receiver equipment (composed by receiver and antenna) shall perform and pass these tests in an accredited</w:t>
      </w:r>
      <w:r>
        <w:rPr>
          <w:rFonts w:ascii="Calibri" w:hAnsi="Calibri"/>
        </w:rPr>
        <w:t xml:space="preserve"> laboratory</w:t>
      </w:r>
      <w:r w:rsidRPr="00866AC0">
        <w:rPr>
          <w:rFonts w:ascii="Calibri" w:hAnsi="Calibri"/>
        </w:rPr>
        <w:t>:</w:t>
      </w:r>
    </w:p>
    <w:p w14:paraId="3E696208" w14:textId="77777777" w:rsidR="00196604" w:rsidRDefault="00196604" w:rsidP="008D19F6">
      <w:pPr>
        <w:pStyle w:val="BodyText"/>
        <w:numPr>
          <w:ilvl w:val="0"/>
          <w:numId w:val="20"/>
        </w:numPr>
        <w:spacing w:after="0"/>
        <w:ind w:left="714" w:hanging="357"/>
        <w:rPr>
          <w:rFonts w:ascii="Calibri" w:hAnsi="Calibri"/>
        </w:rPr>
        <w:sectPr w:rsidR="00196604" w:rsidSect="0082480E">
          <w:pgSz w:w="11906" w:h="16838"/>
          <w:pgMar w:top="1134" w:right="1134" w:bottom="1134" w:left="1134" w:header="709" w:footer="709" w:gutter="0"/>
          <w:cols w:space="708"/>
          <w:docGrid w:linePitch="360"/>
        </w:sectPr>
      </w:pPr>
    </w:p>
    <w:p w14:paraId="518FB3C6" w14:textId="4C92FFBA" w:rsidR="00866AC0" w:rsidRPr="00866AC0" w:rsidRDefault="00866AC0" w:rsidP="008D19F6">
      <w:pPr>
        <w:pStyle w:val="BodyText"/>
        <w:numPr>
          <w:ilvl w:val="0"/>
          <w:numId w:val="20"/>
        </w:numPr>
        <w:spacing w:after="0"/>
        <w:ind w:left="714" w:hanging="357"/>
        <w:rPr>
          <w:rFonts w:ascii="Calibri" w:hAnsi="Calibri"/>
        </w:rPr>
      </w:pPr>
      <w:r w:rsidRPr="00866AC0">
        <w:rPr>
          <w:rFonts w:ascii="Calibri" w:hAnsi="Calibri"/>
        </w:rPr>
        <w:t>SBAS L1 receiver equipment</w:t>
      </w:r>
    </w:p>
    <w:p w14:paraId="10F0A1E7" w14:textId="77777777" w:rsidR="00866AC0" w:rsidRPr="00866AC0" w:rsidRDefault="00866AC0" w:rsidP="008D19F6">
      <w:pPr>
        <w:pStyle w:val="BodyText"/>
        <w:numPr>
          <w:ilvl w:val="0"/>
          <w:numId w:val="20"/>
        </w:numPr>
        <w:spacing w:after="0"/>
        <w:ind w:left="714" w:hanging="357"/>
        <w:rPr>
          <w:rFonts w:ascii="Calibri" w:hAnsi="Calibri"/>
        </w:rPr>
      </w:pPr>
      <w:r w:rsidRPr="00866AC0">
        <w:rPr>
          <w:rFonts w:ascii="Calibri" w:hAnsi="Calibri"/>
        </w:rPr>
        <w:t>Configuration</w:t>
      </w:r>
    </w:p>
    <w:p w14:paraId="7A7FCEC4" w14:textId="77777777" w:rsidR="00866AC0" w:rsidRPr="00866AC0" w:rsidRDefault="00866AC0" w:rsidP="008D19F6">
      <w:pPr>
        <w:pStyle w:val="BodyText"/>
        <w:numPr>
          <w:ilvl w:val="0"/>
          <w:numId w:val="20"/>
        </w:numPr>
        <w:spacing w:after="0"/>
        <w:ind w:left="714" w:hanging="357"/>
        <w:rPr>
          <w:rFonts w:ascii="Calibri" w:hAnsi="Calibri"/>
        </w:rPr>
      </w:pPr>
      <w:r w:rsidRPr="00866AC0">
        <w:rPr>
          <w:rFonts w:ascii="Calibri" w:hAnsi="Calibri"/>
        </w:rPr>
        <w:t>Position output</w:t>
      </w:r>
    </w:p>
    <w:p w14:paraId="142C29B8" w14:textId="77777777" w:rsidR="00866AC0" w:rsidRPr="00866AC0" w:rsidRDefault="00866AC0" w:rsidP="008D19F6">
      <w:pPr>
        <w:pStyle w:val="BodyText"/>
        <w:numPr>
          <w:ilvl w:val="0"/>
          <w:numId w:val="20"/>
        </w:numPr>
        <w:spacing w:after="0"/>
        <w:ind w:left="714" w:hanging="357"/>
        <w:rPr>
          <w:rFonts w:ascii="Calibri" w:hAnsi="Calibri"/>
        </w:rPr>
      </w:pPr>
      <w:r w:rsidRPr="00866AC0">
        <w:rPr>
          <w:rFonts w:ascii="Calibri" w:hAnsi="Calibri"/>
        </w:rPr>
        <w:t>Equipment output</w:t>
      </w:r>
    </w:p>
    <w:p w14:paraId="7D493CB3" w14:textId="77777777" w:rsidR="00866AC0" w:rsidRPr="00866AC0" w:rsidRDefault="00866AC0" w:rsidP="008D19F6">
      <w:pPr>
        <w:pStyle w:val="BodyText"/>
        <w:numPr>
          <w:ilvl w:val="0"/>
          <w:numId w:val="20"/>
        </w:numPr>
        <w:spacing w:after="0"/>
        <w:ind w:left="714" w:hanging="357"/>
        <w:rPr>
          <w:rFonts w:ascii="Calibri" w:hAnsi="Calibri"/>
        </w:rPr>
      </w:pPr>
      <w:r w:rsidRPr="00866AC0">
        <w:rPr>
          <w:rFonts w:ascii="Calibri" w:hAnsi="Calibri"/>
        </w:rPr>
        <w:t>Static accuracy and availability</w:t>
      </w:r>
    </w:p>
    <w:p w14:paraId="7DAA9C74" w14:textId="77777777" w:rsidR="00866AC0" w:rsidRPr="00866AC0" w:rsidRDefault="00866AC0" w:rsidP="008D19F6">
      <w:pPr>
        <w:pStyle w:val="BodyText"/>
        <w:numPr>
          <w:ilvl w:val="0"/>
          <w:numId w:val="20"/>
        </w:numPr>
        <w:spacing w:after="0"/>
        <w:ind w:left="714" w:hanging="357"/>
        <w:rPr>
          <w:rFonts w:ascii="Calibri" w:hAnsi="Calibri"/>
        </w:rPr>
      </w:pPr>
      <w:r w:rsidRPr="00866AC0">
        <w:rPr>
          <w:rFonts w:ascii="Calibri" w:hAnsi="Calibri"/>
        </w:rPr>
        <w:t>Static accuracy with angular movement of the antenna</w:t>
      </w:r>
    </w:p>
    <w:p w14:paraId="1541110B" w14:textId="77777777" w:rsidR="00866AC0" w:rsidRPr="00866AC0" w:rsidRDefault="00866AC0" w:rsidP="008D19F6">
      <w:pPr>
        <w:pStyle w:val="BodyText"/>
        <w:numPr>
          <w:ilvl w:val="0"/>
          <w:numId w:val="20"/>
        </w:numPr>
        <w:spacing w:after="0"/>
        <w:ind w:left="714" w:hanging="357"/>
        <w:rPr>
          <w:rFonts w:ascii="Calibri" w:hAnsi="Calibri"/>
        </w:rPr>
      </w:pPr>
      <w:r w:rsidRPr="00866AC0">
        <w:rPr>
          <w:rFonts w:ascii="Calibri" w:hAnsi="Calibri"/>
        </w:rPr>
        <w:t>Dynamic accuracy</w:t>
      </w:r>
    </w:p>
    <w:p w14:paraId="7C37930E" w14:textId="77777777" w:rsidR="00866AC0" w:rsidRPr="00866AC0" w:rsidRDefault="00866AC0" w:rsidP="008D19F6">
      <w:pPr>
        <w:pStyle w:val="BodyText"/>
        <w:numPr>
          <w:ilvl w:val="0"/>
          <w:numId w:val="20"/>
        </w:numPr>
        <w:spacing w:after="0"/>
        <w:ind w:left="714" w:hanging="357"/>
        <w:rPr>
          <w:rFonts w:ascii="Calibri" w:hAnsi="Calibri"/>
        </w:rPr>
      </w:pPr>
      <w:r w:rsidRPr="00866AC0">
        <w:rPr>
          <w:rFonts w:ascii="Calibri" w:hAnsi="Calibri"/>
        </w:rPr>
        <w:t>Acquisition</w:t>
      </w:r>
    </w:p>
    <w:p w14:paraId="7B118BE6" w14:textId="77777777" w:rsidR="00866AC0" w:rsidRPr="00866AC0" w:rsidRDefault="00866AC0" w:rsidP="008D19F6">
      <w:pPr>
        <w:pStyle w:val="BodyText"/>
        <w:numPr>
          <w:ilvl w:val="0"/>
          <w:numId w:val="20"/>
        </w:numPr>
        <w:spacing w:after="0"/>
        <w:ind w:left="714" w:hanging="357"/>
        <w:rPr>
          <w:rFonts w:ascii="Calibri" w:hAnsi="Calibri"/>
        </w:rPr>
      </w:pPr>
      <w:r w:rsidRPr="00866AC0">
        <w:rPr>
          <w:rFonts w:ascii="Calibri" w:hAnsi="Calibri"/>
        </w:rPr>
        <w:t>Sensitivity and dynamic range</w:t>
      </w:r>
    </w:p>
    <w:p w14:paraId="6B30F4A8" w14:textId="77777777" w:rsidR="00866AC0" w:rsidRPr="00866AC0" w:rsidRDefault="00866AC0" w:rsidP="008D19F6">
      <w:pPr>
        <w:pStyle w:val="BodyText"/>
        <w:numPr>
          <w:ilvl w:val="0"/>
          <w:numId w:val="20"/>
        </w:numPr>
        <w:spacing w:after="0"/>
        <w:ind w:left="714" w:hanging="357"/>
        <w:rPr>
          <w:rFonts w:ascii="Calibri" w:hAnsi="Calibri"/>
        </w:rPr>
      </w:pPr>
      <w:r w:rsidRPr="00866AC0">
        <w:rPr>
          <w:rFonts w:ascii="Calibri" w:hAnsi="Calibri"/>
        </w:rPr>
        <w:t>Effects on specific interfering signals</w:t>
      </w:r>
    </w:p>
    <w:p w14:paraId="5026C5D8" w14:textId="77777777" w:rsidR="00866AC0" w:rsidRPr="00866AC0" w:rsidRDefault="00866AC0" w:rsidP="008D19F6">
      <w:pPr>
        <w:pStyle w:val="BodyText"/>
        <w:numPr>
          <w:ilvl w:val="0"/>
          <w:numId w:val="20"/>
        </w:numPr>
        <w:spacing w:after="0"/>
        <w:ind w:left="714" w:hanging="357"/>
        <w:rPr>
          <w:rFonts w:ascii="Calibri" w:hAnsi="Calibri"/>
        </w:rPr>
      </w:pPr>
      <w:r w:rsidRPr="00866AC0">
        <w:rPr>
          <w:rFonts w:ascii="Calibri" w:hAnsi="Calibri"/>
        </w:rPr>
        <w:t>Position update</w:t>
      </w:r>
    </w:p>
    <w:p w14:paraId="7A80D033" w14:textId="77777777" w:rsidR="00866AC0" w:rsidRPr="00866AC0" w:rsidRDefault="00866AC0" w:rsidP="008D19F6">
      <w:pPr>
        <w:pStyle w:val="BodyText"/>
        <w:numPr>
          <w:ilvl w:val="0"/>
          <w:numId w:val="20"/>
        </w:numPr>
        <w:spacing w:after="0"/>
        <w:ind w:left="714" w:hanging="357"/>
        <w:rPr>
          <w:rFonts w:ascii="Calibri" w:hAnsi="Calibri"/>
        </w:rPr>
      </w:pPr>
      <w:r w:rsidRPr="00866AC0">
        <w:rPr>
          <w:rFonts w:ascii="Calibri" w:hAnsi="Calibri"/>
        </w:rPr>
        <w:t>SBAS input and processing</w:t>
      </w:r>
    </w:p>
    <w:p w14:paraId="3AC02179" w14:textId="77777777" w:rsidR="00866AC0" w:rsidRPr="00866AC0" w:rsidRDefault="00866AC0" w:rsidP="008D19F6">
      <w:pPr>
        <w:pStyle w:val="BodyText"/>
        <w:numPr>
          <w:ilvl w:val="0"/>
          <w:numId w:val="20"/>
        </w:numPr>
        <w:spacing w:after="0"/>
        <w:ind w:left="714" w:hanging="357"/>
        <w:rPr>
          <w:rFonts w:ascii="Calibri" w:hAnsi="Calibri"/>
        </w:rPr>
      </w:pPr>
      <w:r w:rsidRPr="00866AC0">
        <w:rPr>
          <w:rFonts w:ascii="Calibri" w:hAnsi="Calibri"/>
        </w:rPr>
        <w:t>SBAS message processing</w:t>
      </w:r>
    </w:p>
    <w:p w14:paraId="77D0FCFD" w14:textId="77777777" w:rsidR="00866AC0" w:rsidRPr="00866AC0" w:rsidRDefault="00866AC0" w:rsidP="008D19F6">
      <w:pPr>
        <w:pStyle w:val="BodyText"/>
        <w:numPr>
          <w:ilvl w:val="0"/>
          <w:numId w:val="20"/>
        </w:numPr>
        <w:spacing w:after="0"/>
        <w:ind w:left="714" w:hanging="357"/>
        <w:rPr>
          <w:rFonts w:ascii="Calibri" w:hAnsi="Calibri"/>
        </w:rPr>
      </w:pPr>
      <w:r w:rsidRPr="00866AC0">
        <w:rPr>
          <w:rFonts w:ascii="Calibri" w:hAnsi="Calibri"/>
        </w:rPr>
        <w:t>SBAS GEO satellite selection and switching</w:t>
      </w:r>
    </w:p>
    <w:p w14:paraId="2786748A" w14:textId="77777777" w:rsidR="00866AC0" w:rsidRPr="00866AC0" w:rsidRDefault="00866AC0" w:rsidP="008D19F6">
      <w:pPr>
        <w:pStyle w:val="BodyText"/>
        <w:numPr>
          <w:ilvl w:val="0"/>
          <w:numId w:val="20"/>
        </w:numPr>
        <w:spacing w:after="0"/>
        <w:ind w:left="714" w:hanging="357"/>
        <w:rPr>
          <w:rFonts w:ascii="Calibri" w:hAnsi="Calibri"/>
        </w:rPr>
      </w:pPr>
      <w:r w:rsidRPr="00866AC0">
        <w:rPr>
          <w:rFonts w:ascii="Calibri" w:hAnsi="Calibri"/>
        </w:rPr>
        <w:t>Navigational status indications</w:t>
      </w:r>
    </w:p>
    <w:p w14:paraId="6C31AB12" w14:textId="77777777" w:rsidR="00866AC0" w:rsidRPr="00866AC0" w:rsidRDefault="00866AC0" w:rsidP="008D19F6">
      <w:pPr>
        <w:pStyle w:val="BodyText"/>
        <w:numPr>
          <w:ilvl w:val="0"/>
          <w:numId w:val="20"/>
        </w:numPr>
        <w:spacing w:after="0"/>
        <w:ind w:left="714" w:hanging="357"/>
        <w:rPr>
          <w:rFonts w:ascii="Calibri" w:hAnsi="Calibri"/>
        </w:rPr>
      </w:pPr>
      <w:r w:rsidRPr="00866AC0">
        <w:rPr>
          <w:rFonts w:ascii="Calibri" w:hAnsi="Calibri"/>
        </w:rPr>
        <w:t>Test for typical interference conditions</w:t>
      </w:r>
    </w:p>
    <w:p w14:paraId="487CC2AE" w14:textId="77777777" w:rsidR="00866AC0" w:rsidRPr="00866AC0" w:rsidRDefault="00866AC0" w:rsidP="008D19F6">
      <w:pPr>
        <w:pStyle w:val="BodyText"/>
        <w:numPr>
          <w:ilvl w:val="0"/>
          <w:numId w:val="20"/>
        </w:numPr>
        <w:spacing w:after="0"/>
        <w:ind w:left="714" w:hanging="357"/>
        <w:rPr>
          <w:rFonts w:ascii="Calibri" w:hAnsi="Calibri"/>
        </w:rPr>
      </w:pPr>
      <w:r w:rsidRPr="00866AC0">
        <w:rPr>
          <w:rFonts w:ascii="Calibri" w:hAnsi="Calibri"/>
        </w:rPr>
        <w:t>Accuracy of COG and SOG</w:t>
      </w:r>
    </w:p>
    <w:p w14:paraId="754571D6" w14:textId="77777777" w:rsidR="00866AC0" w:rsidRPr="00866AC0" w:rsidRDefault="00866AC0" w:rsidP="008D19F6">
      <w:pPr>
        <w:pStyle w:val="BodyText"/>
        <w:numPr>
          <w:ilvl w:val="0"/>
          <w:numId w:val="20"/>
        </w:numPr>
        <w:spacing w:after="0"/>
        <w:ind w:left="714" w:hanging="357"/>
        <w:rPr>
          <w:rFonts w:ascii="Calibri" w:hAnsi="Calibri"/>
        </w:rPr>
      </w:pPr>
      <w:r w:rsidRPr="00866AC0">
        <w:rPr>
          <w:rFonts w:ascii="Calibri" w:hAnsi="Calibri"/>
        </w:rPr>
        <w:t>Validity of COG and SOG information</w:t>
      </w:r>
    </w:p>
    <w:p w14:paraId="042D1CC7" w14:textId="77777777" w:rsidR="00866AC0" w:rsidRPr="00866AC0" w:rsidRDefault="00866AC0" w:rsidP="008D19F6">
      <w:pPr>
        <w:pStyle w:val="BodyText"/>
        <w:numPr>
          <w:ilvl w:val="0"/>
          <w:numId w:val="20"/>
        </w:numPr>
        <w:spacing w:after="0"/>
        <w:ind w:left="714" w:hanging="357"/>
        <w:rPr>
          <w:rFonts w:ascii="Calibri" w:hAnsi="Calibri"/>
        </w:rPr>
      </w:pPr>
      <w:r w:rsidRPr="00866AC0">
        <w:rPr>
          <w:rFonts w:ascii="Calibri" w:hAnsi="Calibri"/>
        </w:rPr>
        <w:t>Output of UTC</w:t>
      </w:r>
    </w:p>
    <w:p w14:paraId="5E7BE1BB" w14:textId="51B59F7C" w:rsidR="00866AC0" w:rsidRDefault="00866AC0" w:rsidP="008D19F6">
      <w:pPr>
        <w:pStyle w:val="BodyText"/>
        <w:numPr>
          <w:ilvl w:val="0"/>
          <w:numId w:val="20"/>
        </w:numPr>
        <w:spacing w:after="0"/>
        <w:ind w:left="714" w:hanging="357"/>
        <w:rPr>
          <w:rFonts w:ascii="Calibri" w:hAnsi="Calibri"/>
        </w:rPr>
      </w:pPr>
      <w:r w:rsidRPr="00866AC0">
        <w:rPr>
          <w:rFonts w:ascii="Calibri" w:hAnsi="Calibri"/>
        </w:rPr>
        <w:t>Validation material for tropospheric model</w:t>
      </w:r>
    </w:p>
    <w:p w14:paraId="6DBFA61D" w14:textId="77777777" w:rsidR="00196604" w:rsidRDefault="00196604" w:rsidP="00866AC0">
      <w:pPr>
        <w:pStyle w:val="BodyText"/>
        <w:rPr>
          <w:rFonts w:ascii="Calibri" w:hAnsi="Calibri"/>
        </w:rPr>
        <w:sectPr w:rsidR="00196604" w:rsidSect="00196604">
          <w:type w:val="continuous"/>
          <w:pgSz w:w="11906" w:h="16838"/>
          <w:pgMar w:top="1134" w:right="1134" w:bottom="1134" w:left="1134" w:header="709" w:footer="709" w:gutter="0"/>
          <w:cols w:num="2" w:space="708"/>
          <w:docGrid w:linePitch="360"/>
        </w:sectPr>
      </w:pPr>
    </w:p>
    <w:p w14:paraId="07AA2CEB" w14:textId="6BE2901D" w:rsidR="00B23225" w:rsidRDefault="00B23225" w:rsidP="00866AC0">
      <w:pPr>
        <w:pStyle w:val="BodyText"/>
        <w:rPr>
          <w:rFonts w:ascii="Calibri" w:hAnsi="Calibri"/>
        </w:rPr>
      </w:pPr>
    </w:p>
    <w:p w14:paraId="46D03CAE" w14:textId="2ADD5778" w:rsidR="00866AC0" w:rsidRPr="00866AC0" w:rsidRDefault="00866AC0" w:rsidP="00866AC0">
      <w:pPr>
        <w:pStyle w:val="BodyText"/>
        <w:rPr>
          <w:rFonts w:ascii="Calibri" w:hAnsi="Calibri"/>
        </w:rPr>
      </w:pPr>
      <w:r w:rsidRPr="00866AC0">
        <w:rPr>
          <w:rFonts w:ascii="Calibri" w:hAnsi="Calibri"/>
        </w:rPr>
        <w:t xml:space="preserve">It should be clarified that the current standard under development only covers the SBAS L1 systems augmenting GPS constellation. The future SBAS Dual-Frequency and Multi-Constellation (DFMC) services and other GNSS systems are out of scope of this version of the IEC 61108-7 standard (see section </w:t>
      </w:r>
      <w:r>
        <w:rPr>
          <w:rFonts w:ascii="Calibri" w:hAnsi="Calibri"/>
        </w:rPr>
        <w:fldChar w:fldCharType="begin"/>
      </w:r>
      <w:r>
        <w:rPr>
          <w:rFonts w:ascii="Calibri" w:hAnsi="Calibri"/>
        </w:rPr>
        <w:instrText xml:space="preserve"> REF _Ref144985463 \w \h </w:instrText>
      </w:r>
      <w:r>
        <w:rPr>
          <w:rFonts w:ascii="Calibri" w:hAnsi="Calibri"/>
        </w:rPr>
      </w:r>
      <w:r>
        <w:rPr>
          <w:rFonts w:ascii="Calibri" w:hAnsi="Calibri"/>
        </w:rPr>
        <w:fldChar w:fldCharType="separate"/>
      </w:r>
      <w:r w:rsidR="00781B07">
        <w:rPr>
          <w:rFonts w:ascii="Calibri" w:hAnsi="Calibri"/>
        </w:rPr>
        <w:t>4.4</w:t>
      </w:r>
      <w:r>
        <w:rPr>
          <w:rFonts w:ascii="Calibri" w:hAnsi="Calibri"/>
        </w:rPr>
        <w:fldChar w:fldCharType="end"/>
      </w:r>
      <w:r w:rsidRPr="00866AC0">
        <w:rPr>
          <w:rFonts w:ascii="Calibri" w:hAnsi="Calibri"/>
        </w:rPr>
        <w:t>, future work)</w:t>
      </w:r>
    </w:p>
    <w:p w14:paraId="45319C05" w14:textId="77777777" w:rsidR="00DA4294" w:rsidRPr="00DA4294" w:rsidRDefault="00DA4294" w:rsidP="000442A4">
      <w:pPr>
        <w:pStyle w:val="BodyText"/>
        <w:rPr>
          <w:rFonts w:ascii="Calibri" w:hAnsi="Calibri"/>
        </w:rPr>
      </w:pPr>
    </w:p>
    <w:p w14:paraId="4B92F3B6" w14:textId="2D3F7F59" w:rsidR="00DA4294" w:rsidRDefault="00DA4294" w:rsidP="00DA4294">
      <w:pPr>
        <w:pStyle w:val="Heading2"/>
      </w:pPr>
      <w:r w:rsidRPr="00DA4294">
        <w:t>Schedule</w:t>
      </w:r>
    </w:p>
    <w:p w14:paraId="42226A97" w14:textId="241388ED" w:rsidR="004E4B9D" w:rsidRPr="004E4B9D" w:rsidRDefault="004E4B9D" w:rsidP="004E4B9D">
      <w:pPr>
        <w:pStyle w:val="BodyText"/>
        <w:rPr>
          <w:rFonts w:ascii="Calibri" w:hAnsi="Calibri"/>
        </w:rPr>
      </w:pPr>
      <w:r w:rsidRPr="004E4B9D">
        <w:rPr>
          <w:rFonts w:ascii="Calibri" w:hAnsi="Calibri"/>
        </w:rPr>
        <w:t xml:space="preserve">The standardisation process to produce the new standard IEC 61108-7 started on February 2021 </w:t>
      </w:r>
      <w:r>
        <w:rPr>
          <w:rFonts w:ascii="Calibri" w:hAnsi="Calibri"/>
        </w:rPr>
        <w:t xml:space="preserve">and it is now on the final steps. </w:t>
      </w:r>
    </w:p>
    <w:p w14:paraId="3D600B02" w14:textId="27FE2FE6" w:rsidR="004E4B9D" w:rsidRPr="004E4B9D" w:rsidRDefault="004E4B9D" w:rsidP="004E4B9D">
      <w:pPr>
        <w:pStyle w:val="BodyText"/>
        <w:rPr>
          <w:rFonts w:ascii="Calibri" w:hAnsi="Calibri"/>
        </w:rPr>
      </w:pPr>
      <w:r>
        <w:rPr>
          <w:rFonts w:ascii="Calibri" w:hAnsi="Calibri"/>
        </w:rPr>
        <w:t>T</w:t>
      </w:r>
      <w:r w:rsidRPr="004E4B9D">
        <w:rPr>
          <w:rFonts w:ascii="Calibri" w:hAnsi="Calibri"/>
        </w:rPr>
        <w:t>he Com</w:t>
      </w:r>
      <w:r>
        <w:rPr>
          <w:rFonts w:ascii="Calibri" w:hAnsi="Calibri"/>
        </w:rPr>
        <w:t xml:space="preserve">mittee Draft for Voting (CDV) was launched </w:t>
      </w:r>
      <w:r w:rsidRPr="004E4B9D">
        <w:rPr>
          <w:rFonts w:ascii="Calibri" w:hAnsi="Calibri"/>
        </w:rPr>
        <w:t>for members to vote the approval of the standard</w:t>
      </w:r>
      <w:r>
        <w:rPr>
          <w:rFonts w:ascii="Calibri" w:hAnsi="Calibri"/>
        </w:rPr>
        <w:t xml:space="preserve">. The </w:t>
      </w:r>
      <w:r w:rsidRPr="004E4B9D">
        <w:rPr>
          <w:rFonts w:ascii="Calibri" w:hAnsi="Calibri"/>
        </w:rPr>
        <w:t xml:space="preserve">ballot </w:t>
      </w:r>
      <w:r>
        <w:rPr>
          <w:rFonts w:ascii="Calibri" w:hAnsi="Calibri"/>
        </w:rPr>
        <w:t>has been opened from the 7</w:t>
      </w:r>
      <w:r w:rsidRPr="004E4B9D">
        <w:rPr>
          <w:rFonts w:ascii="Calibri" w:hAnsi="Calibri"/>
          <w:vertAlign w:val="superscript"/>
        </w:rPr>
        <w:t>th</w:t>
      </w:r>
      <w:r>
        <w:rPr>
          <w:rFonts w:ascii="Calibri" w:hAnsi="Calibri"/>
        </w:rPr>
        <w:t xml:space="preserve"> of July up to 29</w:t>
      </w:r>
      <w:r w:rsidRPr="004E4B9D">
        <w:rPr>
          <w:rFonts w:ascii="Calibri" w:hAnsi="Calibri"/>
          <w:vertAlign w:val="superscript"/>
        </w:rPr>
        <w:t>th</w:t>
      </w:r>
      <w:r>
        <w:rPr>
          <w:rFonts w:ascii="Calibri" w:hAnsi="Calibri"/>
        </w:rPr>
        <w:t xml:space="preserve"> September 2023.</w:t>
      </w:r>
      <w:r w:rsidRPr="004E4B9D">
        <w:rPr>
          <w:rFonts w:ascii="Calibri" w:hAnsi="Calibri"/>
        </w:rPr>
        <w:t xml:space="preserve"> </w:t>
      </w:r>
      <w:r>
        <w:rPr>
          <w:rFonts w:ascii="Calibri" w:hAnsi="Calibri"/>
        </w:rPr>
        <w:t>I</w:t>
      </w:r>
      <w:r w:rsidRPr="004E4B9D">
        <w:rPr>
          <w:rFonts w:ascii="Calibri" w:hAnsi="Calibri"/>
        </w:rPr>
        <w:t>nterested parties are welcome to participate to support the standard publication.</w:t>
      </w:r>
    </w:p>
    <w:p w14:paraId="25D5996A" w14:textId="376BAC92" w:rsidR="001F7DC3" w:rsidRDefault="001F7DC3" w:rsidP="001F7DC3">
      <w:pPr>
        <w:pStyle w:val="BodyText"/>
        <w:rPr>
          <w:rFonts w:ascii="Calibri" w:hAnsi="Calibri"/>
        </w:rPr>
      </w:pPr>
      <w:r>
        <w:rPr>
          <w:rFonts w:ascii="Calibri" w:hAnsi="Calibri"/>
        </w:rPr>
        <w:t xml:space="preserve">In case comments are received for CDV, </w:t>
      </w:r>
      <w:r w:rsidR="004E4B9D" w:rsidRPr="004E4B9D">
        <w:rPr>
          <w:rFonts w:ascii="Calibri" w:hAnsi="Calibri"/>
        </w:rPr>
        <w:t>the Final Draft International Standard (FDIS)</w:t>
      </w:r>
      <w:r>
        <w:rPr>
          <w:rFonts w:ascii="Calibri" w:hAnsi="Calibri"/>
        </w:rPr>
        <w:t xml:space="preserve"> will take place, </w:t>
      </w:r>
      <w:r w:rsidR="004E4B9D" w:rsidRPr="004E4B9D">
        <w:rPr>
          <w:rFonts w:ascii="Calibri" w:hAnsi="Calibri"/>
        </w:rPr>
        <w:t>where</w:t>
      </w:r>
      <w:r>
        <w:rPr>
          <w:rFonts w:ascii="Calibri" w:hAnsi="Calibri"/>
        </w:rPr>
        <w:t xml:space="preserve"> comments will be implemented and new draft will be provided within 16 weeks. Then, a new ballot of 6 weeks periods will be launched for this final draft. In this case, the publication of </w:t>
      </w:r>
      <w:r w:rsidRPr="001F7DC3">
        <w:rPr>
          <w:rFonts w:ascii="Calibri" w:hAnsi="Calibri"/>
        </w:rPr>
        <w:t xml:space="preserve">the IEC 61108-7 </w:t>
      </w:r>
      <w:r>
        <w:rPr>
          <w:rFonts w:ascii="Calibri" w:hAnsi="Calibri"/>
        </w:rPr>
        <w:t xml:space="preserve">standard will be by beginning of 2024. </w:t>
      </w:r>
    </w:p>
    <w:p w14:paraId="6A5B8208" w14:textId="6B4C203E" w:rsidR="00761CAA" w:rsidRDefault="001F7DC3" w:rsidP="001F7DC3">
      <w:pPr>
        <w:pStyle w:val="BodyText"/>
        <w:rPr>
          <w:rFonts w:ascii="Calibri" w:hAnsi="Calibri"/>
        </w:rPr>
      </w:pPr>
      <w:r>
        <w:rPr>
          <w:rFonts w:ascii="Calibri" w:hAnsi="Calibri"/>
        </w:rPr>
        <w:t xml:space="preserve">If there are no technical change requests and CDV is approved, the CDV can be published directly.  </w:t>
      </w:r>
      <w:r w:rsidR="00761CAA">
        <w:rPr>
          <w:rFonts w:ascii="Calibri" w:hAnsi="Calibri"/>
        </w:rPr>
        <w:t xml:space="preserve">In this case, the publication of the IEC </w:t>
      </w:r>
      <w:r w:rsidR="00761CAA" w:rsidRPr="001F7DC3">
        <w:rPr>
          <w:rFonts w:ascii="Calibri" w:hAnsi="Calibri"/>
        </w:rPr>
        <w:t xml:space="preserve">61108-7 </w:t>
      </w:r>
      <w:r w:rsidR="00761CAA">
        <w:rPr>
          <w:rFonts w:ascii="Calibri" w:hAnsi="Calibri"/>
        </w:rPr>
        <w:t>standard will be by end of 2023.</w:t>
      </w:r>
    </w:p>
    <w:p w14:paraId="33A4DAC1" w14:textId="053EA121" w:rsidR="008B419E" w:rsidRDefault="00761CAA" w:rsidP="001F7DC3">
      <w:pPr>
        <w:pStyle w:val="BodyText"/>
        <w:rPr>
          <w:rFonts w:ascii="Calibri" w:hAnsi="Calibri"/>
        </w:rPr>
      </w:pPr>
      <w:r>
        <w:rPr>
          <w:rFonts w:ascii="Calibri" w:hAnsi="Calibri"/>
        </w:rPr>
        <w:t>It is noted that t</w:t>
      </w:r>
      <w:r w:rsidR="008B419E" w:rsidRPr="008B419E">
        <w:rPr>
          <w:rFonts w:ascii="Calibri" w:hAnsi="Calibri"/>
        </w:rPr>
        <w:t>he publication</w:t>
      </w:r>
      <w:r>
        <w:rPr>
          <w:rFonts w:ascii="Calibri" w:hAnsi="Calibri"/>
        </w:rPr>
        <w:t xml:space="preserve"> process</w:t>
      </w:r>
      <w:r w:rsidR="008B419E" w:rsidRPr="008B419E">
        <w:rPr>
          <w:rFonts w:ascii="Calibri" w:hAnsi="Calibri"/>
        </w:rPr>
        <w:t xml:space="preserve"> usually takes around 6 weeks after approval.</w:t>
      </w:r>
    </w:p>
    <w:p w14:paraId="6F2B04A8" w14:textId="0FEF6C01" w:rsidR="001F7DC3" w:rsidRDefault="001F7DC3" w:rsidP="001F7DC3">
      <w:pPr>
        <w:pStyle w:val="BodyText"/>
        <w:rPr>
          <w:rFonts w:ascii="Calibri" w:hAnsi="Calibri"/>
        </w:rPr>
      </w:pPr>
      <w:r>
        <w:rPr>
          <w:rFonts w:ascii="Calibri" w:hAnsi="Calibri"/>
        </w:rPr>
        <w:t>For</w:t>
      </w:r>
      <w:r w:rsidR="008B419E">
        <w:rPr>
          <w:rFonts w:ascii="Calibri" w:hAnsi="Calibri"/>
        </w:rPr>
        <w:t xml:space="preserve"> CDV</w:t>
      </w:r>
      <w:r>
        <w:rPr>
          <w:rFonts w:ascii="Calibri" w:hAnsi="Calibri"/>
        </w:rPr>
        <w:t xml:space="preserve"> approval, it is required:</w:t>
      </w:r>
    </w:p>
    <w:p w14:paraId="13E84D6C" w14:textId="0C45C026" w:rsidR="001F7DC3" w:rsidRDefault="008B419E" w:rsidP="008D19F6">
      <w:pPr>
        <w:pStyle w:val="BodyText"/>
        <w:numPr>
          <w:ilvl w:val="0"/>
          <w:numId w:val="21"/>
        </w:numPr>
        <w:rPr>
          <w:rFonts w:ascii="Calibri" w:hAnsi="Calibri"/>
        </w:rPr>
      </w:pPr>
      <w:r>
        <w:rPr>
          <w:rFonts w:ascii="Calibri" w:hAnsi="Calibri"/>
        </w:rPr>
        <w:t>a</w:t>
      </w:r>
      <w:r w:rsidR="001F7DC3">
        <w:rPr>
          <w:rFonts w:ascii="Calibri" w:hAnsi="Calibri"/>
        </w:rPr>
        <w:t xml:space="preserve"> majority of</w:t>
      </w:r>
      <w:r>
        <w:rPr>
          <w:rFonts w:ascii="Calibri" w:hAnsi="Calibri"/>
        </w:rPr>
        <w:t xml:space="preserve"> 2/3 of votes cast by Participating</w:t>
      </w:r>
      <w:r w:rsidR="001F7DC3">
        <w:rPr>
          <w:rFonts w:ascii="Calibri" w:hAnsi="Calibri"/>
        </w:rPr>
        <w:t xml:space="preserve"> members in favour</w:t>
      </w:r>
      <w:r>
        <w:rPr>
          <w:rFonts w:ascii="Calibri" w:hAnsi="Calibri"/>
        </w:rPr>
        <w:t>; and</w:t>
      </w:r>
    </w:p>
    <w:p w14:paraId="0F4C3409" w14:textId="6AE92D85" w:rsidR="001F7DC3" w:rsidRDefault="001F7DC3" w:rsidP="008D19F6">
      <w:pPr>
        <w:pStyle w:val="BodyText"/>
        <w:numPr>
          <w:ilvl w:val="0"/>
          <w:numId w:val="21"/>
        </w:numPr>
        <w:rPr>
          <w:rFonts w:ascii="Calibri" w:hAnsi="Calibri"/>
        </w:rPr>
      </w:pPr>
      <w:r>
        <w:rPr>
          <w:rFonts w:ascii="Calibri" w:hAnsi="Calibri"/>
        </w:rPr>
        <w:t>the number of negative votes</w:t>
      </w:r>
      <w:r w:rsidR="008B419E">
        <w:rPr>
          <w:rFonts w:ascii="Calibri" w:hAnsi="Calibri"/>
        </w:rPr>
        <w:t xml:space="preserve"> from all national committees</w:t>
      </w:r>
      <w:r>
        <w:rPr>
          <w:rFonts w:ascii="Calibri" w:hAnsi="Calibri"/>
        </w:rPr>
        <w:t xml:space="preserve"> does not exceed 25% of total votes.</w:t>
      </w:r>
    </w:p>
    <w:p w14:paraId="4EB82B4E" w14:textId="1D7F0D5A" w:rsidR="00781B07" w:rsidRDefault="00781B07" w:rsidP="00781B07">
      <w:pPr>
        <w:pStyle w:val="BodyText"/>
        <w:rPr>
          <w:rFonts w:ascii="Calibri" w:hAnsi="Calibri"/>
        </w:rPr>
      </w:pPr>
      <w:r>
        <w:rPr>
          <w:rFonts w:ascii="Calibri" w:hAnsi="Calibri"/>
        </w:rPr>
        <w:t xml:space="preserve">Figure below shows the </w:t>
      </w:r>
      <w:r w:rsidRPr="004E4B9D">
        <w:rPr>
          <w:rFonts w:ascii="Calibri" w:hAnsi="Calibri"/>
        </w:rPr>
        <w:t>IEC 61108-7</w:t>
      </w:r>
      <w:r>
        <w:rPr>
          <w:rFonts w:ascii="Calibri" w:hAnsi="Calibri"/>
        </w:rPr>
        <w:t xml:space="preserve"> standard schedule:</w:t>
      </w:r>
    </w:p>
    <w:p w14:paraId="3EB7CF48" w14:textId="02BC082B" w:rsidR="004E4B9D" w:rsidRDefault="00761CAA" w:rsidP="00761CAA">
      <w:pPr>
        <w:pStyle w:val="BodyText"/>
        <w:keepNext/>
        <w:rPr>
          <w:rFonts w:ascii="Calibri" w:hAnsi="Calibri"/>
        </w:rPr>
      </w:pPr>
      <w:r>
        <w:rPr>
          <w:noProof/>
        </w:rPr>
        <w:lastRenderedPageBreak/>
        <w:drawing>
          <wp:inline distT="0" distB="0" distL="0" distR="0" wp14:anchorId="0291FB1E" wp14:editId="355B68CC">
            <wp:extent cx="5943600" cy="2012950"/>
            <wp:effectExtent l="0" t="0" r="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943600" cy="2012950"/>
                    </a:xfrm>
                    <a:prstGeom prst="rect">
                      <a:avLst/>
                    </a:prstGeom>
                  </pic:spPr>
                </pic:pic>
              </a:graphicData>
            </a:graphic>
          </wp:inline>
        </w:drawing>
      </w:r>
    </w:p>
    <w:p w14:paraId="31B1C067" w14:textId="0C000F94" w:rsidR="001B1C4B" w:rsidRPr="000442A4" w:rsidRDefault="00781B07" w:rsidP="001B1C4B">
      <w:pPr>
        <w:pStyle w:val="Figure"/>
      </w:pPr>
      <w:r>
        <w:t>IEC 61108-7 standard schedule</w:t>
      </w:r>
    </w:p>
    <w:p w14:paraId="411069AA" w14:textId="0ED01BBF" w:rsidR="004E4B9D" w:rsidRDefault="004E4B9D" w:rsidP="004E4B9D">
      <w:pPr>
        <w:pStyle w:val="BodyText"/>
        <w:rPr>
          <w:rFonts w:ascii="Calibri" w:hAnsi="Calibri"/>
        </w:rPr>
      </w:pPr>
    </w:p>
    <w:p w14:paraId="7F998D8D" w14:textId="40D843F2" w:rsidR="00DA4294" w:rsidRDefault="00DA4294" w:rsidP="00DA4294">
      <w:pPr>
        <w:pStyle w:val="Heading2"/>
      </w:pPr>
      <w:bookmarkStart w:id="0" w:name="_Ref144985463"/>
      <w:r>
        <w:t>Future work</w:t>
      </w:r>
      <w:bookmarkEnd w:id="0"/>
    </w:p>
    <w:p w14:paraId="55BB94CA" w14:textId="59C0D8F0" w:rsidR="00DA4294" w:rsidRPr="00DA4294" w:rsidRDefault="00DA4294" w:rsidP="000442A4">
      <w:pPr>
        <w:pStyle w:val="BodyText"/>
        <w:rPr>
          <w:rFonts w:ascii="Calibri" w:hAnsi="Calibri"/>
        </w:rPr>
      </w:pPr>
      <w:r w:rsidRPr="00DA4294">
        <w:rPr>
          <w:rFonts w:ascii="Calibri" w:hAnsi="Calibri"/>
        </w:rPr>
        <w:t xml:space="preserve">IALA, in coordination with EUSPA/EC, together with EU Member States, Australia, China, New Zealand, ICS and the NI, co-sponsored the submission to IMO of a request for a new output for the development of minimum performance standards for Dual-Frequency Multi-constellation SBAS and Advanced-RAIM in shipborne radionavigation receivers. </w:t>
      </w:r>
      <w:r w:rsidR="009C336F">
        <w:rPr>
          <w:rFonts w:ascii="Calibri" w:hAnsi="Calibri"/>
        </w:rPr>
        <w:t>The</w:t>
      </w:r>
      <w:r w:rsidRPr="00DA4294">
        <w:rPr>
          <w:rFonts w:ascii="Calibri" w:hAnsi="Calibri"/>
        </w:rPr>
        <w:t xml:space="preserve"> request </w:t>
      </w:r>
      <w:r w:rsidR="009C336F">
        <w:rPr>
          <w:rFonts w:ascii="Calibri" w:hAnsi="Calibri"/>
        </w:rPr>
        <w:t>was</w:t>
      </w:r>
      <w:r w:rsidR="009C336F" w:rsidRPr="00DA4294">
        <w:rPr>
          <w:rFonts w:ascii="Calibri" w:hAnsi="Calibri"/>
        </w:rPr>
        <w:t xml:space="preserve"> </w:t>
      </w:r>
      <w:r w:rsidRPr="00DA4294">
        <w:rPr>
          <w:rFonts w:ascii="Calibri" w:hAnsi="Calibri"/>
        </w:rPr>
        <w:t xml:space="preserve">approved, IMO will </w:t>
      </w:r>
      <w:r w:rsidR="009C336F">
        <w:rPr>
          <w:rFonts w:ascii="Calibri" w:hAnsi="Calibri"/>
        </w:rPr>
        <w:t xml:space="preserve">start </w:t>
      </w:r>
      <w:r w:rsidRPr="00DA4294">
        <w:rPr>
          <w:rFonts w:ascii="Calibri" w:hAnsi="Calibri"/>
        </w:rPr>
        <w:t>develop</w:t>
      </w:r>
      <w:r w:rsidR="009C336F">
        <w:rPr>
          <w:rFonts w:ascii="Calibri" w:hAnsi="Calibri"/>
        </w:rPr>
        <w:t xml:space="preserve">ing the new standard in </w:t>
      </w:r>
      <w:r w:rsidR="00822CC4">
        <w:rPr>
          <w:rFonts w:ascii="Calibri" w:hAnsi="Calibri"/>
        </w:rPr>
        <w:t>2026</w:t>
      </w:r>
      <w:r w:rsidRPr="00DA4294">
        <w:rPr>
          <w:rFonts w:ascii="Calibri" w:hAnsi="Calibri"/>
        </w:rPr>
        <w:t>. After that, IEC will be approached to develop the standard to define the methods of testing, building as well on IEC-61108-7 for SBAS L1 and RAIM.</w:t>
      </w:r>
    </w:p>
    <w:p w14:paraId="5F9C732B" w14:textId="77777777" w:rsidR="00DA4294" w:rsidRPr="000442A4" w:rsidRDefault="00DA4294" w:rsidP="000442A4">
      <w:pPr>
        <w:pStyle w:val="BodyText"/>
        <w:rPr>
          <w:lang w:eastAsia="de-DE"/>
        </w:rPr>
      </w:pPr>
    </w:p>
    <w:p w14:paraId="1D083D92" w14:textId="77777777" w:rsidR="00180DDA" w:rsidRPr="007A395D" w:rsidRDefault="00180DDA" w:rsidP="00605E43">
      <w:pPr>
        <w:pStyle w:val="Heading1"/>
      </w:pPr>
      <w:r w:rsidRPr="007A395D">
        <w:t>References</w:t>
      </w:r>
    </w:p>
    <w:p w14:paraId="627CD44E" w14:textId="77777777" w:rsidR="00A45E9F" w:rsidRPr="00A45E9F" w:rsidRDefault="00A45E9F" w:rsidP="00A45E9F">
      <w:pPr>
        <w:pStyle w:val="References"/>
        <w:rPr>
          <w:rFonts w:ascii="Calibri" w:hAnsi="Calibri"/>
        </w:rPr>
      </w:pPr>
      <w:bookmarkStart w:id="1" w:name="_Ref144904454"/>
      <w:r w:rsidRPr="00A45E9F">
        <w:rPr>
          <w:rFonts w:ascii="Calibri" w:hAnsi="Calibri"/>
        </w:rPr>
        <w:t>IMO Resolution A.1046(27) (2011), Worldwide Radionavigation System.</w:t>
      </w:r>
      <w:bookmarkEnd w:id="1"/>
    </w:p>
    <w:p w14:paraId="69E9A819" w14:textId="77777777" w:rsidR="00A45E9F" w:rsidRPr="00A45E9F" w:rsidRDefault="00A45E9F" w:rsidP="00A45E9F">
      <w:pPr>
        <w:pStyle w:val="References"/>
        <w:rPr>
          <w:rFonts w:ascii="Calibri" w:hAnsi="Calibri"/>
        </w:rPr>
      </w:pPr>
      <w:bookmarkStart w:id="2" w:name="_Ref144903970"/>
      <w:r w:rsidRPr="00A45E9F">
        <w:rPr>
          <w:rFonts w:ascii="Calibri" w:hAnsi="Calibri"/>
        </w:rPr>
        <w:t>Standard under development IEC 61108-7: Maritime navigation and radio-communication equipment and systems – Global navigation satellite systems (GNSS) - Part 7: Satellite Based Augmentation System (SBAS) L1 – Receiver equipment – Performance standards, methods of testing and required test results</w:t>
      </w:r>
      <w:bookmarkEnd w:id="2"/>
    </w:p>
    <w:p w14:paraId="4B54D524" w14:textId="77777777" w:rsidR="00A45E9F" w:rsidRPr="00A45E9F" w:rsidRDefault="00A45E9F" w:rsidP="00A45E9F">
      <w:pPr>
        <w:pStyle w:val="References"/>
        <w:rPr>
          <w:rFonts w:ascii="Calibri" w:hAnsi="Calibri"/>
        </w:rPr>
      </w:pPr>
      <w:bookmarkStart w:id="3" w:name="_Ref144985413"/>
      <w:r w:rsidRPr="00A45E9F">
        <w:rPr>
          <w:rFonts w:ascii="Calibri" w:hAnsi="Calibri"/>
        </w:rPr>
        <w:t>IEC 62923-1: Maritime navigation and radiocommunication equipment and systems – Bridge alert management – Part 1: Operational and performance requirements, methods of testing and required results.</w:t>
      </w:r>
      <w:bookmarkEnd w:id="3"/>
    </w:p>
    <w:p w14:paraId="10819E6C" w14:textId="77777777" w:rsidR="00A45E9F" w:rsidRPr="00A45E9F" w:rsidRDefault="00A45E9F" w:rsidP="00A45E9F">
      <w:pPr>
        <w:pStyle w:val="References"/>
        <w:rPr>
          <w:rFonts w:ascii="Calibri" w:hAnsi="Calibri"/>
        </w:rPr>
      </w:pPr>
      <w:bookmarkStart w:id="4" w:name="_Ref144985421"/>
      <w:r w:rsidRPr="00A45E9F">
        <w:rPr>
          <w:rFonts w:ascii="Calibri" w:hAnsi="Calibri"/>
        </w:rPr>
        <w:t>IEC 62923-2: Maritime navigation and radiocommunication equipment and systems – Bridge alert management – Part 2: Alert and cluster identifiers and other additional features.</w:t>
      </w:r>
      <w:bookmarkEnd w:id="4"/>
    </w:p>
    <w:p w14:paraId="7A8D2F27" w14:textId="77777777" w:rsidR="00A446C9" w:rsidRPr="007A395D" w:rsidRDefault="00A446C9" w:rsidP="00605E43">
      <w:pPr>
        <w:pStyle w:val="Heading1"/>
      </w:pPr>
      <w:r w:rsidRPr="007A395D">
        <w:t>Action requested of the Committee</w:t>
      </w:r>
    </w:p>
    <w:p w14:paraId="1556E528" w14:textId="3B217E2C" w:rsidR="00F25BF4" w:rsidRPr="007A395D" w:rsidRDefault="00F25BF4" w:rsidP="00A446C9">
      <w:pPr>
        <w:pStyle w:val="BodyText"/>
        <w:rPr>
          <w:rFonts w:ascii="Calibri" w:hAnsi="Calibri"/>
        </w:rPr>
      </w:pPr>
      <w:r w:rsidRPr="007A395D">
        <w:rPr>
          <w:rFonts w:ascii="Calibri" w:hAnsi="Calibri"/>
        </w:rPr>
        <w:t xml:space="preserve">The Committee </w:t>
      </w:r>
      <w:r w:rsidR="00822CC4">
        <w:rPr>
          <w:rFonts w:ascii="Calibri" w:hAnsi="Calibri"/>
        </w:rPr>
        <w:t>and its members are</w:t>
      </w:r>
      <w:r w:rsidRPr="007A395D">
        <w:rPr>
          <w:rFonts w:ascii="Calibri" w:hAnsi="Calibri"/>
        </w:rPr>
        <w:t xml:space="preserve"> requested to: </w:t>
      </w:r>
    </w:p>
    <w:p w14:paraId="41A1E375" w14:textId="0EF2301C" w:rsidR="00F25BF4" w:rsidRPr="007A395D" w:rsidRDefault="00822CC4" w:rsidP="008D19F6">
      <w:pPr>
        <w:pStyle w:val="List1"/>
        <w:numPr>
          <w:ilvl w:val="0"/>
          <w:numId w:val="16"/>
        </w:numPr>
        <w:rPr>
          <w:rFonts w:ascii="Calibri" w:hAnsi="Calibri"/>
        </w:rPr>
      </w:pPr>
      <w:r>
        <w:rPr>
          <w:rFonts w:ascii="Calibri" w:hAnsi="Calibri"/>
        </w:rPr>
        <w:t>Support the process of approval of this standard.</w:t>
      </w:r>
    </w:p>
    <w:p w14:paraId="1FC4E7A9" w14:textId="77777777" w:rsidR="004D1D85" w:rsidRPr="007A395D" w:rsidRDefault="004D1D85" w:rsidP="004D1D85">
      <w:pPr>
        <w:pStyle w:val="BodyText"/>
        <w:rPr>
          <w:rFonts w:ascii="Calibri" w:hAnsi="Calibri"/>
        </w:rPr>
      </w:pPr>
    </w:p>
    <w:sectPr w:rsidR="004D1D85" w:rsidRPr="007A395D" w:rsidSect="00196604">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7706E" w14:textId="77777777" w:rsidR="001E09A2" w:rsidRDefault="001E09A2" w:rsidP="00362CD9">
      <w:r>
        <w:separator/>
      </w:r>
    </w:p>
  </w:endnote>
  <w:endnote w:type="continuationSeparator" w:id="0">
    <w:p w14:paraId="681F53F5" w14:textId="77777777" w:rsidR="001E09A2" w:rsidRDefault="001E09A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491919">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FA84B" w14:textId="77777777" w:rsidR="001E09A2" w:rsidRDefault="001E09A2" w:rsidP="00362CD9">
      <w:r>
        <w:separator/>
      </w:r>
    </w:p>
  </w:footnote>
  <w:footnote w:type="continuationSeparator" w:id="0">
    <w:p w14:paraId="6EF19AB6" w14:textId="77777777" w:rsidR="001E09A2" w:rsidRDefault="001E09A2"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AF0590">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AF0590">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AF0590"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554BF1A"/>
    <w:lvl w:ilvl="0">
      <w:start w:val="1"/>
      <w:numFmt w:val="decimal"/>
      <w:pStyle w:val="ListNumber4"/>
      <w:lvlText w:val="%1."/>
      <w:lvlJc w:val="left"/>
      <w:pPr>
        <w:tabs>
          <w:tab w:val="num" w:pos="1209"/>
        </w:tabs>
        <w:ind w:left="1209" w:hanging="360"/>
      </w:p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29090B52"/>
    <w:multiLevelType w:val="hybridMultilevel"/>
    <w:tmpl w:val="F9E42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365CA0"/>
    <w:multiLevelType w:val="hybridMultilevel"/>
    <w:tmpl w:val="74149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34C1CBF"/>
    <w:multiLevelType w:val="singleLevel"/>
    <w:tmpl w:val="C0ECB670"/>
    <w:lvl w:ilvl="0">
      <w:start w:val="1"/>
      <w:numFmt w:val="decimal"/>
      <w:pStyle w:val="Figure"/>
      <w:lvlText w:val="Figure %1"/>
      <w:lvlJc w:val="left"/>
      <w:pPr>
        <w:tabs>
          <w:tab w:val="num" w:pos="8081"/>
        </w:tabs>
        <w:ind w:left="8081" w:hanging="1134"/>
      </w:pPr>
      <w:rPr>
        <w:rFonts w:ascii="Arial" w:hAnsi="Arial" w:hint="default"/>
        <w:b w:val="0"/>
        <w:i/>
        <w:sz w:val="22"/>
      </w:rPr>
    </w:lvl>
  </w:abstractNum>
  <w:abstractNum w:abstractNumId="1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43721EC"/>
    <w:multiLevelType w:val="hybridMultilevel"/>
    <w:tmpl w:val="074AE0D0"/>
    <w:lvl w:ilvl="0" w:tplc="D36EE2C4">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99225668">
    <w:abstractNumId w:val="16"/>
  </w:num>
  <w:num w:numId="2" w16cid:durableId="89085621">
    <w:abstractNumId w:val="12"/>
  </w:num>
  <w:num w:numId="3" w16cid:durableId="23218498">
    <w:abstractNumId w:val="2"/>
  </w:num>
  <w:num w:numId="4" w16cid:durableId="432045458">
    <w:abstractNumId w:val="18"/>
  </w:num>
  <w:num w:numId="5" w16cid:durableId="1966153354">
    <w:abstractNumId w:val="7"/>
  </w:num>
  <w:num w:numId="6" w16cid:durableId="961619495">
    <w:abstractNumId w:val="5"/>
  </w:num>
  <w:num w:numId="7" w16cid:durableId="314069599">
    <w:abstractNumId w:val="14"/>
  </w:num>
  <w:num w:numId="8" w16cid:durableId="1770003400">
    <w:abstractNumId w:val="13"/>
  </w:num>
  <w:num w:numId="9" w16cid:durableId="288980037">
    <w:abstractNumId w:val="17"/>
  </w:num>
  <w:num w:numId="10" w16cid:durableId="1487823876">
    <w:abstractNumId w:val="4"/>
  </w:num>
  <w:num w:numId="11" w16cid:durableId="2080128886">
    <w:abstractNumId w:val="15"/>
  </w:num>
  <w:num w:numId="12" w16cid:durableId="970132404">
    <w:abstractNumId w:val="10"/>
  </w:num>
  <w:num w:numId="13" w16cid:durableId="1500540667">
    <w:abstractNumId w:val="9"/>
  </w:num>
  <w:num w:numId="14" w16cid:durableId="1052776360">
    <w:abstractNumId w:val="3"/>
  </w:num>
  <w:num w:numId="15" w16cid:durableId="1697317075">
    <w:abstractNumId w:val="11"/>
  </w:num>
  <w:num w:numId="16" w16cid:durableId="17117620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88983611">
    <w:abstractNumId w:val="1"/>
  </w:num>
  <w:num w:numId="18" w16cid:durableId="706641733">
    <w:abstractNumId w:val="8"/>
  </w:num>
  <w:num w:numId="19" w16cid:durableId="784159220">
    <w:abstractNumId w:val="0"/>
  </w:num>
  <w:num w:numId="20" w16cid:durableId="345600300">
    <w:abstractNumId w:val="6"/>
  </w:num>
  <w:num w:numId="21" w16cid:durableId="446043967">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26AAB"/>
    <w:rsid w:val="00036A03"/>
    <w:rsid w:val="00036B9E"/>
    <w:rsid w:val="00037DF4"/>
    <w:rsid w:val="000442A4"/>
    <w:rsid w:val="0004700E"/>
    <w:rsid w:val="00070C13"/>
    <w:rsid w:val="000715C9"/>
    <w:rsid w:val="00076486"/>
    <w:rsid w:val="00084F33"/>
    <w:rsid w:val="000A77A7"/>
    <w:rsid w:val="000B1707"/>
    <w:rsid w:val="000C1B3E"/>
    <w:rsid w:val="000C349E"/>
    <w:rsid w:val="000F5CBC"/>
    <w:rsid w:val="00110AE7"/>
    <w:rsid w:val="00145AC7"/>
    <w:rsid w:val="00177F4D"/>
    <w:rsid w:val="00180DDA"/>
    <w:rsid w:val="00196604"/>
    <w:rsid w:val="001B1C4B"/>
    <w:rsid w:val="001B2A2D"/>
    <w:rsid w:val="001B737D"/>
    <w:rsid w:val="001C44A3"/>
    <w:rsid w:val="001D5E4D"/>
    <w:rsid w:val="001E09A2"/>
    <w:rsid w:val="001E0E15"/>
    <w:rsid w:val="001F528A"/>
    <w:rsid w:val="001F704E"/>
    <w:rsid w:val="001F7DC3"/>
    <w:rsid w:val="00201722"/>
    <w:rsid w:val="002125B0"/>
    <w:rsid w:val="00243228"/>
    <w:rsid w:val="00251483"/>
    <w:rsid w:val="00255CAA"/>
    <w:rsid w:val="00264305"/>
    <w:rsid w:val="00270018"/>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02B18"/>
    <w:rsid w:val="0041088C"/>
    <w:rsid w:val="00412DD0"/>
    <w:rsid w:val="00420A38"/>
    <w:rsid w:val="00422134"/>
    <w:rsid w:val="00431B19"/>
    <w:rsid w:val="004661AD"/>
    <w:rsid w:val="00491919"/>
    <w:rsid w:val="004A6C1D"/>
    <w:rsid w:val="004D1D85"/>
    <w:rsid w:val="004D3C3A"/>
    <w:rsid w:val="004E1CD1"/>
    <w:rsid w:val="004E4B9D"/>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3734"/>
    <w:rsid w:val="006F2A74"/>
    <w:rsid w:val="007000D4"/>
    <w:rsid w:val="007118F5"/>
    <w:rsid w:val="00712AA4"/>
    <w:rsid w:val="007146C4"/>
    <w:rsid w:val="00721AA1"/>
    <w:rsid w:val="00724B67"/>
    <w:rsid w:val="00745226"/>
    <w:rsid w:val="007547F8"/>
    <w:rsid w:val="00761CAA"/>
    <w:rsid w:val="00765622"/>
    <w:rsid w:val="00770B6C"/>
    <w:rsid w:val="00781B07"/>
    <w:rsid w:val="00783FEA"/>
    <w:rsid w:val="007A395D"/>
    <w:rsid w:val="007B6BD5"/>
    <w:rsid w:val="007C346C"/>
    <w:rsid w:val="007D5A25"/>
    <w:rsid w:val="007E6479"/>
    <w:rsid w:val="0080294B"/>
    <w:rsid w:val="00822CC4"/>
    <w:rsid w:val="0082480E"/>
    <w:rsid w:val="008321E9"/>
    <w:rsid w:val="00850293"/>
    <w:rsid w:val="00851373"/>
    <w:rsid w:val="00851BA6"/>
    <w:rsid w:val="008535F3"/>
    <w:rsid w:val="0085654D"/>
    <w:rsid w:val="00861160"/>
    <w:rsid w:val="0086654F"/>
    <w:rsid w:val="00866AC0"/>
    <w:rsid w:val="00875373"/>
    <w:rsid w:val="008A356F"/>
    <w:rsid w:val="008A4653"/>
    <w:rsid w:val="008A4717"/>
    <w:rsid w:val="008A50CC"/>
    <w:rsid w:val="008B3040"/>
    <w:rsid w:val="008B419E"/>
    <w:rsid w:val="008C574F"/>
    <w:rsid w:val="008D1694"/>
    <w:rsid w:val="008D19F6"/>
    <w:rsid w:val="008D6C1F"/>
    <w:rsid w:val="008D79CB"/>
    <w:rsid w:val="008F07BC"/>
    <w:rsid w:val="0091760D"/>
    <w:rsid w:val="0092692B"/>
    <w:rsid w:val="00930062"/>
    <w:rsid w:val="00930561"/>
    <w:rsid w:val="00943E9C"/>
    <w:rsid w:val="00953F4D"/>
    <w:rsid w:val="00960BB8"/>
    <w:rsid w:val="00964F5C"/>
    <w:rsid w:val="00973B57"/>
    <w:rsid w:val="00975900"/>
    <w:rsid w:val="009831C0"/>
    <w:rsid w:val="0099161D"/>
    <w:rsid w:val="009C336F"/>
    <w:rsid w:val="009D1A67"/>
    <w:rsid w:val="00A0389B"/>
    <w:rsid w:val="00A33A3C"/>
    <w:rsid w:val="00A446C9"/>
    <w:rsid w:val="00A45E9F"/>
    <w:rsid w:val="00A635D6"/>
    <w:rsid w:val="00A8553A"/>
    <w:rsid w:val="00A93AED"/>
    <w:rsid w:val="00AB1E1A"/>
    <w:rsid w:val="00AE1319"/>
    <w:rsid w:val="00AE34BB"/>
    <w:rsid w:val="00AE405E"/>
    <w:rsid w:val="00AF0590"/>
    <w:rsid w:val="00B00A18"/>
    <w:rsid w:val="00B226F2"/>
    <w:rsid w:val="00B23225"/>
    <w:rsid w:val="00B274DF"/>
    <w:rsid w:val="00B56BDF"/>
    <w:rsid w:val="00B65812"/>
    <w:rsid w:val="00B766DC"/>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A4294"/>
    <w:rsid w:val="00DC389B"/>
    <w:rsid w:val="00DE2FEE"/>
    <w:rsid w:val="00DF1467"/>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F3685"/>
    <w:rsid w:val="00EF382E"/>
    <w:rsid w:val="00F04350"/>
    <w:rsid w:val="00F133DB"/>
    <w:rsid w:val="00F159EB"/>
    <w:rsid w:val="00F25BF4"/>
    <w:rsid w:val="00F267DB"/>
    <w:rsid w:val="00F46F6F"/>
    <w:rsid w:val="00F60608"/>
    <w:rsid w:val="00F62217"/>
    <w:rsid w:val="00F76CAC"/>
    <w:rsid w:val="00FB17A9"/>
    <w:rsid w:val="00FB527C"/>
    <w:rsid w:val="00FB6F75"/>
    <w:rsid w:val="00FB7D03"/>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12062F35-8A8A-457B-B41E-5766D1430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B23225"/>
    <w:pPr>
      <w:numPr>
        <w:numId w:val="9"/>
      </w:numPr>
      <w:tabs>
        <w:tab w:val="clear" w:pos="8081"/>
        <w:tab w:val="num" w:pos="0"/>
      </w:tabs>
      <w:spacing w:before="120" w:after="120"/>
      <w:ind w:left="6947" w:hanging="8081"/>
      <w:jc w:val="center"/>
    </w:pPr>
    <w:rPr>
      <w:rFonts w:ascii="Calibri" w:hAnsi="Calibr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ListNumber4">
    <w:name w:val="List Number 4"/>
    <w:basedOn w:val="Normal"/>
    <w:rsid w:val="000442A4"/>
    <w:pPr>
      <w:numPr>
        <w:numId w:val="19"/>
      </w:numPr>
      <w:jc w:val="both"/>
    </w:pPr>
    <w:rPr>
      <w:rFonts w:asciiTheme="minorHAnsi" w:eastAsia="Times New Roman" w:hAnsiTheme="minorHAnsi" w:cstheme="minorHAnsi"/>
      <w:lang w:eastAsia="en-US"/>
    </w:rPr>
  </w:style>
  <w:style w:type="paragraph" w:customStyle="1" w:styleId="FigureCaption">
    <w:name w:val="Figure_Caption"/>
    <w:basedOn w:val="Normal"/>
    <w:qFormat/>
    <w:rsid w:val="000442A4"/>
    <w:pPr>
      <w:spacing w:before="120" w:after="120"/>
      <w:jc w:val="center"/>
    </w:pPr>
    <w:rPr>
      <w:rFonts w:asciiTheme="minorHAnsi" w:eastAsia="Times New Roman" w:hAnsiTheme="minorHAnsi" w:cstheme="minorHAnsi"/>
      <w:iCs/>
      <w:sz w:val="20"/>
      <w:szCs w:val="24"/>
      <w:lang w:eastAsia="en-US"/>
    </w:rPr>
  </w:style>
  <w:style w:type="character" w:customStyle="1" w:styleId="CharChar">
    <w:name w:val="Char Char"/>
    <w:basedOn w:val="DefaultParagraphFont"/>
    <w:rsid w:val="000442A4"/>
    <w:rPr>
      <w:sz w:val="24"/>
      <w:lang w:val="en-US" w:eastAsia="en-US" w:bidi="ar-SA"/>
    </w:rPr>
  </w:style>
  <w:style w:type="paragraph" w:styleId="Revision">
    <w:name w:val="Revision"/>
    <w:hidden/>
    <w:uiPriority w:val="99"/>
    <w:semiHidden/>
    <w:rsid w:val="00AE405E"/>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gnos-user-support.essp-sas.eu/sites/default/files/documents/egnos_edas_sdd_in_force.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CCFF7C7D-B18B-48CF-887C-88D2747C40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E11B19EA-71F5-49E8-A094-9792A94807AF}">
  <ds:schemaRefs>
    <ds:schemaRef ds:uri="http://schemas.openxmlformats.org/officeDocument/2006/bibliography"/>
  </ds:schemaRefs>
</ds:datastoreItem>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1530</Words>
  <Characters>8417</Characters>
  <Application>Microsoft Office Word</Application>
  <DocSecurity>0</DocSecurity>
  <Lines>70</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5</cp:revision>
  <dcterms:created xsi:type="dcterms:W3CDTF">2023-09-11T10:52:00Z</dcterms:created>
  <dcterms:modified xsi:type="dcterms:W3CDTF">2023-09-29T18:40:00Z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