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782909" w14:textId="4953232A" w:rsidR="00153923" w:rsidRPr="00A72757" w:rsidRDefault="00153923" w:rsidP="00153923">
      <w:pPr>
        <w:pStyle w:val="Header"/>
        <w:tabs>
          <w:tab w:val="right" w:pos="5954"/>
        </w:tabs>
        <w:spacing w:after="240"/>
        <w:jc w:val="right"/>
        <w:rPr>
          <w:rFonts w:ascii="Calibri" w:hAnsi="Calibri"/>
          <w:b/>
          <w:bCs/>
          <w:color w:val="00558C"/>
          <w:sz w:val="24"/>
          <w:szCs w:val="24"/>
        </w:rPr>
      </w:pPr>
      <w:r w:rsidRPr="00A72757">
        <w:rPr>
          <w:rFonts w:ascii="Calibri" w:hAnsi="Calibri"/>
          <w:b/>
          <w:bCs/>
          <w:color w:val="00558C"/>
          <w:sz w:val="24"/>
          <w:szCs w:val="24"/>
        </w:rPr>
        <w:t xml:space="preserve">Input paper: </w:t>
      </w:r>
      <w:r w:rsidRPr="00A72757">
        <w:rPr>
          <w:rStyle w:val="FootnoteReference"/>
          <w:rFonts w:ascii="Calibri" w:hAnsi="Calibri"/>
          <w:b/>
          <w:bCs/>
          <w:color w:val="00558C"/>
          <w:sz w:val="24"/>
          <w:szCs w:val="24"/>
        </w:rPr>
        <w:footnoteReference w:id="1"/>
      </w:r>
      <w:r w:rsidRPr="00A72757">
        <w:rPr>
          <w:rFonts w:ascii="Calibri" w:hAnsi="Calibri"/>
          <w:b/>
          <w:bCs/>
          <w:color w:val="00558C"/>
          <w:sz w:val="24"/>
          <w:szCs w:val="24"/>
        </w:rPr>
        <w:t xml:space="preserve"> </w:t>
      </w:r>
      <w:r w:rsidR="00064C12" w:rsidRPr="00064C12">
        <w:rPr>
          <w:rFonts w:ascii="Calibri" w:hAnsi="Calibri"/>
          <w:color w:val="000000" w:themeColor="text1"/>
          <w:sz w:val="24"/>
          <w:szCs w:val="24"/>
        </w:rPr>
        <w:t>ENG17-3.1.1.12</w:t>
      </w:r>
    </w:p>
    <w:p w14:paraId="26CB0C92" w14:textId="77777777" w:rsidR="00153923" w:rsidRPr="007A395D" w:rsidRDefault="00153923" w:rsidP="00153923">
      <w:pPr>
        <w:pStyle w:val="BodyText"/>
        <w:tabs>
          <w:tab w:val="left" w:pos="2835"/>
        </w:tabs>
        <w:rPr>
          <w:rFonts w:ascii="Calibri" w:hAnsi="Calibri"/>
        </w:rPr>
      </w:pPr>
    </w:p>
    <w:p w14:paraId="56AE0FC2" w14:textId="77777777" w:rsidR="00153923" w:rsidRPr="00110203" w:rsidRDefault="00153923" w:rsidP="00153923">
      <w:pPr>
        <w:pStyle w:val="BodyText"/>
        <w:tabs>
          <w:tab w:val="left" w:pos="2835"/>
        </w:tabs>
        <w:spacing w:after="0"/>
        <w:rPr>
          <w:rFonts w:ascii="Calibri" w:hAnsi="Calibri"/>
          <w:b/>
          <w:bCs/>
          <w:color w:val="00558C"/>
          <w:sz w:val="24"/>
          <w:szCs w:val="24"/>
        </w:rPr>
      </w:pPr>
      <w:r w:rsidRPr="00A72757">
        <w:rPr>
          <w:rFonts w:ascii="Calibri" w:hAnsi="Calibri"/>
          <w:b/>
          <w:bCs/>
          <w:color w:val="00558C"/>
          <w:sz w:val="24"/>
          <w:szCs w:val="24"/>
        </w:rPr>
        <w:t>Input paper for the following Committee(s):</w:t>
      </w:r>
      <w:r w:rsidRPr="00A72757">
        <w:rPr>
          <w:rFonts w:ascii="Calibri" w:hAnsi="Calibri"/>
          <w:color w:val="00558C"/>
        </w:rPr>
        <w:t xml:space="preserve"> </w:t>
      </w:r>
      <w:r w:rsidRPr="007A395D">
        <w:rPr>
          <w:rFonts w:ascii="Calibri" w:hAnsi="Calibri"/>
        </w:rPr>
        <w:tab/>
      </w:r>
      <w:r>
        <w:rPr>
          <w:rFonts w:ascii="Calibri" w:hAnsi="Calibri"/>
        </w:rPr>
        <w:tab/>
      </w:r>
      <w:r w:rsidRPr="00110203">
        <w:rPr>
          <w:rFonts w:ascii="Calibri" w:hAnsi="Calibri"/>
          <w:b/>
          <w:bCs/>
          <w:color w:val="00558C"/>
          <w:sz w:val="24"/>
          <w:szCs w:val="24"/>
        </w:rPr>
        <w:t>Purpose of paper:</w:t>
      </w:r>
    </w:p>
    <w:p w14:paraId="6E9F73B2" w14:textId="77777777" w:rsidR="00153923" w:rsidRPr="007A395D" w:rsidRDefault="00153923" w:rsidP="00153923">
      <w:pPr>
        <w:pStyle w:val="BodyText"/>
        <w:tabs>
          <w:tab w:val="left" w:pos="2835"/>
        </w:tabs>
        <w:rPr>
          <w:rFonts w:ascii="Calibri" w:hAnsi="Calibri"/>
        </w:rPr>
      </w:pPr>
      <w:r w:rsidRPr="00C02DDD">
        <w:rPr>
          <w:rFonts w:ascii="Calibri" w:hAnsi="Calibri"/>
          <w:sz w:val="18"/>
          <w:szCs w:val="18"/>
        </w:rPr>
        <w:t xml:space="preserve">(Select </w:t>
      </w:r>
      <w:r w:rsidRPr="007A395D">
        <w:rPr>
          <w:rFonts w:ascii="Calibri" w:hAnsi="Calibri"/>
          <w:sz w:val="18"/>
          <w:szCs w:val="18"/>
        </w:rPr>
        <w:t>as appropriate</w:t>
      </w:r>
      <w:r>
        <w:rPr>
          <w:rFonts w:ascii="Calibri" w:hAnsi="Calibri"/>
          <w:sz w:val="18"/>
          <w:szCs w:val="18"/>
        </w:rPr>
        <w:t>)</w:t>
      </w:r>
      <w:r w:rsidRPr="007A395D">
        <w:rPr>
          <w:rFonts w:ascii="Calibri" w:hAnsi="Calibri"/>
          <w:sz w:val="18"/>
          <w:szCs w:val="18"/>
        </w:rPr>
        <w:tab/>
      </w:r>
    </w:p>
    <w:p w14:paraId="762654EB" w14:textId="77777777" w:rsidR="00153923" w:rsidRPr="00B0084A" w:rsidRDefault="00064C12" w:rsidP="00153923">
      <w:pPr>
        <w:pStyle w:val="BodyText"/>
        <w:tabs>
          <w:tab w:val="left" w:pos="1843"/>
        </w:tabs>
        <w:rPr>
          <w:rFonts w:ascii="Calibri" w:hAnsi="Calibri" w:cs="Arial"/>
          <w:b/>
        </w:rPr>
      </w:pPr>
      <w:sdt>
        <w:sdtPr>
          <w:rPr>
            <w:rFonts w:ascii="Calibri" w:hAnsi="Calibri" w:cs="Arial"/>
            <w:b/>
            <w:sz w:val="24"/>
            <w:szCs w:val="24"/>
          </w:rPr>
          <w:id w:val="-2075572951"/>
          <w14:checkbox>
            <w14:checked w14:val="0"/>
            <w14:checkedState w14:val="2612" w14:font="MS Gothic"/>
            <w14:uncheckedState w14:val="2610" w14:font="MS Gothic"/>
          </w14:checkbox>
        </w:sdtPr>
        <w:sdtEndPr/>
        <w:sdtContent>
          <w:r w:rsidR="00153923">
            <w:rPr>
              <w:rFonts w:ascii="MS Gothic" w:eastAsia="MS Gothic" w:hAnsi="MS Gothic" w:cs="Arial" w:hint="eastAsia"/>
              <w:b/>
              <w:sz w:val="24"/>
              <w:szCs w:val="24"/>
            </w:rPr>
            <w:t>☐</w:t>
          </w:r>
        </w:sdtContent>
      </w:sdt>
      <w:r w:rsidR="00153923" w:rsidRPr="007A395D">
        <w:rPr>
          <w:rFonts w:ascii="Calibri" w:hAnsi="Calibri" w:cs="Arial"/>
          <w:sz w:val="24"/>
          <w:szCs w:val="24"/>
        </w:rPr>
        <w:t xml:space="preserve"> </w:t>
      </w:r>
      <w:r w:rsidR="00153923" w:rsidRPr="007A395D">
        <w:rPr>
          <w:rFonts w:ascii="Calibri" w:hAnsi="Calibri" w:cs="Arial"/>
        </w:rPr>
        <w:t>ARM</w:t>
      </w:r>
      <w:r w:rsidR="00153923" w:rsidRPr="007A395D">
        <w:rPr>
          <w:rFonts w:ascii="Calibri" w:hAnsi="Calibri" w:cs="Arial"/>
        </w:rPr>
        <w:tab/>
      </w:r>
      <w:sdt>
        <w:sdtPr>
          <w:rPr>
            <w:rFonts w:ascii="Calibri" w:hAnsi="Calibri" w:cs="Arial"/>
            <w:b/>
            <w:sz w:val="24"/>
            <w:szCs w:val="24"/>
          </w:rPr>
          <w:id w:val="1103151903"/>
          <w14:checkbox>
            <w14:checked w14:val="1"/>
            <w14:checkedState w14:val="2612" w14:font="MS Gothic"/>
            <w14:uncheckedState w14:val="2610" w14:font="MS Gothic"/>
          </w14:checkbox>
        </w:sdtPr>
        <w:sdtEndPr/>
        <w:sdtContent>
          <w:r w:rsidR="00153923">
            <w:rPr>
              <w:rFonts w:ascii="MS Gothic" w:eastAsia="MS Gothic" w:hAnsi="MS Gothic" w:cs="Arial" w:hint="eastAsia"/>
              <w:b/>
              <w:sz w:val="24"/>
              <w:szCs w:val="24"/>
            </w:rPr>
            <w:t>☒</w:t>
          </w:r>
        </w:sdtContent>
      </w:sdt>
      <w:r w:rsidR="00153923" w:rsidRPr="007A395D">
        <w:rPr>
          <w:rFonts w:ascii="Calibri" w:hAnsi="Calibri" w:cs="Arial"/>
          <w:sz w:val="24"/>
          <w:szCs w:val="24"/>
        </w:rPr>
        <w:t xml:space="preserve">  </w:t>
      </w:r>
      <w:r w:rsidR="00153923" w:rsidRPr="007A395D">
        <w:rPr>
          <w:rFonts w:ascii="Calibri" w:hAnsi="Calibri" w:cs="Arial"/>
        </w:rPr>
        <w:t>ENG</w:t>
      </w:r>
      <w:r w:rsidR="00153923" w:rsidRPr="007A395D">
        <w:rPr>
          <w:rFonts w:ascii="Calibri" w:hAnsi="Calibri" w:cs="Arial"/>
        </w:rPr>
        <w:tab/>
      </w:r>
      <w:r w:rsidR="00153923" w:rsidRPr="007A395D">
        <w:rPr>
          <w:rFonts w:ascii="Calibri" w:hAnsi="Calibri" w:cs="Arial"/>
        </w:rPr>
        <w:tab/>
      </w:r>
      <w:bookmarkStart w:id="0" w:name="_Hlk81060441"/>
      <w:sdt>
        <w:sdtPr>
          <w:rPr>
            <w:rFonts w:ascii="Calibri" w:hAnsi="Calibri" w:cs="Arial"/>
            <w:b/>
            <w:sz w:val="24"/>
            <w:szCs w:val="24"/>
          </w:rPr>
          <w:id w:val="-363756475"/>
          <w14:checkbox>
            <w14:checked w14:val="0"/>
            <w14:checkedState w14:val="2612" w14:font="MS Gothic"/>
            <w14:uncheckedState w14:val="2610" w14:font="MS Gothic"/>
          </w14:checkbox>
        </w:sdtPr>
        <w:sdtEndPr/>
        <w:sdtContent>
          <w:r w:rsidR="00153923">
            <w:rPr>
              <w:rFonts w:ascii="MS Gothic" w:eastAsia="MS Gothic" w:hAnsi="MS Gothic" w:cs="Arial" w:hint="eastAsia"/>
              <w:b/>
              <w:sz w:val="24"/>
              <w:szCs w:val="24"/>
            </w:rPr>
            <w:t>☐</w:t>
          </w:r>
        </w:sdtContent>
      </w:sdt>
      <w:r w:rsidR="00153923" w:rsidRPr="007A395D">
        <w:rPr>
          <w:rFonts w:ascii="Calibri" w:hAnsi="Calibri" w:cs="Arial"/>
          <w:sz w:val="24"/>
          <w:szCs w:val="24"/>
        </w:rPr>
        <w:t xml:space="preserve"> </w:t>
      </w:r>
      <w:bookmarkEnd w:id="0"/>
      <w:r w:rsidR="00153923" w:rsidRPr="007A395D">
        <w:rPr>
          <w:rFonts w:ascii="Calibri" w:hAnsi="Calibri" w:cs="Arial"/>
        </w:rPr>
        <w:t>PAP</w:t>
      </w:r>
      <w:r w:rsidR="00153923" w:rsidRPr="007A395D">
        <w:rPr>
          <w:rFonts w:ascii="Calibri" w:hAnsi="Calibri" w:cs="Arial"/>
          <w:sz w:val="24"/>
          <w:szCs w:val="24"/>
        </w:rPr>
        <w:tab/>
      </w:r>
      <w:r w:rsidR="00153923" w:rsidRPr="007A395D">
        <w:rPr>
          <w:rFonts w:ascii="Calibri" w:hAnsi="Calibri" w:cs="Arial"/>
          <w:sz w:val="24"/>
          <w:szCs w:val="24"/>
        </w:rPr>
        <w:tab/>
      </w:r>
      <w:r w:rsidR="00153923" w:rsidRPr="007A395D">
        <w:rPr>
          <w:rFonts w:ascii="Calibri" w:hAnsi="Calibri" w:cs="Arial"/>
          <w:sz w:val="24"/>
          <w:szCs w:val="24"/>
        </w:rPr>
        <w:tab/>
      </w:r>
      <w:sdt>
        <w:sdtPr>
          <w:rPr>
            <w:rFonts w:ascii="Calibri" w:hAnsi="Calibri" w:cs="Arial"/>
            <w:b/>
            <w:sz w:val="24"/>
            <w:szCs w:val="24"/>
          </w:rPr>
          <w:id w:val="-1999726360"/>
          <w14:checkbox>
            <w14:checked w14:val="0"/>
            <w14:checkedState w14:val="2612" w14:font="MS Gothic"/>
            <w14:uncheckedState w14:val="2610" w14:font="MS Gothic"/>
          </w14:checkbox>
        </w:sdtPr>
        <w:sdtEndPr/>
        <w:sdtContent>
          <w:r w:rsidR="00153923">
            <w:rPr>
              <w:rFonts w:ascii="MS Gothic" w:eastAsia="MS Gothic" w:hAnsi="MS Gothic" w:cs="Arial" w:hint="eastAsia"/>
              <w:b/>
              <w:sz w:val="24"/>
              <w:szCs w:val="24"/>
            </w:rPr>
            <w:t>☐</w:t>
          </w:r>
        </w:sdtContent>
      </w:sdt>
      <w:r w:rsidR="00153923" w:rsidRPr="007A395D">
        <w:rPr>
          <w:rFonts w:ascii="Calibri" w:hAnsi="Calibri" w:cs="Arial"/>
          <w:sz w:val="24"/>
          <w:szCs w:val="24"/>
        </w:rPr>
        <w:t xml:space="preserve"> </w:t>
      </w:r>
      <w:r w:rsidR="00153923" w:rsidRPr="00B0084A">
        <w:rPr>
          <w:rFonts w:ascii="Calibri" w:hAnsi="Calibri" w:cs="Arial"/>
        </w:rPr>
        <w:t>Input</w:t>
      </w:r>
    </w:p>
    <w:p w14:paraId="3794B2BC" w14:textId="77777777" w:rsidR="00153923" w:rsidRPr="00B0084A" w:rsidRDefault="00064C12" w:rsidP="00153923">
      <w:pPr>
        <w:pStyle w:val="BodyText"/>
        <w:tabs>
          <w:tab w:val="left" w:pos="1843"/>
        </w:tabs>
        <w:rPr>
          <w:rFonts w:ascii="Calibri" w:hAnsi="Calibri"/>
        </w:rPr>
      </w:pPr>
      <w:sdt>
        <w:sdtPr>
          <w:rPr>
            <w:rFonts w:ascii="Calibri" w:hAnsi="Calibri" w:cs="Arial"/>
            <w:b/>
          </w:rPr>
          <w:id w:val="1358232040"/>
          <w14:checkbox>
            <w14:checked w14:val="0"/>
            <w14:checkedState w14:val="2612" w14:font="MS Gothic"/>
            <w14:uncheckedState w14:val="2610" w14:font="MS Gothic"/>
          </w14:checkbox>
        </w:sdtPr>
        <w:sdtEndPr/>
        <w:sdtContent>
          <w:r w:rsidR="00153923" w:rsidRPr="00B0084A">
            <w:rPr>
              <w:rFonts w:ascii="MS Gothic" w:eastAsia="MS Gothic" w:hAnsi="MS Gothic" w:cs="Arial" w:hint="eastAsia"/>
              <w:b/>
            </w:rPr>
            <w:t>☐</w:t>
          </w:r>
        </w:sdtContent>
      </w:sdt>
      <w:r w:rsidR="00153923" w:rsidRPr="00B0084A">
        <w:rPr>
          <w:rFonts w:ascii="Calibri" w:hAnsi="Calibri" w:cs="Arial"/>
        </w:rPr>
        <w:t xml:space="preserve"> ENAV</w:t>
      </w:r>
      <w:r w:rsidR="00153923" w:rsidRPr="00B0084A">
        <w:rPr>
          <w:rFonts w:ascii="Calibri" w:hAnsi="Calibri" w:cs="Arial"/>
          <w:b/>
        </w:rPr>
        <w:tab/>
      </w:r>
      <w:sdt>
        <w:sdtPr>
          <w:rPr>
            <w:rFonts w:ascii="Calibri" w:hAnsi="Calibri" w:cs="Arial"/>
            <w:b/>
          </w:rPr>
          <w:id w:val="1574472571"/>
          <w14:checkbox>
            <w14:checked w14:val="0"/>
            <w14:checkedState w14:val="2612" w14:font="MS Gothic"/>
            <w14:uncheckedState w14:val="2610" w14:font="MS Gothic"/>
          </w14:checkbox>
        </w:sdtPr>
        <w:sdtEndPr/>
        <w:sdtContent>
          <w:r w:rsidR="00153923" w:rsidRPr="00B0084A">
            <w:rPr>
              <w:rFonts w:ascii="MS Gothic" w:eastAsia="MS Gothic" w:hAnsi="MS Gothic" w:cs="Arial" w:hint="eastAsia"/>
              <w:b/>
            </w:rPr>
            <w:t>☐</w:t>
          </w:r>
        </w:sdtContent>
      </w:sdt>
      <w:r w:rsidR="00153923" w:rsidRPr="00B0084A">
        <w:rPr>
          <w:rFonts w:ascii="Calibri" w:hAnsi="Calibri" w:cs="Arial"/>
        </w:rPr>
        <w:t xml:space="preserve"> VTS</w:t>
      </w:r>
      <w:r w:rsidR="00153923" w:rsidRPr="00B0084A">
        <w:rPr>
          <w:rFonts w:ascii="Calibri" w:hAnsi="Calibri" w:cs="Arial"/>
        </w:rPr>
        <w:tab/>
      </w:r>
      <w:r w:rsidR="00153923" w:rsidRPr="00B0084A">
        <w:rPr>
          <w:rFonts w:ascii="Calibri" w:hAnsi="Calibri" w:cs="Arial"/>
        </w:rPr>
        <w:tab/>
      </w:r>
      <w:r w:rsidR="00153923" w:rsidRPr="00B0084A">
        <w:rPr>
          <w:rFonts w:ascii="Calibri" w:hAnsi="Calibri" w:cs="Arial"/>
        </w:rPr>
        <w:tab/>
      </w:r>
      <w:r w:rsidR="00153923" w:rsidRPr="00B0084A">
        <w:rPr>
          <w:rFonts w:ascii="Calibri" w:hAnsi="Calibri" w:cs="Arial"/>
        </w:rPr>
        <w:tab/>
      </w:r>
      <w:r w:rsidR="00153923" w:rsidRPr="00B0084A">
        <w:rPr>
          <w:rFonts w:ascii="Calibri" w:hAnsi="Calibri" w:cs="Arial"/>
        </w:rPr>
        <w:tab/>
      </w:r>
      <w:sdt>
        <w:sdtPr>
          <w:rPr>
            <w:rFonts w:ascii="Calibri" w:hAnsi="Calibri" w:cs="Arial"/>
            <w:b/>
          </w:rPr>
          <w:id w:val="1701977003"/>
          <w14:checkbox>
            <w14:checked w14:val="1"/>
            <w14:checkedState w14:val="2612" w14:font="MS Gothic"/>
            <w14:uncheckedState w14:val="2610" w14:font="MS Gothic"/>
          </w14:checkbox>
        </w:sdtPr>
        <w:sdtEndPr/>
        <w:sdtContent>
          <w:r w:rsidR="00153923">
            <w:rPr>
              <w:rFonts w:ascii="MS Gothic" w:eastAsia="MS Gothic" w:hAnsi="MS Gothic" w:cs="Arial" w:hint="eastAsia"/>
              <w:b/>
            </w:rPr>
            <w:t>☒</w:t>
          </w:r>
        </w:sdtContent>
      </w:sdt>
      <w:r w:rsidR="00153923" w:rsidRPr="00B0084A">
        <w:rPr>
          <w:rFonts w:ascii="Calibri" w:hAnsi="Calibri" w:cs="Arial"/>
        </w:rPr>
        <w:t xml:space="preserve"> Information</w:t>
      </w:r>
    </w:p>
    <w:p w14:paraId="5E999768" w14:textId="77777777" w:rsidR="00153923" w:rsidRPr="00074810" w:rsidRDefault="00153923" w:rsidP="00153923">
      <w:pPr>
        <w:pStyle w:val="BodyText"/>
        <w:tabs>
          <w:tab w:val="left" w:pos="2835"/>
        </w:tabs>
        <w:rPr>
          <w:rFonts w:ascii="Calibri" w:hAnsi="Calibri"/>
        </w:rPr>
      </w:pPr>
    </w:p>
    <w:p w14:paraId="45526B10" w14:textId="77777777" w:rsidR="00153923" w:rsidRPr="007A395D" w:rsidRDefault="00153923" w:rsidP="00153923">
      <w:pPr>
        <w:pStyle w:val="BodyText"/>
        <w:tabs>
          <w:tab w:val="left" w:pos="2835"/>
        </w:tabs>
        <w:rPr>
          <w:rFonts w:ascii="Calibri" w:hAnsi="Calibri"/>
          <w:lang w:eastAsia="ko-KR"/>
        </w:rPr>
      </w:pPr>
      <w:r w:rsidRPr="00C02DDD">
        <w:rPr>
          <w:rFonts w:ascii="Calibri" w:hAnsi="Calibri"/>
          <w:b/>
          <w:bCs/>
          <w:color w:val="00558C"/>
          <w:sz w:val="24"/>
          <w:szCs w:val="24"/>
        </w:rPr>
        <w:t>Agenda item</w:t>
      </w:r>
      <w:r w:rsidRPr="007A395D">
        <w:rPr>
          <w:rFonts w:ascii="Calibri" w:hAnsi="Calibri"/>
        </w:rPr>
        <w:t xml:space="preserve"> </w:t>
      </w:r>
      <w:r w:rsidRPr="007A395D">
        <w:rPr>
          <w:rStyle w:val="FootnoteReference"/>
          <w:rFonts w:ascii="Calibri" w:hAnsi="Calibri"/>
        </w:rPr>
        <w:footnoteReference w:id="2"/>
      </w:r>
      <w:r w:rsidRPr="007A395D">
        <w:rPr>
          <w:rFonts w:ascii="Calibri" w:hAnsi="Calibri"/>
        </w:rPr>
        <w:tab/>
      </w:r>
      <w:r w:rsidRPr="007A395D">
        <w:rPr>
          <w:rFonts w:ascii="Calibri" w:hAnsi="Calibri"/>
        </w:rPr>
        <w:tab/>
      </w:r>
      <w:r w:rsidRPr="007A395D">
        <w:rPr>
          <w:rFonts w:ascii="Calibri" w:hAnsi="Calibri"/>
        </w:rPr>
        <w:tab/>
      </w:r>
      <w:r>
        <w:rPr>
          <w:rFonts w:ascii="Malgun Gothic" w:eastAsia="Malgun Gothic" w:hAnsi="Malgun Gothic" w:cs="Malgun Gothic" w:hint="eastAsia"/>
          <w:lang w:eastAsia="ko-KR"/>
        </w:rPr>
        <w:t>x</w:t>
      </w:r>
    </w:p>
    <w:p w14:paraId="05E22F70" w14:textId="77777777" w:rsidR="00153923" w:rsidRPr="007A395D" w:rsidRDefault="00153923" w:rsidP="00153923">
      <w:pPr>
        <w:pStyle w:val="BodyText"/>
        <w:tabs>
          <w:tab w:val="left" w:pos="2835"/>
        </w:tabs>
        <w:rPr>
          <w:rFonts w:ascii="Calibri" w:hAnsi="Calibri"/>
        </w:rPr>
      </w:pPr>
      <w:r w:rsidRPr="00C02DDD">
        <w:rPr>
          <w:rFonts w:ascii="Calibri" w:hAnsi="Calibri"/>
          <w:b/>
          <w:bCs/>
          <w:color w:val="00558C"/>
          <w:sz w:val="24"/>
          <w:szCs w:val="24"/>
        </w:rPr>
        <w:t>Technical domain/ Task number</w:t>
      </w:r>
      <w:r w:rsidRPr="007A395D">
        <w:rPr>
          <w:rFonts w:ascii="Calibri" w:hAnsi="Calibri"/>
        </w:rPr>
        <w:t xml:space="preserve"> </w:t>
      </w:r>
      <w:r w:rsidRPr="007A395D">
        <w:rPr>
          <w:rFonts w:ascii="Calibri" w:hAnsi="Calibri"/>
          <w:vertAlign w:val="superscript"/>
        </w:rPr>
        <w:t>2</w:t>
      </w:r>
      <w:r w:rsidRPr="007A395D">
        <w:rPr>
          <w:rFonts w:ascii="Calibri" w:hAnsi="Calibri"/>
        </w:rPr>
        <w:tab/>
      </w:r>
      <w:r>
        <w:rPr>
          <w:rFonts w:ascii="Calibri" w:hAnsi="Calibri"/>
        </w:rPr>
        <w:t>x</w:t>
      </w:r>
    </w:p>
    <w:p w14:paraId="5142A15F" w14:textId="77777777" w:rsidR="00153923" w:rsidRPr="00CF63D2" w:rsidRDefault="00153923" w:rsidP="00153923">
      <w:pPr>
        <w:pStyle w:val="BodyText"/>
        <w:tabs>
          <w:tab w:val="left" w:pos="2835"/>
        </w:tabs>
        <w:rPr>
          <w:rFonts w:ascii="Calibri" w:hAnsi="Calibri"/>
          <w:color w:val="FF0000"/>
        </w:rPr>
      </w:pPr>
      <w:r w:rsidRPr="00C02DDD">
        <w:rPr>
          <w:rFonts w:ascii="Calibri" w:hAnsi="Calibri"/>
          <w:b/>
          <w:bCs/>
          <w:color w:val="00558C"/>
          <w:sz w:val="24"/>
          <w:szCs w:val="24"/>
        </w:rPr>
        <w:t>Author(s)/Submitter(s)</w:t>
      </w:r>
      <w:r w:rsidRPr="007A395D">
        <w:rPr>
          <w:rFonts w:ascii="Calibri" w:hAnsi="Calibri"/>
        </w:rPr>
        <w:tab/>
      </w:r>
      <w:r w:rsidRPr="007A395D">
        <w:rPr>
          <w:rFonts w:ascii="Calibri" w:hAnsi="Calibri"/>
        </w:rPr>
        <w:tab/>
      </w:r>
      <w:r w:rsidRPr="007A395D">
        <w:rPr>
          <w:rFonts w:ascii="Calibri" w:hAnsi="Calibri"/>
        </w:rPr>
        <w:tab/>
      </w:r>
      <w:r>
        <w:rPr>
          <w:rFonts w:ascii="Calibri" w:hAnsi="Calibri"/>
        </w:rPr>
        <w:t>Mr. Michael Chang, Ms. Marticia Jo / Quantum Solution, Inc</w:t>
      </w:r>
    </w:p>
    <w:p w14:paraId="04359082" w14:textId="77777777" w:rsidR="00153923" w:rsidRPr="007A395D" w:rsidRDefault="00153923" w:rsidP="00153923">
      <w:pPr>
        <w:pStyle w:val="BodyText"/>
        <w:tabs>
          <w:tab w:val="left" w:pos="7860"/>
        </w:tabs>
        <w:rPr>
          <w:rFonts w:ascii="Calibri" w:hAnsi="Calibri"/>
        </w:rPr>
      </w:pPr>
      <w:r>
        <w:rPr>
          <w:rFonts w:ascii="Calibri" w:hAnsi="Calibri"/>
        </w:rPr>
        <w:tab/>
      </w:r>
    </w:p>
    <w:p w14:paraId="15F57A49" w14:textId="77777777" w:rsidR="00153923" w:rsidRPr="00150C50" w:rsidRDefault="00153923" w:rsidP="00153923">
      <w:pPr>
        <w:ind w:hanging="1"/>
        <w:jc w:val="center"/>
        <w:rPr>
          <w:color w:val="000000" w:themeColor="text1"/>
          <w:sz w:val="32"/>
          <w:szCs w:val="32"/>
          <w:lang w:val="en-US" w:eastAsia="ko-KR"/>
        </w:rPr>
      </w:pPr>
      <w:r w:rsidRPr="00074810">
        <w:rPr>
          <w:color w:val="000000" w:themeColor="text1"/>
          <w:sz w:val="32"/>
          <w:szCs w:val="32"/>
        </w:rPr>
        <w:t xml:space="preserve">Establish guidelines for safe management of lithium </w:t>
      </w:r>
      <w:proofErr w:type="gramStart"/>
      <w:r w:rsidRPr="00074810">
        <w:rPr>
          <w:color w:val="000000" w:themeColor="text1"/>
          <w:sz w:val="32"/>
          <w:szCs w:val="32"/>
        </w:rPr>
        <w:t>batteries</w:t>
      </w:r>
      <w:proofErr w:type="gramEnd"/>
    </w:p>
    <w:p w14:paraId="0560F8B2" w14:textId="77777777" w:rsidR="00153923" w:rsidRDefault="00153923" w:rsidP="00153923">
      <w:pPr>
        <w:pStyle w:val="Heading1"/>
      </w:pPr>
      <w:r w:rsidRPr="00B661C7">
        <w:t>Summary</w:t>
      </w:r>
      <w:r>
        <w:t xml:space="preserve"> </w:t>
      </w:r>
    </w:p>
    <w:p w14:paraId="448C7D70" w14:textId="1CAD7E74" w:rsidR="00153923" w:rsidRDefault="00153923" w:rsidP="00700B02">
      <w:pPr>
        <w:pStyle w:val="BodyText"/>
        <w:ind w:firstLineChars="50" w:firstLine="110"/>
      </w:pPr>
      <w:r w:rsidRPr="00153923">
        <w:t>Lithium-ion batteries have ascended as the predominant secondary energy storage systems, primarily due to their integration in a plethora of mobile electronic devices and electric vehicles. Among the spectrum of rechargeable energy storage systems, lithium-ion batteries exhibit superior gravimetric and volumetric energy densities. This advancement positions them favorably against traditional lead-acid energy storage systems, with lithium-ion variants demonstrating enhanced capacity and elevated operational voltages. Their adaptability has been further exemplified through deployments in specialized environments such as marine and aerospace applications. Notably, the Republic of Korea has pioneered the incorporation of lithium-ion battery modules in its submarine fleet. Concurrently, the Korean Ministry of Oceans and Fisheries is spearheading initiatives to evaluate the feasibility of integrating lithium-ion batteries into buoys. Given the inherent challenges associated with the remote and often inaccessible locations of these buoys, it's imperative that the chosen energy storage solutions guarantee extended operational longevity and robust safety protocols. This document delineates guidelines, emphasizing the safety evaluations and practical applications of lithium-ion batteries within buoys, as championed by the Korean Ministry of Oceans and Fisheries. This rendition represents an augmented version of a document initially presented in 2022.</w:t>
      </w:r>
    </w:p>
    <w:p w14:paraId="39AB12C0" w14:textId="77777777" w:rsidR="00153923" w:rsidRDefault="00153923" w:rsidP="00153923">
      <w:pPr>
        <w:pStyle w:val="BodyText"/>
      </w:pPr>
    </w:p>
    <w:p w14:paraId="693AB4F1" w14:textId="77777777" w:rsidR="00153923" w:rsidRPr="00FE3C09" w:rsidRDefault="00153923" w:rsidP="00153923">
      <w:pPr>
        <w:pStyle w:val="Heading1"/>
      </w:pPr>
      <w:r w:rsidRPr="007A395D">
        <w:t>Background</w:t>
      </w:r>
    </w:p>
    <w:p w14:paraId="24A043C2" w14:textId="080B4DB5" w:rsidR="00153923" w:rsidRDefault="00153923" w:rsidP="00700B02">
      <w:pPr>
        <w:pStyle w:val="BodyText"/>
        <w:ind w:firstLineChars="50" w:firstLine="110"/>
      </w:pPr>
      <w:r w:rsidRPr="00153923">
        <w:t xml:space="preserve">Buoys are progressively being equipped with an increasing array of sensors, additional functionalities, and network connections. This allows them to communicate with terrestrial control centers, facilitating decisions regarding the operational status of each buoy, maintenance requirements, and potential sensor installations. The integration of more sensors and communication capabilities in buoys necessitates a higher capacity energy source. This growing demand is gradually shifting the consideration from lead-acid batteries to lithium batteries. Lithium batteries, with their high energy density, have minimal internal losses compared to lead-acid batteries. Traditional evaluation methods for lead-acid batteries are not sufficient for predicting the lifespan and assessing the safety of lithium batteries. This document examines cases where evaluation </w:t>
      </w:r>
      <w:r w:rsidRPr="00153923">
        <w:lastRenderedPageBreak/>
        <w:t>procedures for lithium batteries have been applied and presents performance evaluation methods based on standardization efforts in Korea.</w:t>
      </w:r>
    </w:p>
    <w:p w14:paraId="1F150748" w14:textId="77777777" w:rsidR="00153923" w:rsidRDefault="00153923" w:rsidP="00153923">
      <w:pPr>
        <w:pStyle w:val="BodyText"/>
      </w:pPr>
    </w:p>
    <w:p w14:paraId="22583530" w14:textId="77777777" w:rsidR="00153923" w:rsidRDefault="00153923" w:rsidP="00153923">
      <w:pPr>
        <w:pStyle w:val="Heading1"/>
      </w:pPr>
      <w:r w:rsidRPr="007A395D">
        <w:t>Discussion</w:t>
      </w:r>
    </w:p>
    <w:p w14:paraId="4D19EF1C" w14:textId="2C07C66A" w:rsidR="00700B02" w:rsidRDefault="00700B02" w:rsidP="00700B02">
      <w:pPr>
        <w:pStyle w:val="BodyText"/>
        <w:ind w:firstLineChars="50" w:firstLine="110"/>
      </w:pPr>
      <w:r w:rsidRPr="00700B02">
        <w:t>On March 9, 2023, in New York City, a detailed investigation was conducted into a major fire believed to have been caused by a battery powering an electric scooter. Approximately 200 firefighters responded to the incident, which was classified as a five-alarm fire, and at least seven people were reported injured. According to the accident investigation, the fire appeared to have originated from a lithium-ion battery of a scooter found on the rooftop of the affected apartment building. The New York City Fire Department reported that last year alone, there were over 200 fires involving electric scooters and electric bicycles, resulting in six fatalities.</w:t>
      </w:r>
      <w:r>
        <w:t>1)</w:t>
      </w:r>
    </w:p>
    <w:p w14:paraId="4CD570D4" w14:textId="5D1B94AB" w:rsidR="00700B02" w:rsidRDefault="00700B02" w:rsidP="00153923">
      <w:pPr>
        <w:pStyle w:val="BodyText"/>
      </w:pPr>
      <w:r w:rsidRPr="00700B02">
        <w:t>Additionally, the U.S. Federal Aviation Administration (FAA) prohibited the placement of detached lithium-ion metal batteries in checked luggage in 2020. They mandated that, if approved by the airline, such batteries should be carried in carry-on baggage along with the passenger.</w:t>
      </w:r>
      <w:r>
        <w:t>2)</w:t>
      </w:r>
    </w:p>
    <w:p w14:paraId="5E35ECA1" w14:textId="77777777" w:rsidR="00405B22" w:rsidRDefault="00405B22" w:rsidP="00153923">
      <w:pPr>
        <w:pStyle w:val="BodyText"/>
      </w:pPr>
    </w:p>
    <w:tbl>
      <w:tblPr>
        <w:tblStyle w:val="TableGrid"/>
        <w:tblW w:w="9793" w:type="dxa"/>
        <w:tblLook w:val="04A0" w:firstRow="1" w:lastRow="0" w:firstColumn="1" w:lastColumn="0" w:noHBand="0" w:noVBand="1"/>
      </w:tblPr>
      <w:tblGrid>
        <w:gridCol w:w="3264"/>
        <w:gridCol w:w="3264"/>
        <w:gridCol w:w="3265"/>
      </w:tblGrid>
      <w:tr w:rsidR="00700B02" w14:paraId="7451F171" w14:textId="77777777" w:rsidTr="00700B02">
        <w:trPr>
          <w:trHeight w:val="263"/>
        </w:trPr>
        <w:tc>
          <w:tcPr>
            <w:tcW w:w="3264" w:type="dxa"/>
          </w:tcPr>
          <w:p w14:paraId="3060C063" w14:textId="3167771E" w:rsidR="00700B02" w:rsidRDefault="00700B02" w:rsidP="00910EC9">
            <w:pPr>
              <w:jc w:val="center"/>
            </w:pPr>
            <w:r>
              <w:fldChar w:fldCharType="begin"/>
            </w:r>
            <w:r>
              <w:instrText xml:space="preserve"> INCLUDEPICTURE "https://th.bing.com/th/id/OIP.scfZNxhwf-ZTnA4HAV-Y6QAAAA?pid=ImgDet&amp;rs=1" \* MERGEFORMATINET </w:instrText>
            </w:r>
            <w:r>
              <w:fldChar w:fldCharType="separate"/>
            </w:r>
            <w:r>
              <w:rPr>
                <w:noProof/>
              </w:rPr>
              <w:drawing>
                <wp:inline distT="0" distB="0" distL="0" distR="0" wp14:anchorId="589C2ED4" wp14:editId="5AE80280">
                  <wp:extent cx="1792800" cy="1043909"/>
                  <wp:effectExtent l="0" t="0" r="0" b="0"/>
                  <wp:docPr id="1176170481" name="그림 1" descr="&quot;휴대폰 침대 위 충전 위험&quot;…리튬배터리 화재 1년새 2배 | 디스패치 | 뉴스는 팩트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uot;휴대폰 침대 위 충전 위험&quot;…리튬배터리 화재 1년새 2배 | 디스패치 | 뉴스는 팩트다!"/>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792800" cy="1043909"/>
                          </a:xfrm>
                          <a:prstGeom prst="rect">
                            <a:avLst/>
                          </a:prstGeom>
                          <a:noFill/>
                          <a:ln>
                            <a:noFill/>
                          </a:ln>
                        </pic:spPr>
                      </pic:pic>
                    </a:graphicData>
                  </a:graphic>
                </wp:inline>
              </w:drawing>
            </w:r>
            <w:r>
              <w:fldChar w:fldCharType="end"/>
            </w:r>
          </w:p>
        </w:tc>
        <w:tc>
          <w:tcPr>
            <w:tcW w:w="3264" w:type="dxa"/>
          </w:tcPr>
          <w:p w14:paraId="0AC16D2F" w14:textId="761153B8" w:rsidR="00700B02" w:rsidRDefault="006A3301" w:rsidP="00910EC9">
            <w:pPr>
              <w:jc w:val="center"/>
            </w:pPr>
            <w:r>
              <w:fldChar w:fldCharType="begin"/>
            </w:r>
            <w:r>
              <w:instrText xml:space="preserve"> INCLUDEPICTURE "https://thumb.zumst.com/400x250/https:/static.news.zumst.com/images/23/2022/10/21/56ff077e3cc04ee79fc87ca0b7562714.jpg" \* MERGEFORMATINET </w:instrText>
            </w:r>
            <w:r>
              <w:fldChar w:fldCharType="separate"/>
            </w:r>
            <w:r>
              <w:rPr>
                <w:noProof/>
              </w:rPr>
              <w:drawing>
                <wp:inline distT="0" distB="0" distL="0" distR="0" wp14:anchorId="6B32AEAC" wp14:editId="312964D0">
                  <wp:extent cx="1764000" cy="1044000"/>
                  <wp:effectExtent l="0" t="0" r="1905" b="0"/>
                  <wp:docPr id="1261128979" name="그림 2" descr="화재로 궁지 몰린 리튬배터리…곤혹스런 배터리업계 : ZUM 뉴스"/>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descr="화재로 궁지 몰린 리튬배터리…곤혹스런 배터리업계 : ZUM 뉴스"/>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64000" cy="1044000"/>
                          </a:xfrm>
                          <a:prstGeom prst="rect">
                            <a:avLst/>
                          </a:prstGeom>
                          <a:noFill/>
                          <a:ln>
                            <a:noFill/>
                          </a:ln>
                        </pic:spPr>
                      </pic:pic>
                    </a:graphicData>
                  </a:graphic>
                </wp:inline>
              </w:drawing>
            </w:r>
            <w:r>
              <w:fldChar w:fldCharType="end"/>
            </w:r>
          </w:p>
        </w:tc>
        <w:tc>
          <w:tcPr>
            <w:tcW w:w="3265" w:type="dxa"/>
          </w:tcPr>
          <w:p w14:paraId="39866809" w14:textId="2CB708D4" w:rsidR="00700B02" w:rsidRDefault="003520A9" w:rsidP="00910EC9">
            <w:r>
              <w:fldChar w:fldCharType="begin"/>
            </w:r>
            <w:r>
              <w:instrText xml:space="preserve"> INCLUDEPICTURE "https://img.hankyung.com/photo/201610/01.12726270.1.jpg" \* MERGEFORMATINET </w:instrText>
            </w:r>
            <w:r>
              <w:fldChar w:fldCharType="separate"/>
            </w:r>
            <w:r>
              <w:rPr>
                <w:noProof/>
              </w:rPr>
              <w:drawing>
                <wp:inline distT="0" distB="0" distL="0" distR="0" wp14:anchorId="04DA69C9" wp14:editId="1578EB4F">
                  <wp:extent cx="1764000" cy="1044000"/>
                  <wp:effectExtent l="0" t="0" r="1905" b="0"/>
                  <wp:docPr id="1322147660" name="그림 3" descr="스마트폰 리튬이온 배터리 발화 수난…차세대 배터리는 | 한경닷컴"/>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스마트폰 리튬이온 배터리 발화 수난…차세대 배터리는 | 한경닷컴"/>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9719" t="16092" r="10817" b="13314"/>
                          <a:stretch/>
                        </pic:blipFill>
                        <pic:spPr bwMode="auto">
                          <a:xfrm>
                            <a:off x="0" y="0"/>
                            <a:ext cx="1764000" cy="1044000"/>
                          </a:xfrm>
                          <a:prstGeom prst="rect">
                            <a:avLst/>
                          </a:prstGeom>
                          <a:noFill/>
                          <a:ln>
                            <a:noFill/>
                          </a:ln>
                          <a:extLst>
                            <a:ext uri="{53640926-AAD7-44D8-BBD7-CCE9431645EC}">
                              <a14:shadowObscured xmlns:a14="http://schemas.microsoft.com/office/drawing/2010/main"/>
                            </a:ext>
                          </a:extLst>
                        </pic:spPr>
                      </pic:pic>
                    </a:graphicData>
                  </a:graphic>
                </wp:inline>
              </w:drawing>
            </w:r>
            <w:r>
              <w:fldChar w:fldCharType="end"/>
            </w:r>
          </w:p>
        </w:tc>
      </w:tr>
      <w:tr w:rsidR="00700B02" w14:paraId="3C0477D9" w14:textId="77777777" w:rsidTr="00700B02">
        <w:trPr>
          <w:trHeight w:val="263"/>
        </w:trPr>
        <w:tc>
          <w:tcPr>
            <w:tcW w:w="3264" w:type="dxa"/>
          </w:tcPr>
          <w:p w14:paraId="06A86388" w14:textId="1717C520" w:rsidR="00700B02" w:rsidRPr="00700B02" w:rsidRDefault="003520A9" w:rsidP="00700B02">
            <w:pPr>
              <w:pStyle w:val="BodyText"/>
              <w:ind w:firstLineChars="50" w:firstLine="110"/>
              <w:jc w:val="center"/>
            </w:pPr>
            <w:r>
              <w:t>A</w:t>
            </w:r>
            <w:r w:rsidR="00700B02" w:rsidRPr="00700B02">
              <w:t xml:space="preserve"> case of </w:t>
            </w:r>
            <w:r w:rsidR="00700B02">
              <w:t>EV</w:t>
            </w:r>
            <w:r w:rsidR="00700B02" w:rsidRPr="00700B02">
              <w:t xml:space="preserve"> fire</w:t>
            </w:r>
          </w:p>
        </w:tc>
        <w:tc>
          <w:tcPr>
            <w:tcW w:w="3264" w:type="dxa"/>
          </w:tcPr>
          <w:p w14:paraId="04FF060B" w14:textId="0DFF4847" w:rsidR="00700B02" w:rsidRPr="00700B02" w:rsidRDefault="003520A9" w:rsidP="00700B02">
            <w:pPr>
              <w:pStyle w:val="BodyText"/>
              <w:ind w:firstLineChars="50" w:firstLine="110"/>
              <w:jc w:val="center"/>
            </w:pPr>
            <w:r>
              <w:t>A case of ESS fire</w:t>
            </w:r>
          </w:p>
        </w:tc>
        <w:tc>
          <w:tcPr>
            <w:tcW w:w="3265" w:type="dxa"/>
          </w:tcPr>
          <w:p w14:paraId="469778DC" w14:textId="11D45446" w:rsidR="00700B02" w:rsidRPr="00700B02" w:rsidRDefault="003520A9" w:rsidP="00700B02">
            <w:pPr>
              <w:pStyle w:val="BodyText"/>
              <w:ind w:firstLineChars="50" w:firstLine="110"/>
              <w:jc w:val="center"/>
            </w:pPr>
            <w:r>
              <w:rPr>
                <w:rFonts w:hint="eastAsia"/>
              </w:rPr>
              <w:t>A</w:t>
            </w:r>
            <w:r>
              <w:t xml:space="preserve"> case of Smartphone</w:t>
            </w:r>
          </w:p>
        </w:tc>
      </w:tr>
    </w:tbl>
    <w:p w14:paraId="36EB2294" w14:textId="77777777" w:rsidR="00700B02" w:rsidRDefault="00700B02" w:rsidP="00700B02">
      <w:pPr>
        <w:pStyle w:val="BodyText"/>
        <w:ind w:firstLineChars="50" w:firstLine="110"/>
      </w:pPr>
    </w:p>
    <w:p w14:paraId="5A619D96" w14:textId="77777777" w:rsidR="003520A9" w:rsidRDefault="003520A9" w:rsidP="003520A9">
      <w:pPr>
        <w:pStyle w:val="BodyText"/>
      </w:pPr>
      <w:r>
        <w:t xml:space="preserve">While there have been incidents like the ones mentioned, lithium batteries are generally considered safe and unlikely to fail unless they are defective, damaged, or mishandled. Thus, the </w:t>
      </w:r>
      <w:proofErr w:type="gramStart"/>
      <w:r>
        <w:t>manner in which</w:t>
      </w:r>
      <w:proofErr w:type="gramEnd"/>
      <w:r>
        <w:t xml:space="preserve"> these batteries are handled and whether they have defects becomes a crucial aspect in their application.</w:t>
      </w:r>
    </w:p>
    <w:p w14:paraId="639D78DA" w14:textId="77777777" w:rsidR="003520A9" w:rsidRDefault="003520A9" w:rsidP="003520A9">
      <w:pPr>
        <w:pStyle w:val="BodyText"/>
      </w:pPr>
      <w:r>
        <w:t xml:space="preserve">We are currently conducting a demonstration of lithium batteries for navigational aids, </w:t>
      </w:r>
      <w:proofErr w:type="gramStart"/>
      <w:r>
        <w:t>designed</w:t>
      </w:r>
      <w:proofErr w:type="gramEnd"/>
      <w:r>
        <w:t xml:space="preserve"> and operated on a modular concept, as part of a project led by the Korean Ministry of Oceans and Fisheries.</w:t>
      </w:r>
    </w:p>
    <w:p w14:paraId="40F1C181" w14:textId="77777777" w:rsidR="003520A9" w:rsidRDefault="003520A9" w:rsidP="003520A9">
      <w:pPr>
        <w:pStyle w:val="BodyText"/>
      </w:pPr>
      <w:r>
        <w:t>For this purpose, we have reviewed various standards and are conducting demonstrations based on these standards.</w:t>
      </w:r>
    </w:p>
    <w:p w14:paraId="15994F4D" w14:textId="77777777" w:rsidR="003520A9" w:rsidRDefault="003520A9" w:rsidP="003520A9">
      <w:pPr>
        <w:pStyle w:val="BodyText"/>
      </w:pPr>
    </w:p>
    <w:p w14:paraId="358403DB" w14:textId="77777777" w:rsidR="003520A9" w:rsidRPr="003520A9" w:rsidRDefault="003520A9" w:rsidP="003520A9">
      <w:pPr>
        <w:pStyle w:val="BodyText"/>
        <w:rPr>
          <w:b/>
          <w:bCs/>
        </w:rPr>
      </w:pPr>
      <w:r w:rsidRPr="003520A9">
        <w:rPr>
          <w:b/>
          <w:bCs/>
        </w:rPr>
        <w:t>Reviewed Standards:</w:t>
      </w:r>
    </w:p>
    <w:p w14:paraId="2494BBF5" w14:textId="77777777" w:rsidR="003520A9" w:rsidRDefault="003520A9" w:rsidP="003520A9">
      <w:pPr>
        <w:pStyle w:val="BodyText"/>
      </w:pPr>
    </w:p>
    <w:p w14:paraId="78FB5FD8" w14:textId="77777777" w:rsidR="003520A9" w:rsidRDefault="003520A9" w:rsidP="003520A9">
      <w:pPr>
        <w:pStyle w:val="BodyText"/>
        <w:numPr>
          <w:ilvl w:val="0"/>
          <w:numId w:val="3"/>
        </w:numPr>
      </w:pPr>
      <w:r>
        <w:t>Guidelines for Shipboard Battery Systems: IEC 62619, IEC 62620</w:t>
      </w:r>
    </w:p>
    <w:p w14:paraId="5E98EA5C" w14:textId="77777777" w:rsidR="003520A9" w:rsidRDefault="003520A9" w:rsidP="003520A9">
      <w:pPr>
        <w:pStyle w:val="BodyText"/>
        <w:numPr>
          <w:ilvl w:val="0"/>
          <w:numId w:val="3"/>
        </w:numPr>
      </w:pPr>
      <w:r>
        <w:t>Revised Electric Safety Act: KS C IEC 62619, KS C IEC 10031</w:t>
      </w:r>
    </w:p>
    <w:p w14:paraId="13B324E9" w14:textId="77777777" w:rsidR="003520A9" w:rsidRDefault="003520A9" w:rsidP="003520A9">
      <w:pPr>
        <w:pStyle w:val="BodyText"/>
      </w:pPr>
    </w:p>
    <w:p w14:paraId="2B63C63B" w14:textId="5312CF9A" w:rsidR="003520A9" w:rsidRPr="003520A9" w:rsidRDefault="003520A9" w:rsidP="003520A9">
      <w:pPr>
        <w:pStyle w:val="BodyText"/>
        <w:rPr>
          <w:b/>
          <w:bCs/>
        </w:rPr>
      </w:pPr>
      <w:r w:rsidRPr="003520A9">
        <w:rPr>
          <w:b/>
          <w:bCs/>
        </w:rPr>
        <w:t>Common Elements of the Reviewed Standards:</w:t>
      </w:r>
    </w:p>
    <w:p w14:paraId="2DB8941C" w14:textId="77777777" w:rsidR="003520A9" w:rsidRDefault="003520A9" w:rsidP="003520A9">
      <w:pPr>
        <w:pStyle w:val="BodyText"/>
      </w:pPr>
    </w:p>
    <w:p w14:paraId="1D16C560" w14:textId="77777777" w:rsidR="003520A9" w:rsidRDefault="003520A9" w:rsidP="003520A9">
      <w:pPr>
        <w:pStyle w:val="BodyText"/>
      </w:pPr>
      <w:r>
        <w:t>Tests are conducted on battery cells, modules, and systems.</w:t>
      </w:r>
    </w:p>
    <w:p w14:paraId="0D9EA721" w14:textId="77777777" w:rsidR="003520A9" w:rsidRDefault="003520A9" w:rsidP="00405B22">
      <w:pPr>
        <w:pStyle w:val="BodyText"/>
        <w:numPr>
          <w:ilvl w:val="0"/>
          <w:numId w:val="4"/>
        </w:numPr>
      </w:pPr>
      <w:r>
        <w:t>Battery Cell: Refers to a single battery, typically having a nominal voltage of 3.65V, with the manufacturer indicating its current capacity (e.g., 1000mA, 5000mA, etc.).</w:t>
      </w:r>
    </w:p>
    <w:p w14:paraId="1A7E59C2" w14:textId="77777777" w:rsidR="003520A9" w:rsidRDefault="003520A9" w:rsidP="00405B22">
      <w:pPr>
        <w:pStyle w:val="BodyText"/>
        <w:numPr>
          <w:ilvl w:val="0"/>
          <w:numId w:val="4"/>
        </w:numPr>
      </w:pPr>
      <w:r>
        <w:lastRenderedPageBreak/>
        <w:t>Battery Module: A unit configured by connecting battery cells in series or parallel to achieve the desired voltage and current capacity for a specific application (e.g., 14V 20A module).</w:t>
      </w:r>
    </w:p>
    <w:p w14:paraId="3F18038D" w14:textId="7C4626DD" w:rsidR="00700B02" w:rsidRDefault="003520A9" w:rsidP="00405B22">
      <w:pPr>
        <w:pStyle w:val="BodyText"/>
        <w:numPr>
          <w:ilvl w:val="0"/>
          <w:numId w:val="4"/>
        </w:numPr>
      </w:pPr>
      <w:r>
        <w:t>Battery System: A system that includes battery modules and a unit that can control charging and discharging, known as the Protection function (e.g., 5 modules + Battery’s Protections Unit).</w:t>
      </w:r>
    </w:p>
    <w:p w14:paraId="7FB86424" w14:textId="77777777" w:rsidR="00700B02" w:rsidRDefault="00700B02" w:rsidP="00153923">
      <w:pPr>
        <w:pStyle w:val="BodyText"/>
      </w:pPr>
    </w:p>
    <w:p w14:paraId="082CE280" w14:textId="08608764" w:rsidR="00405B22" w:rsidRDefault="00CB0A2F" w:rsidP="00153923">
      <w:pPr>
        <w:pStyle w:val="BodyText"/>
      </w:pPr>
      <w:r w:rsidRPr="00CB0A2F">
        <w:t xml:space="preserve">We are conducting a demonstration based on the aforementioned </w:t>
      </w:r>
      <w:proofErr w:type="gramStart"/>
      <w:r w:rsidRPr="00CB0A2F">
        <w:t>items</w:t>
      </w:r>
      <w:proofErr w:type="gramEnd"/>
    </w:p>
    <w:p w14:paraId="7C957FCE" w14:textId="77777777" w:rsidR="00CB0A2F" w:rsidRDefault="00CB0A2F" w:rsidP="00CB0A2F">
      <w:pPr>
        <w:pStyle w:val="BodyText"/>
        <w:numPr>
          <w:ilvl w:val="0"/>
          <w:numId w:val="6"/>
        </w:numPr>
      </w:pPr>
      <w:r>
        <w:t>Battery Module: A unit module based on a modular concept of 14.6V 20A.</w:t>
      </w:r>
    </w:p>
    <w:p w14:paraId="0E54F47B" w14:textId="77777777" w:rsidR="00CB0A2F" w:rsidRDefault="00CB0A2F" w:rsidP="00CB0A2F">
      <w:pPr>
        <w:pStyle w:val="BodyText"/>
        <w:numPr>
          <w:ilvl w:val="0"/>
          <w:numId w:val="6"/>
        </w:numPr>
      </w:pPr>
      <w:r>
        <w:t>Battery System: Includes a charge-discharge control function in the battery module, and the battery module constitutes the battery system.</w:t>
      </w:r>
    </w:p>
    <w:p w14:paraId="1FB563AD" w14:textId="6C33C2B6" w:rsidR="00CB0A2F" w:rsidRDefault="00CB0A2F" w:rsidP="00CB0A2F">
      <w:pPr>
        <w:pStyle w:val="BodyText"/>
        <w:numPr>
          <w:ilvl w:val="0"/>
          <w:numId w:val="6"/>
        </w:numPr>
      </w:pPr>
      <w:r>
        <w:t>The demonstration period has been from December 2021 to the present, with solar charging and load discharging being conducted every 12 hours.</w:t>
      </w:r>
    </w:p>
    <w:tbl>
      <w:tblPr>
        <w:tblStyle w:val="TableGrid"/>
        <w:tblW w:w="9607" w:type="dxa"/>
        <w:tblLook w:val="04A0" w:firstRow="1" w:lastRow="0" w:firstColumn="1" w:lastColumn="0" w:noHBand="0" w:noVBand="1"/>
      </w:tblPr>
      <w:tblGrid>
        <w:gridCol w:w="5414"/>
        <w:gridCol w:w="4193"/>
      </w:tblGrid>
      <w:tr w:rsidR="00CB0A2F" w14:paraId="7CACE16F" w14:textId="77777777" w:rsidTr="00CB0A2F">
        <w:trPr>
          <w:trHeight w:val="248"/>
        </w:trPr>
        <w:tc>
          <w:tcPr>
            <w:tcW w:w="5414" w:type="dxa"/>
          </w:tcPr>
          <w:p w14:paraId="0CBDB84C" w14:textId="49C6E7B2" w:rsidR="00CB0A2F" w:rsidRDefault="00CB0A2F" w:rsidP="00910EC9">
            <w:pPr>
              <w:jc w:val="center"/>
            </w:pPr>
            <w:r w:rsidRPr="00CB0A2F">
              <w:rPr>
                <w:noProof/>
              </w:rPr>
              <w:drawing>
                <wp:inline distT="0" distB="0" distL="0" distR="0" wp14:anchorId="6EB367E9" wp14:editId="73A64416">
                  <wp:extent cx="2398086" cy="1670657"/>
                  <wp:effectExtent l="0" t="0" r="2540" b="6350"/>
                  <wp:docPr id="6" name="그림 5" descr="텍스트이(가) 표시된 사진  자동 생성된 설명">
                    <a:extLst xmlns:a="http://schemas.openxmlformats.org/drawingml/2006/main">
                      <a:ext uri="{FF2B5EF4-FFF2-40B4-BE49-F238E27FC236}">
                        <a16:creationId xmlns:a16="http://schemas.microsoft.com/office/drawing/2014/main" id="{599D18BA-5B37-0DD9-FCD6-01F260DADA6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그림 5" descr="텍스트이(가) 표시된 사진  자동 생성된 설명">
                            <a:extLst>
                              <a:ext uri="{FF2B5EF4-FFF2-40B4-BE49-F238E27FC236}">
                                <a16:creationId xmlns:a16="http://schemas.microsoft.com/office/drawing/2014/main" id="{599D18BA-5B37-0DD9-FCD6-01F260DADA6B}"/>
                              </a:ext>
                            </a:extLst>
                          </pic:cNvPr>
                          <pic:cNvPicPr>
                            <a:picLocks noChangeAspect="1"/>
                          </pic:cNvPicPr>
                        </pic:nvPicPr>
                        <pic:blipFill rotWithShape="1">
                          <a:blip r:embed="rId12"/>
                          <a:stretch>
                            <a:fillRect/>
                          </a:stretch>
                        </pic:blipFill>
                        <pic:spPr>
                          <a:xfrm>
                            <a:off x="0" y="0"/>
                            <a:ext cx="2398086" cy="1670657"/>
                          </a:xfrm>
                          <a:prstGeom prst="rect">
                            <a:avLst/>
                          </a:prstGeom>
                        </pic:spPr>
                      </pic:pic>
                    </a:graphicData>
                  </a:graphic>
                </wp:inline>
              </w:drawing>
            </w:r>
          </w:p>
        </w:tc>
        <w:tc>
          <w:tcPr>
            <w:tcW w:w="4193" w:type="dxa"/>
          </w:tcPr>
          <w:p w14:paraId="6553E3EB" w14:textId="3725A841" w:rsidR="00CB0A2F" w:rsidRDefault="00CB0A2F" w:rsidP="00910EC9">
            <w:pPr>
              <w:jc w:val="center"/>
            </w:pPr>
            <w:r w:rsidRPr="00CB0A2F">
              <w:rPr>
                <w:noProof/>
              </w:rPr>
              <w:drawing>
                <wp:inline distT="0" distB="0" distL="0" distR="0" wp14:anchorId="3AB4A047" wp14:editId="3E759564">
                  <wp:extent cx="1565182" cy="2086909"/>
                  <wp:effectExtent l="0" t="0" r="0" b="0"/>
                  <wp:docPr id="7" name="그림 6" descr="벽, 실내, 주방기기이(가) 표시된 사진  자동 생성된 설명">
                    <a:extLst xmlns:a="http://schemas.openxmlformats.org/drawingml/2006/main">
                      <a:ext uri="{FF2B5EF4-FFF2-40B4-BE49-F238E27FC236}">
                        <a16:creationId xmlns:a16="http://schemas.microsoft.com/office/drawing/2014/main" id="{04844063-EFEB-9B03-CA8B-B30C506B677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그림 6" descr="벽, 실내, 주방기기이(가) 표시된 사진  자동 생성된 설명">
                            <a:extLst>
                              <a:ext uri="{FF2B5EF4-FFF2-40B4-BE49-F238E27FC236}">
                                <a16:creationId xmlns:a16="http://schemas.microsoft.com/office/drawing/2014/main" id="{04844063-EFEB-9B03-CA8B-B30C506B6774}"/>
                              </a:ext>
                            </a:extLst>
                          </pic:cNvPr>
                          <pic:cNvPicPr>
                            <a:picLocks noChangeAspect="1"/>
                          </pic:cNvPicPr>
                        </pic:nvPicPr>
                        <pic:blipFill rotWithShape="1">
                          <a:blip r:embed="rId13"/>
                          <a:stretch>
                            <a:fillRect/>
                          </a:stretch>
                        </pic:blipFill>
                        <pic:spPr>
                          <a:xfrm>
                            <a:off x="0" y="0"/>
                            <a:ext cx="1565182" cy="2086909"/>
                          </a:xfrm>
                          <a:prstGeom prst="rect">
                            <a:avLst/>
                          </a:prstGeom>
                        </pic:spPr>
                      </pic:pic>
                    </a:graphicData>
                  </a:graphic>
                </wp:inline>
              </w:drawing>
            </w:r>
          </w:p>
        </w:tc>
      </w:tr>
      <w:tr w:rsidR="00CB0A2F" w14:paraId="4CE7D445" w14:textId="77777777" w:rsidTr="00CB0A2F">
        <w:trPr>
          <w:trHeight w:val="248"/>
        </w:trPr>
        <w:tc>
          <w:tcPr>
            <w:tcW w:w="5414" w:type="dxa"/>
          </w:tcPr>
          <w:p w14:paraId="0F5168D2" w14:textId="2E3ADD73" w:rsidR="00CB0A2F" w:rsidRPr="00700B02" w:rsidRDefault="008E0A33" w:rsidP="00910EC9">
            <w:pPr>
              <w:pStyle w:val="BodyText"/>
              <w:ind w:firstLineChars="50" w:firstLine="110"/>
              <w:jc w:val="center"/>
            </w:pPr>
            <w:r w:rsidRPr="008E0A33">
              <w:t>Charging controller</w:t>
            </w:r>
          </w:p>
        </w:tc>
        <w:tc>
          <w:tcPr>
            <w:tcW w:w="4193" w:type="dxa"/>
          </w:tcPr>
          <w:p w14:paraId="412EFFC1" w14:textId="65161CD3" w:rsidR="00CB0A2F" w:rsidRPr="00700B02" w:rsidRDefault="008E0A33" w:rsidP="00910EC9">
            <w:pPr>
              <w:pStyle w:val="BodyText"/>
              <w:ind w:firstLineChars="50" w:firstLine="110"/>
              <w:jc w:val="center"/>
            </w:pPr>
            <w:r w:rsidRPr="008E0A33">
              <w:t>Lithium Battery Modular Test Box</w:t>
            </w:r>
          </w:p>
        </w:tc>
      </w:tr>
    </w:tbl>
    <w:p w14:paraId="74C73EDE" w14:textId="77777777" w:rsidR="00CB0A2F" w:rsidRPr="008E0A33" w:rsidRDefault="00CB0A2F" w:rsidP="00CB0A2F">
      <w:pPr>
        <w:pStyle w:val="BodyText"/>
        <w:ind w:firstLineChars="50" w:firstLine="110"/>
        <w:rPr>
          <w:lang w:val="en-US" w:eastAsia="ko-KR"/>
        </w:rPr>
      </w:pPr>
    </w:p>
    <w:p w14:paraId="2EF889E6" w14:textId="463B0E57" w:rsidR="008E0A33" w:rsidRDefault="008E0A33" w:rsidP="00CB0A2F">
      <w:pPr>
        <w:pStyle w:val="BodyText"/>
        <w:ind w:firstLineChars="50" w:firstLine="110"/>
      </w:pPr>
      <w:r w:rsidRPr="008E0A33">
        <w:t>The following data graph represents the battery system data being operated at the Yeosu office in Korea, recorded during February, which marked the lowest temperature of the month. Each data point represents the real-time State of Charge (SoC) and is displayed alongside the operational status of the BMS/BPU. Additionally, the temperature is indicated, showcasing data recorded at the lowest temperature in February, which was -18°C, and the capacity of the battery that was charged and discharged at that time.</w:t>
      </w:r>
    </w:p>
    <w:tbl>
      <w:tblPr>
        <w:tblStyle w:val="TableGrid"/>
        <w:tblW w:w="9648" w:type="dxa"/>
        <w:tblLook w:val="04A0" w:firstRow="1" w:lastRow="0" w:firstColumn="1" w:lastColumn="0" w:noHBand="0" w:noVBand="1"/>
      </w:tblPr>
      <w:tblGrid>
        <w:gridCol w:w="9648"/>
      </w:tblGrid>
      <w:tr w:rsidR="008E0A33" w14:paraId="14C1F312" w14:textId="77777777" w:rsidTr="008E0A33">
        <w:trPr>
          <w:trHeight w:val="379"/>
        </w:trPr>
        <w:tc>
          <w:tcPr>
            <w:tcW w:w="9648" w:type="dxa"/>
          </w:tcPr>
          <w:p w14:paraId="24E3A505" w14:textId="75F87329" w:rsidR="008E0A33" w:rsidRDefault="008E0A33" w:rsidP="00910EC9">
            <w:pPr>
              <w:jc w:val="center"/>
            </w:pPr>
            <w:r w:rsidRPr="008E0A33">
              <w:rPr>
                <w:noProof/>
              </w:rPr>
              <w:lastRenderedPageBreak/>
              <w:drawing>
                <wp:inline distT="0" distB="0" distL="0" distR="0" wp14:anchorId="5766D1F2" wp14:editId="6FB48C11">
                  <wp:extent cx="5488940" cy="3318842"/>
                  <wp:effectExtent l="0" t="0" r="0" b="0"/>
                  <wp:docPr id="964080234"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4080234" name=""/>
                          <pic:cNvPicPr/>
                        </pic:nvPicPr>
                        <pic:blipFill>
                          <a:blip r:embed="rId14"/>
                          <a:stretch>
                            <a:fillRect/>
                          </a:stretch>
                        </pic:blipFill>
                        <pic:spPr>
                          <a:xfrm>
                            <a:off x="0" y="0"/>
                            <a:ext cx="5507854" cy="3330278"/>
                          </a:xfrm>
                          <a:prstGeom prst="rect">
                            <a:avLst/>
                          </a:prstGeom>
                        </pic:spPr>
                      </pic:pic>
                    </a:graphicData>
                  </a:graphic>
                </wp:inline>
              </w:drawing>
            </w:r>
          </w:p>
        </w:tc>
      </w:tr>
      <w:tr w:rsidR="008E0A33" w14:paraId="44F5A375" w14:textId="77777777" w:rsidTr="008E0A33">
        <w:trPr>
          <w:trHeight w:val="379"/>
        </w:trPr>
        <w:tc>
          <w:tcPr>
            <w:tcW w:w="9648" w:type="dxa"/>
          </w:tcPr>
          <w:p w14:paraId="6F96B64E" w14:textId="1792D1EB" w:rsidR="008E0A33" w:rsidRPr="00700B02" w:rsidRDefault="008E0A33" w:rsidP="00910EC9">
            <w:pPr>
              <w:pStyle w:val="BodyText"/>
              <w:ind w:firstLineChars="50" w:firstLine="110"/>
              <w:jc w:val="center"/>
            </w:pPr>
            <w:r w:rsidRPr="008E0A33">
              <w:t>Charging and discharging data for 2 weeks February 2022</w:t>
            </w:r>
          </w:p>
        </w:tc>
      </w:tr>
    </w:tbl>
    <w:p w14:paraId="7AB47133" w14:textId="5F792BEC" w:rsidR="00CB0A2F" w:rsidRDefault="00CB0A2F" w:rsidP="00153923">
      <w:pPr>
        <w:pStyle w:val="BodyText"/>
        <w:rPr>
          <w:lang w:val="en-US" w:eastAsia="ko-KR"/>
        </w:rPr>
      </w:pPr>
    </w:p>
    <w:p w14:paraId="6D21CE93" w14:textId="77777777" w:rsidR="008E0A33" w:rsidRPr="008E0A33" w:rsidRDefault="008E0A33" w:rsidP="00153923">
      <w:pPr>
        <w:pStyle w:val="BodyText"/>
        <w:rPr>
          <w:lang w:val="en-US" w:eastAsia="ko-KR"/>
        </w:rPr>
      </w:pPr>
    </w:p>
    <w:p w14:paraId="386CEED1" w14:textId="77777777" w:rsidR="0040107B" w:rsidRDefault="0040107B" w:rsidP="0040107B">
      <w:pPr>
        <w:pStyle w:val="BodyText"/>
        <w:rPr>
          <w:lang w:eastAsia="ko-KR"/>
        </w:rPr>
      </w:pPr>
      <w:r>
        <w:rPr>
          <w:lang w:eastAsia="ko-KR"/>
        </w:rPr>
        <w:t>The primary objective of this demonstration is to ensure the safety of applying lithium batteries in navigational aids.</w:t>
      </w:r>
    </w:p>
    <w:p w14:paraId="55501CCE" w14:textId="77777777" w:rsidR="0040107B" w:rsidRDefault="0040107B" w:rsidP="0040107B">
      <w:pPr>
        <w:pStyle w:val="BodyText"/>
        <w:rPr>
          <w:lang w:eastAsia="ko-KR"/>
        </w:rPr>
      </w:pPr>
      <w:r>
        <w:rPr>
          <w:lang w:eastAsia="ko-KR"/>
        </w:rPr>
        <w:t>To achieve this, we have established a specialized BMS configuration and secured safety standards before proceeding with the demonstration.</w:t>
      </w:r>
    </w:p>
    <w:p w14:paraId="7D6DDD54" w14:textId="77777777" w:rsidR="0040107B" w:rsidRDefault="0040107B" w:rsidP="0040107B">
      <w:pPr>
        <w:pStyle w:val="BodyText"/>
        <w:rPr>
          <w:lang w:eastAsia="ko-KR"/>
        </w:rPr>
      </w:pPr>
    </w:p>
    <w:p w14:paraId="7AD0DF31" w14:textId="77777777" w:rsidR="0040107B" w:rsidRDefault="0040107B" w:rsidP="0040107B">
      <w:pPr>
        <w:pStyle w:val="BodyText"/>
        <w:numPr>
          <w:ilvl w:val="0"/>
          <w:numId w:val="7"/>
        </w:numPr>
        <w:rPr>
          <w:lang w:eastAsia="ko-KR"/>
        </w:rPr>
      </w:pPr>
      <w:r>
        <w:rPr>
          <w:lang w:eastAsia="ko-KR"/>
        </w:rPr>
        <w:t>Specialized BMS: This BMS includes features such as measuring the battery's status (voltage, current, temperature), adjusting variable charge-discharge voltage values, and adding short-circuit functions based on threshold values.</w:t>
      </w:r>
    </w:p>
    <w:p w14:paraId="3A0F486C" w14:textId="77777777" w:rsidR="0040107B" w:rsidRDefault="0040107B" w:rsidP="0040107B">
      <w:pPr>
        <w:pStyle w:val="BodyText"/>
        <w:numPr>
          <w:ilvl w:val="0"/>
          <w:numId w:val="7"/>
        </w:numPr>
        <w:rPr>
          <w:lang w:eastAsia="ko-KR"/>
        </w:rPr>
      </w:pPr>
      <w:r>
        <w:rPr>
          <w:lang w:eastAsia="ko-KR"/>
        </w:rPr>
        <w:t>Safety Standards: We've adopted stringent standardized criteria, including overcharge testing and over-discharge testing.</w:t>
      </w:r>
    </w:p>
    <w:p w14:paraId="30171FA6" w14:textId="775A272E" w:rsidR="00700B02" w:rsidRDefault="0040107B" w:rsidP="0040107B">
      <w:pPr>
        <w:pStyle w:val="BodyText"/>
        <w:rPr>
          <w:lang w:eastAsia="ko-KR"/>
        </w:rPr>
      </w:pPr>
      <w:r>
        <w:rPr>
          <w:lang w:eastAsia="ko-KR"/>
        </w:rPr>
        <w:t>The safety standards highlighted in this document primarily focus on testing the following aspects:</w:t>
      </w:r>
    </w:p>
    <w:p w14:paraId="57648062" w14:textId="77777777" w:rsidR="000D7F8C" w:rsidRDefault="000D7F8C" w:rsidP="0040107B">
      <w:pPr>
        <w:pStyle w:val="BodyText"/>
        <w:rPr>
          <w:lang w:eastAsia="ko-KR"/>
        </w:rPr>
      </w:pPr>
    </w:p>
    <w:tbl>
      <w:tblPr>
        <w:tblpPr w:vertAnchor="text" w:tblpX="1" w:tblpY="1"/>
        <w:tblW w:w="9777" w:type="dxa"/>
        <w:tblBorders>
          <w:top w:val="single" w:sz="2" w:space="0" w:color="000000"/>
          <w:left w:val="single" w:sz="2" w:space="0" w:color="000000"/>
          <w:bottom w:val="single" w:sz="2" w:space="0" w:color="000000"/>
          <w:right w:val="single" w:sz="2" w:space="0" w:color="000000"/>
        </w:tblBorders>
        <w:tblCellMar>
          <w:top w:w="28" w:type="dxa"/>
          <w:left w:w="102" w:type="dxa"/>
          <w:bottom w:w="28" w:type="dxa"/>
          <w:right w:w="102" w:type="dxa"/>
        </w:tblCellMar>
        <w:tblLook w:val="0000" w:firstRow="0" w:lastRow="0" w:firstColumn="0" w:lastColumn="0" w:noHBand="0" w:noVBand="0"/>
      </w:tblPr>
      <w:tblGrid>
        <w:gridCol w:w="2356"/>
        <w:gridCol w:w="1419"/>
        <w:gridCol w:w="749"/>
        <w:gridCol w:w="5253"/>
      </w:tblGrid>
      <w:tr w:rsidR="000D7F8C" w14:paraId="31E3918A" w14:textId="77777777" w:rsidTr="000D7F8C">
        <w:trPr>
          <w:trHeight w:val="210"/>
        </w:trPr>
        <w:tc>
          <w:tcPr>
            <w:tcW w:w="9777" w:type="dxa"/>
            <w:gridSpan w:val="4"/>
            <w:tcBorders>
              <w:top w:val="single" w:sz="3" w:space="0" w:color="000000"/>
              <w:left w:val="single" w:sz="3" w:space="0" w:color="000000"/>
              <w:bottom w:val="single" w:sz="3" w:space="0" w:color="000000"/>
              <w:right w:val="single" w:sz="3" w:space="0" w:color="000000"/>
            </w:tcBorders>
            <w:vAlign w:val="center"/>
          </w:tcPr>
          <w:p w14:paraId="02F5FC7A" w14:textId="77777777" w:rsidR="000D7F8C" w:rsidRPr="000D7F8C" w:rsidRDefault="000D7F8C" w:rsidP="000D7F8C">
            <w:pPr>
              <w:pStyle w:val="FFFFB9FFFFD9FFFFC5FFFFC1FFFFB1FFFFDB"/>
              <w:spacing w:line="288" w:lineRule="auto"/>
              <w:jc w:val="center"/>
              <w:rPr>
                <w:rFonts w:asciiTheme="minorHAnsi" w:hAnsiTheme="minorHAnsi" w:cstheme="minorHAnsi"/>
                <w:strike w:val="0"/>
                <w:sz w:val="22"/>
                <w:szCs w:val="22"/>
              </w:rPr>
            </w:pPr>
            <w:r w:rsidRPr="000D7F8C">
              <w:rPr>
                <w:rFonts w:asciiTheme="minorHAnsi" w:hAnsiTheme="minorHAnsi" w:cstheme="minorHAnsi"/>
                <w:strike w:val="0"/>
                <w:sz w:val="22"/>
                <w:szCs w:val="22"/>
              </w:rPr>
              <w:t>Inspection Criteria</w:t>
            </w:r>
          </w:p>
        </w:tc>
      </w:tr>
      <w:tr w:rsidR="000D7F8C" w14:paraId="3F0D753E" w14:textId="77777777" w:rsidTr="00C0388A">
        <w:trPr>
          <w:trHeight w:val="210"/>
        </w:trPr>
        <w:tc>
          <w:tcPr>
            <w:tcW w:w="3775" w:type="dxa"/>
            <w:gridSpan w:val="2"/>
            <w:tcBorders>
              <w:top w:val="single" w:sz="3" w:space="0" w:color="000000"/>
              <w:left w:val="single" w:sz="3" w:space="0" w:color="000000"/>
              <w:bottom w:val="single" w:sz="3" w:space="0" w:color="000000"/>
              <w:right w:val="single" w:sz="3" w:space="0" w:color="000000"/>
            </w:tcBorders>
            <w:vAlign w:val="center"/>
          </w:tcPr>
          <w:p w14:paraId="02531DFA" w14:textId="77777777" w:rsidR="000D7F8C" w:rsidRPr="000D7F8C" w:rsidRDefault="000D7F8C">
            <w:pPr>
              <w:pStyle w:val="MSFFFFB9FFFFD9FFFFC5FFFFC1FFFFB1FFFFDB"/>
              <w:wordWrap/>
              <w:jc w:val="center"/>
              <w:rPr>
                <w:rFonts w:asciiTheme="minorHAnsi" w:hAnsiTheme="minorHAnsi" w:cstheme="minorHAnsi"/>
                <w:strike w:val="0"/>
                <w:sz w:val="22"/>
                <w:szCs w:val="22"/>
              </w:rPr>
            </w:pPr>
            <w:r w:rsidRPr="000D7F8C">
              <w:rPr>
                <w:rFonts w:asciiTheme="minorHAnsi" w:hAnsiTheme="minorHAnsi" w:cstheme="minorHAnsi"/>
                <w:strike w:val="0"/>
                <w:sz w:val="22"/>
                <w:szCs w:val="22"/>
              </w:rPr>
              <w:t>kind</w:t>
            </w:r>
          </w:p>
        </w:tc>
        <w:tc>
          <w:tcPr>
            <w:tcW w:w="6002" w:type="dxa"/>
            <w:gridSpan w:val="2"/>
            <w:tcBorders>
              <w:top w:val="single" w:sz="3" w:space="0" w:color="000000"/>
              <w:left w:val="single" w:sz="3" w:space="0" w:color="000000"/>
              <w:bottom w:val="single" w:sz="3" w:space="0" w:color="000000"/>
              <w:right w:val="single" w:sz="3" w:space="0" w:color="000000"/>
            </w:tcBorders>
            <w:vAlign w:val="center"/>
          </w:tcPr>
          <w:p w14:paraId="49B1A4D6" w14:textId="77777777" w:rsidR="000D7F8C" w:rsidRPr="000D7F8C" w:rsidRDefault="000D7F8C">
            <w:pPr>
              <w:pStyle w:val="MSFFFFB9FFFFD9FFFFC5FFFFC1FFFFB1FFFFDB"/>
              <w:wordWrap/>
              <w:jc w:val="center"/>
              <w:rPr>
                <w:rFonts w:asciiTheme="minorHAnsi" w:hAnsiTheme="minorHAnsi" w:cstheme="minorHAnsi"/>
                <w:strike w:val="0"/>
                <w:sz w:val="22"/>
                <w:szCs w:val="22"/>
              </w:rPr>
            </w:pPr>
            <w:r w:rsidRPr="000D7F8C">
              <w:rPr>
                <w:rFonts w:asciiTheme="minorHAnsi" w:hAnsiTheme="minorHAnsi" w:cstheme="minorHAnsi"/>
                <w:strike w:val="0"/>
                <w:sz w:val="22"/>
                <w:szCs w:val="22"/>
              </w:rPr>
              <w:t>Inspection item</w:t>
            </w:r>
          </w:p>
        </w:tc>
      </w:tr>
      <w:tr w:rsidR="000D7F8C" w14:paraId="1F9E96AD" w14:textId="77777777" w:rsidTr="00C0388A">
        <w:trPr>
          <w:trHeight w:val="612"/>
        </w:trPr>
        <w:tc>
          <w:tcPr>
            <w:tcW w:w="2356" w:type="dxa"/>
            <w:vMerge w:val="restart"/>
            <w:tcBorders>
              <w:top w:val="single" w:sz="3" w:space="0" w:color="000000"/>
              <w:left w:val="single" w:sz="3" w:space="0" w:color="000000"/>
              <w:bottom w:val="single" w:sz="3" w:space="0" w:color="000000"/>
              <w:right w:val="single" w:sz="3" w:space="0" w:color="000000"/>
            </w:tcBorders>
            <w:vAlign w:val="center"/>
          </w:tcPr>
          <w:p w14:paraId="0257B1A8" w14:textId="77777777" w:rsidR="000D7F8C" w:rsidRPr="000D7F8C" w:rsidRDefault="000D7F8C">
            <w:pPr>
              <w:pStyle w:val="FFFFB9FFFFD9FFFFC5FFFFC1FFFFB1FFFFDB"/>
              <w:spacing w:line="288" w:lineRule="auto"/>
              <w:rPr>
                <w:rFonts w:asciiTheme="minorHAnsi" w:hAnsiTheme="minorHAnsi" w:cstheme="minorHAnsi"/>
                <w:strike w:val="0"/>
                <w:sz w:val="22"/>
                <w:szCs w:val="22"/>
              </w:rPr>
            </w:pPr>
            <w:r w:rsidRPr="000D7F8C">
              <w:rPr>
                <w:rFonts w:asciiTheme="minorHAnsi" w:hAnsiTheme="minorHAnsi" w:cstheme="minorHAnsi"/>
                <w:strike w:val="0"/>
                <w:sz w:val="22"/>
                <w:szCs w:val="22"/>
              </w:rPr>
              <w:t>Essential Quality and Performance Requirements</w:t>
            </w:r>
          </w:p>
        </w:tc>
        <w:tc>
          <w:tcPr>
            <w:tcW w:w="1419" w:type="dxa"/>
            <w:vMerge w:val="restart"/>
            <w:tcBorders>
              <w:top w:val="single" w:sz="3" w:space="0" w:color="000000"/>
              <w:left w:val="single" w:sz="3" w:space="0" w:color="000000"/>
              <w:bottom w:val="single" w:sz="3" w:space="0" w:color="000000"/>
              <w:right w:val="single" w:sz="3" w:space="0" w:color="000000"/>
            </w:tcBorders>
            <w:vAlign w:val="center"/>
          </w:tcPr>
          <w:p w14:paraId="79471D3F" w14:textId="77777777" w:rsidR="000D7F8C" w:rsidRPr="000D7F8C" w:rsidRDefault="000D7F8C">
            <w:pPr>
              <w:pStyle w:val="FFFFB9FFFFD9FFFFC5FFFFC1FFFFB1FFFFDB"/>
              <w:spacing w:line="288" w:lineRule="auto"/>
              <w:rPr>
                <w:rFonts w:asciiTheme="minorHAnsi" w:hAnsiTheme="minorHAnsi" w:cstheme="minorHAnsi"/>
                <w:strike w:val="0"/>
                <w:sz w:val="22"/>
                <w:szCs w:val="22"/>
              </w:rPr>
            </w:pPr>
            <w:r w:rsidRPr="000D7F8C">
              <w:rPr>
                <w:rFonts w:asciiTheme="minorHAnsi" w:hAnsiTheme="minorHAnsi" w:cstheme="minorHAnsi"/>
                <w:strike w:val="0"/>
                <w:sz w:val="22"/>
                <w:szCs w:val="22"/>
              </w:rPr>
              <w:t>Preliminary Inspection</w:t>
            </w:r>
          </w:p>
        </w:tc>
        <w:tc>
          <w:tcPr>
            <w:tcW w:w="6002" w:type="dxa"/>
            <w:gridSpan w:val="2"/>
            <w:tcBorders>
              <w:top w:val="single" w:sz="3" w:space="0" w:color="000000"/>
              <w:left w:val="single" w:sz="3" w:space="0" w:color="000000"/>
              <w:bottom w:val="single" w:sz="3" w:space="0" w:color="000000"/>
              <w:right w:val="single" w:sz="3" w:space="0" w:color="000000"/>
            </w:tcBorders>
            <w:vAlign w:val="center"/>
          </w:tcPr>
          <w:p w14:paraId="3839E1F7" w14:textId="77777777" w:rsidR="000D7F8C" w:rsidRPr="000D7F8C" w:rsidRDefault="000D7F8C">
            <w:pPr>
              <w:pStyle w:val="MSFFFFB9FFFFD9FFFFC5FFFFC1FFFFB1FFFFDB"/>
              <w:rPr>
                <w:rFonts w:asciiTheme="minorHAnsi" w:eastAsia="Times New Roman" w:hAnsiTheme="minorHAnsi" w:cstheme="minorHAnsi"/>
                <w:strike w:val="0"/>
                <w:sz w:val="22"/>
                <w:szCs w:val="22"/>
              </w:rPr>
            </w:pPr>
            <w:r w:rsidRPr="000D7F8C">
              <w:rPr>
                <w:rFonts w:asciiTheme="minorHAnsi" w:eastAsia="Times New Roman" w:hAnsiTheme="minorHAnsi" w:cstheme="minorHAnsi"/>
                <w:strike w:val="0"/>
                <w:sz w:val="22"/>
                <w:szCs w:val="22"/>
              </w:rPr>
              <w:t>Serial Number Assignment and Recording</w:t>
            </w:r>
          </w:p>
        </w:tc>
      </w:tr>
      <w:tr w:rsidR="000D7F8C" w14:paraId="33957EB5" w14:textId="77777777" w:rsidTr="00C0388A">
        <w:trPr>
          <w:trHeight w:val="210"/>
        </w:trPr>
        <w:tc>
          <w:tcPr>
            <w:tcW w:w="2356" w:type="dxa"/>
            <w:vMerge/>
            <w:tcBorders>
              <w:top w:val="single" w:sz="3" w:space="0" w:color="000000"/>
              <w:left w:val="single" w:sz="3" w:space="0" w:color="000000"/>
              <w:bottom w:val="single" w:sz="3" w:space="0" w:color="000000"/>
              <w:right w:val="single" w:sz="3" w:space="0" w:color="000000"/>
            </w:tcBorders>
            <w:vAlign w:val="center"/>
          </w:tcPr>
          <w:p w14:paraId="22072B70" w14:textId="77777777" w:rsidR="000D7F8C" w:rsidRPr="000D7F8C" w:rsidRDefault="000D7F8C">
            <w:pPr>
              <w:pStyle w:val="FFFFB9FFFFD9FFFFC5FFFFC1FFFFB1FFFFDB"/>
              <w:spacing w:line="288" w:lineRule="auto"/>
              <w:rPr>
                <w:rFonts w:asciiTheme="minorHAnsi" w:hAnsiTheme="minorHAnsi" w:cstheme="minorHAnsi"/>
                <w:strike w:val="0"/>
                <w:sz w:val="22"/>
                <w:szCs w:val="22"/>
              </w:rPr>
            </w:pPr>
            <w:r w:rsidRPr="000D7F8C">
              <w:rPr>
                <w:rFonts w:asciiTheme="minorHAnsi" w:hAnsiTheme="minorHAnsi" w:cstheme="minorHAnsi"/>
                <w:strike w:val="0"/>
                <w:sz w:val="22"/>
                <w:szCs w:val="22"/>
              </w:rPr>
              <w:t>Essential Quality and Performance Requirements</w:t>
            </w:r>
          </w:p>
        </w:tc>
        <w:tc>
          <w:tcPr>
            <w:tcW w:w="1419" w:type="dxa"/>
            <w:vMerge/>
            <w:tcBorders>
              <w:top w:val="single" w:sz="3" w:space="0" w:color="000000"/>
              <w:left w:val="single" w:sz="3" w:space="0" w:color="000000"/>
              <w:bottom w:val="single" w:sz="3" w:space="0" w:color="000000"/>
              <w:right w:val="single" w:sz="3" w:space="0" w:color="000000"/>
            </w:tcBorders>
            <w:vAlign w:val="center"/>
          </w:tcPr>
          <w:p w14:paraId="081A3132" w14:textId="77777777" w:rsidR="000D7F8C" w:rsidRPr="000D7F8C" w:rsidRDefault="000D7F8C">
            <w:pPr>
              <w:pStyle w:val="FFFFB9FFFFD9FFFFC5FFFFC1FFFFB1FFFFDB"/>
              <w:spacing w:line="288" w:lineRule="auto"/>
              <w:rPr>
                <w:rFonts w:asciiTheme="minorHAnsi" w:hAnsiTheme="minorHAnsi" w:cstheme="minorHAnsi"/>
                <w:strike w:val="0"/>
                <w:sz w:val="22"/>
                <w:szCs w:val="22"/>
              </w:rPr>
            </w:pPr>
            <w:r w:rsidRPr="000D7F8C">
              <w:rPr>
                <w:rFonts w:asciiTheme="minorHAnsi" w:hAnsiTheme="minorHAnsi" w:cstheme="minorHAnsi"/>
                <w:strike w:val="0"/>
                <w:sz w:val="22"/>
                <w:szCs w:val="22"/>
              </w:rPr>
              <w:t>Preliminary Inspection</w:t>
            </w:r>
          </w:p>
        </w:tc>
        <w:tc>
          <w:tcPr>
            <w:tcW w:w="6002" w:type="dxa"/>
            <w:gridSpan w:val="2"/>
            <w:tcBorders>
              <w:top w:val="single" w:sz="3" w:space="0" w:color="000000"/>
              <w:left w:val="single" w:sz="3" w:space="0" w:color="000000"/>
              <w:bottom w:val="single" w:sz="3" w:space="0" w:color="000000"/>
              <w:right w:val="single" w:sz="3" w:space="0" w:color="000000"/>
            </w:tcBorders>
            <w:vAlign w:val="center"/>
          </w:tcPr>
          <w:p w14:paraId="6FDE05E8" w14:textId="77777777" w:rsidR="000D7F8C" w:rsidRPr="000D7F8C" w:rsidRDefault="000D7F8C">
            <w:pPr>
              <w:pStyle w:val="FFFFB9FFFFD9FFFFC5FFFFC1FFFFB1FFFFDB"/>
              <w:spacing w:line="288" w:lineRule="auto"/>
              <w:rPr>
                <w:rFonts w:asciiTheme="minorHAnsi" w:hAnsiTheme="minorHAnsi" w:cstheme="minorHAnsi"/>
                <w:strike w:val="0"/>
                <w:sz w:val="22"/>
                <w:szCs w:val="22"/>
              </w:rPr>
            </w:pPr>
            <w:r w:rsidRPr="000D7F8C">
              <w:rPr>
                <w:rFonts w:asciiTheme="minorHAnsi" w:hAnsiTheme="minorHAnsi" w:cstheme="minorHAnsi"/>
                <w:strike w:val="0"/>
                <w:sz w:val="22"/>
                <w:szCs w:val="22"/>
              </w:rPr>
              <w:t>Module and System Information</w:t>
            </w:r>
          </w:p>
        </w:tc>
      </w:tr>
      <w:tr w:rsidR="000D7F8C" w14:paraId="1E64CCF6" w14:textId="77777777" w:rsidTr="00C0388A">
        <w:trPr>
          <w:trHeight w:val="210"/>
        </w:trPr>
        <w:tc>
          <w:tcPr>
            <w:tcW w:w="2356" w:type="dxa"/>
            <w:vMerge/>
            <w:tcBorders>
              <w:top w:val="single" w:sz="3" w:space="0" w:color="000000"/>
              <w:left w:val="single" w:sz="3" w:space="0" w:color="000000"/>
              <w:bottom w:val="single" w:sz="3" w:space="0" w:color="000000"/>
              <w:right w:val="single" w:sz="3" w:space="0" w:color="000000"/>
            </w:tcBorders>
            <w:vAlign w:val="center"/>
          </w:tcPr>
          <w:p w14:paraId="092AAF1D" w14:textId="77777777" w:rsidR="000D7F8C" w:rsidRPr="000D7F8C" w:rsidRDefault="000D7F8C">
            <w:pPr>
              <w:pStyle w:val="FFFFB9FFFFD9FFFFC5FFFFC1FFFFB1FFFFDB"/>
              <w:spacing w:line="288" w:lineRule="auto"/>
              <w:rPr>
                <w:rFonts w:asciiTheme="minorHAnsi" w:hAnsiTheme="minorHAnsi" w:cstheme="minorHAnsi"/>
                <w:strike w:val="0"/>
                <w:sz w:val="22"/>
                <w:szCs w:val="22"/>
              </w:rPr>
            </w:pPr>
            <w:r w:rsidRPr="000D7F8C">
              <w:rPr>
                <w:rFonts w:asciiTheme="minorHAnsi" w:hAnsiTheme="minorHAnsi" w:cstheme="minorHAnsi"/>
                <w:strike w:val="0"/>
                <w:sz w:val="22"/>
                <w:szCs w:val="22"/>
              </w:rPr>
              <w:t>Essential Quality and Performance Requirements</w:t>
            </w:r>
          </w:p>
        </w:tc>
        <w:tc>
          <w:tcPr>
            <w:tcW w:w="1419" w:type="dxa"/>
            <w:vMerge/>
            <w:tcBorders>
              <w:top w:val="single" w:sz="3" w:space="0" w:color="000000"/>
              <w:left w:val="single" w:sz="3" w:space="0" w:color="000000"/>
              <w:bottom w:val="single" w:sz="3" w:space="0" w:color="000000"/>
              <w:right w:val="single" w:sz="3" w:space="0" w:color="000000"/>
            </w:tcBorders>
            <w:vAlign w:val="center"/>
          </w:tcPr>
          <w:p w14:paraId="458C9858" w14:textId="77777777" w:rsidR="000D7F8C" w:rsidRPr="000D7F8C" w:rsidRDefault="000D7F8C">
            <w:pPr>
              <w:pStyle w:val="FFFFB9FFFFD9FFFFC5FFFFC1FFFFB1FFFFDB"/>
              <w:spacing w:line="288" w:lineRule="auto"/>
              <w:rPr>
                <w:rFonts w:asciiTheme="minorHAnsi" w:hAnsiTheme="minorHAnsi" w:cstheme="minorHAnsi"/>
                <w:strike w:val="0"/>
                <w:sz w:val="22"/>
                <w:szCs w:val="22"/>
              </w:rPr>
            </w:pPr>
            <w:r w:rsidRPr="000D7F8C">
              <w:rPr>
                <w:rFonts w:asciiTheme="minorHAnsi" w:hAnsiTheme="minorHAnsi" w:cstheme="minorHAnsi"/>
                <w:strike w:val="0"/>
                <w:sz w:val="22"/>
                <w:szCs w:val="22"/>
              </w:rPr>
              <w:t>Preliminary Inspection</w:t>
            </w:r>
          </w:p>
        </w:tc>
        <w:tc>
          <w:tcPr>
            <w:tcW w:w="6002" w:type="dxa"/>
            <w:gridSpan w:val="2"/>
            <w:tcBorders>
              <w:top w:val="single" w:sz="3" w:space="0" w:color="000000"/>
              <w:left w:val="single" w:sz="3" w:space="0" w:color="000000"/>
              <w:bottom w:val="single" w:sz="3" w:space="0" w:color="000000"/>
              <w:right w:val="single" w:sz="3" w:space="0" w:color="000000"/>
            </w:tcBorders>
            <w:vAlign w:val="center"/>
          </w:tcPr>
          <w:p w14:paraId="3DBD3346" w14:textId="77777777" w:rsidR="000D7F8C" w:rsidRPr="000D7F8C" w:rsidRDefault="000D7F8C">
            <w:pPr>
              <w:pStyle w:val="FFFFB9FFFFD9FFFFC5FFFFC1FFFFB1FFFFDB"/>
              <w:spacing w:line="288" w:lineRule="auto"/>
              <w:rPr>
                <w:rFonts w:asciiTheme="minorHAnsi" w:hAnsiTheme="minorHAnsi" w:cstheme="minorHAnsi"/>
                <w:strike w:val="0"/>
                <w:sz w:val="22"/>
                <w:szCs w:val="22"/>
              </w:rPr>
            </w:pPr>
            <w:r w:rsidRPr="000D7F8C">
              <w:rPr>
                <w:rFonts w:asciiTheme="minorHAnsi" w:hAnsiTheme="minorHAnsi" w:cstheme="minorHAnsi"/>
                <w:strike w:val="0"/>
                <w:sz w:val="22"/>
                <w:szCs w:val="22"/>
              </w:rPr>
              <w:t>Visual Inspection</w:t>
            </w:r>
          </w:p>
        </w:tc>
      </w:tr>
      <w:tr w:rsidR="000D7F8C" w14:paraId="6E1931CA" w14:textId="77777777" w:rsidTr="00C0388A">
        <w:trPr>
          <w:trHeight w:val="210"/>
        </w:trPr>
        <w:tc>
          <w:tcPr>
            <w:tcW w:w="2356" w:type="dxa"/>
            <w:vMerge/>
            <w:tcBorders>
              <w:top w:val="single" w:sz="3" w:space="0" w:color="000000"/>
              <w:left w:val="single" w:sz="3" w:space="0" w:color="000000"/>
              <w:bottom w:val="single" w:sz="3" w:space="0" w:color="000000"/>
              <w:right w:val="single" w:sz="3" w:space="0" w:color="000000"/>
            </w:tcBorders>
            <w:vAlign w:val="center"/>
          </w:tcPr>
          <w:p w14:paraId="1C17CC9D" w14:textId="77777777" w:rsidR="000D7F8C" w:rsidRPr="000D7F8C" w:rsidRDefault="000D7F8C">
            <w:pPr>
              <w:pStyle w:val="FFFFB9FFFFD9FFFFC5FFFFC1FFFFB1FFFFDB"/>
              <w:spacing w:line="288" w:lineRule="auto"/>
              <w:rPr>
                <w:rFonts w:asciiTheme="minorHAnsi" w:hAnsiTheme="minorHAnsi" w:cstheme="minorHAnsi"/>
                <w:strike w:val="0"/>
                <w:sz w:val="22"/>
                <w:szCs w:val="22"/>
              </w:rPr>
            </w:pPr>
            <w:r w:rsidRPr="000D7F8C">
              <w:rPr>
                <w:rFonts w:asciiTheme="minorHAnsi" w:hAnsiTheme="minorHAnsi" w:cstheme="minorHAnsi"/>
                <w:strike w:val="0"/>
                <w:sz w:val="22"/>
                <w:szCs w:val="22"/>
              </w:rPr>
              <w:t>Essential Quality and Performance Requirements</w:t>
            </w:r>
          </w:p>
        </w:tc>
        <w:tc>
          <w:tcPr>
            <w:tcW w:w="1419" w:type="dxa"/>
            <w:vMerge w:val="restart"/>
            <w:tcBorders>
              <w:top w:val="single" w:sz="3" w:space="0" w:color="000000"/>
              <w:left w:val="single" w:sz="3" w:space="0" w:color="000000"/>
              <w:bottom w:val="single" w:sz="3" w:space="0" w:color="000000"/>
              <w:right w:val="single" w:sz="3" w:space="0" w:color="000000"/>
            </w:tcBorders>
            <w:vAlign w:val="center"/>
          </w:tcPr>
          <w:p w14:paraId="5811754E" w14:textId="77777777" w:rsidR="000D7F8C" w:rsidRPr="000D7F8C" w:rsidRDefault="000D7F8C">
            <w:pPr>
              <w:pStyle w:val="FFFFB9FFFFD9FFFFC5FFFFC1FFFFB1FFFFDB"/>
              <w:spacing w:line="288" w:lineRule="auto"/>
              <w:rPr>
                <w:rFonts w:asciiTheme="minorHAnsi" w:hAnsiTheme="minorHAnsi" w:cstheme="minorHAnsi"/>
                <w:strike w:val="0"/>
                <w:sz w:val="22"/>
                <w:szCs w:val="22"/>
              </w:rPr>
            </w:pPr>
            <w:r w:rsidRPr="000D7F8C">
              <w:rPr>
                <w:rFonts w:asciiTheme="minorHAnsi" w:hAnsiTheme="minorHAnsi" w:cstheme="minorHAnsi"/>
                <w:strike w:val="0"/>
                <w:sz w:val="22"/>
                <w:szCs w:val="22"/>
              </w:rPr>
              <w:t>Electrical Testing</w:t>
            </w:r>
          </w:p>
        </w:tc>
        <w:tc>
          <w:tcPr>
            <w:tcW w:w="6002" w:type="dxa"/>
            <w:gridSpan w:val="2"/>
            <w:tcBorders>
              <w:top w:val="single" w:sz="3" w:space="0" w:color="000000"/>
              <w:left w:val="single" w:sz="3" w:space="0" w:color="000000"/>
              <w:bottom w:val="single" w:sz="3" w:space="0" w:color="000000"/>
              <w:right w:val="single" w:sz="3" w:space="0" w:color="000000"/>
            </w:tcBorders>
            <w:vAlign w:val="center"/>
          </w:tcPr>
          <w:p w14:paraId="30CE1C1C" w14:textId="77777777" w:rsidR="000D7F8C" w:rsidRPr="000D7F8C" w:rsidRDefault="000D7F8C">
            <w:pPr>
              <w:pStyle w:val="MSFFFFB9FFFFD9FFFFC5FFFFC1FFFFB1FFFFDB"/>
              <w:rPr>
                <w:rFonts w:asciiTheme="minorHAnsi" w:eastAsia="Times New Roman" w:hAnsiTheme="minorHAnsi" w:cstheme="minorHAnsi"/>
                <w:strike w:val="0"/>
                <w:sz w:val="22"/>
                <w:szCs w:val="22"/>
              </w:rPr>
            </w:pPr>
            <w:r w:rsidRPr="000D7F8C">
              <w:rPr>
                <w:rFonts w:asciiTheme="minorHAnsi" w:eastAsia="Times New Roman" w:hAnsiTheme="minorHAnsi" w:cstheme="minorHAnsi"/>
                <w:strike w:val="0"/>
                <w:sz w:val="22"/>
                <w:szCs w:val="22"/>
              </w:rPr>
              <w:t>Open Circuit Voltage (OCV),</w:t>
            </w:r>
          </w:p>
        </w:tc>
      </w:tr>
      <w:tr w:rsidR="000D7F8C" w14:paraId="3A74D469" w14:textId="77777777" w:rsidTr="00C0388A">
        <w:trPr>
          <w:trHeight w:val="210"/>
        </w:trPr>
        <w:tc>
          <w:tcPr>
            <w:tcW w:w="2356" w:type="dxa"/>
            <w:vMerge/>
            <w:tcBorders>
              <w:top w:val="single" w:sz="3" w:space="0" w:color="000000"/>
              <w:left w:val="single" w:sz="3" w:space="0" w:color="000000"/>
              <w:bottom w:val="single" w:sz="3" w:space="0" w:color="000000"/>
              <w:right w:val="single" w:sz="3" w:space="0" w:color="000000"/>
            </w:tcBorders>
            <w:vAlign w:val="center"/>
          </w:tcPr>
          <w:p w14:paraId="5798077F" w14:textId="77777777" w:rsidR="000D7F8C" w:rsidRPr="000D7F8C" w:rsidRDefault="000D7F8C">
            <w:pPr>
              <w:pStyle w:val="FFFFB9FFFFD9FFFFC5FFFFC1FFFFB1FFFFDB"/>
              <w:spacing w:line="288" w:lineRule="auto"/>
              <w:rPr>
                <w:rFonts w:asciiTheme="minorHAnsi" w:hAnsiTheme="minorHAnsi" w:cstheme="minorHAnsi"/>
                <w:strike w:val="0"/>
                <w:sz w:val="22"/>
                <w:szCs w:val="22"/>
              </w:rPr>
            </w:pPr>
            <w:r w:rsidRPr="000D7F8C">
              <w:rPr>
                <w:rFonts w:asciiTheme="minorHAnsi" w:hAnsiTheme="minorHAnsi" w:cstheme="minorHAnsi"/>
                <w:strike w:val="0"/>
                <w:sz w:val="22"/>
                <w:szCs w:val="22"/>
              </w:rPr>
              <w:t>Essential Quality and Performance Requirements</w:t>
            </w:r>
          </w:p>
        </w:tc>
        <w:tc>
          <w:tcPr>
            <w:tcW w:w="1419" w:type="dxa"/>
            <w:vMerge/>
            <w:tcBorders>
              <w:top w:val="single" w:sz="3" w:space="0" w:color="000000"/>
              <w:left w:val="single" w:sz="3" w:space="0" w:color="000000"/>
              <w:bottom w:val="single" w:sz="3" w:space="0" w:color="000000"/>
              <w:right w:val="single" w:sz="3" w:space="0" w:color="000000"/>
            </w:tcBorders>
            <w:vAlign w:val="center"/>
          </w:tcPr>
          <w:p w14:paraId="7E646960" w14:textId="77777777" w:rsidR="000D7F8C" w:rsidRPr="000D7F8C" w:rsidRDefault="000D7F8C">
            <w:pPr>
              <w:pStyle w:val="FFFFB9FFFFD9FFFFC5FFFFC1FFFFB1FFFFDB"/>
              <w:spacing w:line="288" w:lineRule="auto"/>
              <w:rPr>
                <w:rFonts w:asciiTheme="minorHAnsi" w:hAnsiTheme="minorHAnsi" w:cstheme="minorHAnsi"/>
                <w:strike w:val="0"/>
                <w:sz w:val="22"/>
                <w:szCs w:val="22"/>
              </w:rPr>
            </w:pPr>
            <w:r w:rsidRPr="000D7F8C">
              <w:rPr>
                <w:rFonts w:asciiTheme="minorHAnsi" w:hAnsiTheme="minorHAnsi" w:cstheme="minorHAnsi"/>
                <w:strike w:val="0"/>
                <w:sz w:val="22"/>
                <w:szCs w:val="22"/>
              </w:rPr>
              <w:t>Electrical Testing</w:t>
            </w:r>
          </w:p>
        </w:tc>
        <w:tc>
          <w:tcPr>
            <w:tcW w:w="6002" w:type="dxa"/>
            <w:gridSpan w:val="2"/>
            <w:tcBorders>
              <w:top w:val="single" w:sz="3" w:space="0" w:color="000000"/>
              <w:left w:val="single" w:sz="3" w:space="0" w:color="000000"/>
              <w:bottom w:val="single" w:sz="3" w:space="0" w:color="000000"/>
              <w:right w:val="single" w:sz="3" w:space="0" w:color="000000"/>
            </w:tcBorders>
            <w:vAlign w:val="center"/>
          </w:tcPr>
          <w:p w14:paraId="6D2B8AB3" w14:textId="77777777" w:rsidR="000D7F8C" w:rsidRPr="000D7F8C" w:rsidRDefault="000D7F8C">
            <w:pPr>
              <w:pStyle w:val="FFFFB9FFFFD9FFFFC5FFFFC1FFFFB1FFFFDB"/>
              <w:spacing w:line="288" w:lineRule="auto"/>
              <w:rPr>
                <w:rFonts w:asciiTheme="minorHAnsi" w:hAnsiTheme="minorHAnsi" w:cstheme="minorHAnsi"/>
                <w:strike w:val="0"/>
                <w:sz w:val="22"/>
                <w:szCs w:val="22"/>
              </w:rPr>
            </w:pPr>
            <w:r w:rsidRPr="000D7F8C">
              <w:rPr>
                <w:rFonts w:asciiTheme="minorHAnsi" w:hAnsiTheme="minorHAnsi" w:cstheme="minorHAnsi"/>
                <w:strike w:val="0"/>
                <w:sz w:val="22"/>
                <w:szCs w:val="22"/>
              </w:rPr>
              <w:t>Insulation Testing</w:t>
            </w:r>
          </w:p>
        </w:tc>
      </w:tr>
      <w:tr w:rsidR="000D7F8C" w14:paraId="61771572" w14:textId="77777777" w:rsidTr="00C0388A">
        <w:trPr>
          <w:trHeight w:val="210"/>
        </w:trPr>
        <w:tc>
          <w:tcPr>
            <w:tcW w:w="2356" w:type="dxa"/>
            <w:vMerge/>
            <w:tcBorders>
              <w:top w:val="single" w:sz="3" w:space="0" w:color="000000"/>
              <w:left w:val="single" w:sz="3" w:space="0" w:color="000000"/>
              <w:bottom w:val="single" w:sz="3" w:space="0" w:color="000000"/>
              <w:right w:val="single" w:sz="3" w:space="0" w:color="000000"/>
            </w:tcBorders>
            <w:vAlign w:val="center"/>
          </w:tcPr>
          <w:p w14:paraId="2F05A2D4" w14:textId="77777777" w:rsidR="000D7F8C" w:rsidRPr="000D7F8C" w:rsidRDefault="000D7F8C">
            <w:pPr>
              <w:pStyle w:val="FFFFB9FFFFD9FFFFC5FFFFC1FFFFB1FFFFDB"/>
              <w:spacing w:line="288" w:lineRule="auto"/>
              <w:rPr>
                <w:rFonts w:asciiTheme="minorHAnsi" w:hAnsiTheme="minorHAnsi" w:cstheme="minorHAnsi"/>
                <w:strike w:val="0"/>
                <w:sz w:val="22"/>
                <w:szCs w:val="22"/>
              </w:rPr>
            </w:pPr>
            <w:r w:rsidRPr="000D7F8C">
              <w:rPr>
                <w:rFonts w:asciiTheme="minorHAnsi" w:hAnsiTheme="minorHAnsi" w:cstheme="minorHAnsi"/>
                <w:strike w:val="0"/>
                <w:sz w:val="22"/>
                <w:szCs w:val="22"/>
              </w:rPr>
              <w:t>Essential Quality and Performance Requirements</w:t>
            </w:r>
          </w:p>
        </w:tc>
        <w:tc>
          <w:tcPr>
            <w:tcW w:w="1419" w:type="dxa"/>
            <w:vMerge/>
            <w:tcBorders>
              <w:top w:val="single" w:sz="3" w:space="0" w:color="000000"/>
              <w:left w:val="single" w:sz="3" w:space="0" w:color="000000"/>
              <w:bottom w:val="single" w:sz="3" w:space="0" w:color="000000"/>
              <w:right w:val="single" w:sz="3" w:space="0" w:color="000000"/>
            </w:tcBorders>
            <w:vAlign w:val="center"/>
          </w:tcPr>
          <w:p w14:paraId="06445AF6" w14:textId="77777777" w:rsidR="000D7F8C" w:rsidRPr="000D7F8C" w:rsidRDefault="000D7F8C">
            <w:pPr>
              <w:pStyle w:val="FFFFB9FFFFD9FFFFC5FFFFC1FFFFB1FFFFDB"/>
              <w:spacing w:line="288" w:lineRule="auto"/>
              <w:rPr>
                <w:rFonts w:asciiTheme="minorHAnsi" w:hAnsiTheme="minorHAnsi" w:cstheme="minorHAnsi"/>
                <w:strike w:val="0"/>
                <w:sz w:val="22"/>
                <w:szCs w:val="22"/>
              </w:rPr>
            </w:pPr>
            <w:r w:rsidRPr="000D7F8C">
              <w:rPr>
                <w:rFonts w:asciiTheme="minorHAnsi" w:hAnsiTheme="minorHAnsi" w:cstheme="minorHAnsi"/>
                <w:strike w:val="0"/>
                <w:sz w:val="22"/>
                <w:szCs w:val="22"/>
              </w:rPr>
              <w:t>Electrical Testing</w:t>
            </w:r>
          </w:p>
        </w:tc>
        <w:tc>
          <w:tcPr>
            <w:tcW w:w="6002" w:type="dxa"/>
            <w:gridSpan w:val="2"/>
            <w:tcBorders>
              <w:top w:val="single" w:sz="3" w:space="0" w:color="000000"/>
              <w:left w:val="single" w:sz="3" w:space="0" w:color="000000"/>
              <w:bottom w:val="single" w:sz="3" w:space="0" w:color="000000"/>
              <w:right w:val="single" w:sz="3" w:space="0" w:color="000000"/>
            </w:tcBorders>
            <w:vAlign w:val="center"/>
          </w:tcPr>
          <w:p w14:paraId="07624ED6" w14:textId="77777777" w:rsidR="000D7F8C" w:rsidRPr="000D7F8C" w:rsidRDefault="000D7F8C">
            <w:pPr>
              <w:pStyle w:val="FFFFB9FFFFD9FFFFC5FFFFC1FFFFB1FFFFDB"/>
              <w:spacing w:line="288" w:lineRule="auto"/>
              <w:rPr>
                <w:rFonts w:asciiTheme="minorHAnsi" w:hAnsiTheme="minorHAnsi" w:cstheme="minorHAnsi"/>
                <w:strike w:val="0"/>
                <w:sz w:val="22"/>
                <w:szCs w:val="22"/>
              </w:rPr>
            </w:pPr>
            <w:r w:rsidRPr="000D7F8C">
              <w:rPr>
                <w:rFonts w:asciiTheme="minorHAnsi" w:hAnsiTheme="minorHAnsi" w:cstheme="minorHAnsi"/>
                <w:strike w:val="0"/>
                <w:sz w:val="22"/>
                <w:szCs w:val="22"/>
              </w:rPr>
              <w:t>Capacity Testing</w:t>
            </w:r>
          </w:p>
        </w:tc>
      </w:tr>
      <w:tr w:rsidR="000D7F8C" w14:paraId="63244801" w14:textId="77777777" w:rsidTr="00C0388A">
        <w:trPr>
          <w:trHeight w:val="210"/>
        </w:trPr>
        <w:tc>
          <w:tcPr>
            <w:tcW w:w="2356" w:type="dxa"/>
            <w:vMerge/>
            <w:tcBorders>
              <w:top w:val="single" w:sz="3" w:space="0" w:color="000000"/>
              <w:left w:val="single" w:sz="3" w:space="0" w:color="000000"/>
              <w:bottom w:val="single" w:sz="3" w:space="0" w:color="000000"/>
              <w:right w:val="single" w:sz="3" w:space="0" w:color="000000"/>
            </w:tcBorders>
            <w:vAlign w:val="center"/>
          </w:tcPr>
          <w:p w14:paraId="307EAEFA" w14:textId="77777777" w:rsidR="000D7F8C" w:rsidRPr="000D7F8C" w:rsidRDefault="000D7F8C">
            <w:pPr>
              <w:pStyle w:val="FFFFB9FFFFD9FFFFC5FFFFC1FFFFB1FFFFDB"/>
              <w:spacing w:line="288" w:lineRule="auto"/>
              <w:rPr>
                <w:rFonts w:asciiTheme="minorHAnsi" w:hAnsiTheme="minorHAnsi" w:cstheme="minorHAnsi"/>
                <w:strike w:val="0"/>
                <w:sz w:val="22"/>
                <w:szCs w:val="22"/>
              </w:rPr>
            </w:pPr>
            <w:r w:rsidRPr="000D7F8C">
              <w:rPr>
                <w:rFonts w:asciiTheme="minorHAnsi" w:hAnsiTheme="minorHAnsi" w:cstheme="minorHAnsi"/>
                <w:strike w:val="0"/>
                <w:sz w:val="22"/>
                <w:szCs w:val="22"/>
              </w:rPr>
              <w:lastRenderedPageBreak/>
              <w:t>Essential Quality and Performance Requirements</w:t>
            </w:r>
          </w:p>
        </w:tc>
        <w:tc>
          <w:tcPr>
            <w:tcW w:w="1419" w:type="dxa"/>
            <w:vMerge/>
            <w:tcBorders>
              <w:top w:val="single" w:sz="3" w:space="0" w:color="000000"/>
              <w:left w:val="single" w:sz="3" w:space="0" w:color="000000"/>
              <w:bottom w:val="single" w:sz="3" w:space="0" w:color="000000"/>
              <w:right w:val="single" w:sz="3" w:space="0" w:color="000000"/>
            </w:tcBorders>
            <w:vAlign w:val="center"/>
          </w:tcPr>
          <w:p w14:paraId="070B6A44" w14:textId="77777777" w:rsidR="000D7F8C" w:rsidRPr="000D7F8C" w:rsidRDefault="000D7F8C">
            <w:pPr>
              <w:pStyle w:val="FFFFB9FFFFD9FFFFC5FFFFC1FFFFB1FFFFDB"/>
              <w:spacing w:line="288" w:lineRule="auto"/>
              <w:rPr>
                <w:rFonts w:asciiTheme="minorHAnsi" w:hAnsiTheme="minorHAnsi" w:cstheme="minorHAnsi"/>
                <w:strike w:val="0"/>
                <w:sz w:val="22"/>
                <w:szCs w:val="22"/>
              </w:rPr>
            </w:pPr>
            <w:r w:rsidRPr="000D7F8C">
              <w:rPr>
                <w:rFonts w:asciiTheme="minorHAnsi" w:hAnsiTheme="minorHAnsi" w:cstheme="minorHAnsi"/>
                <w:strike w:val="0"/>
                <w:sz w:val="22"/>
                <w:szCs w:val="22"/>
              </w:rPr>
              <w:t>Electrical Testing</w:t>
            </w:r>
          </w:p>
        </w:tc>
        <w:tc>
          <w:tcPr>
            <w:tcW w:w="6002" w:type="dxa"/>
            <w:gridSpan w:val="2"/>
            <w:tcBorders>
              <w:top w:val="single" w:sz="3" w:space="0" w:color="000000"/>
              <w:left w:val="single" w:sz="3" w:space="0" w:color="000000"/>
              <w:bottom w:val="single" w:sz="3" w:space="0" w:color="000000"/>
              <w:right w:val="single" w:sz="3" w:space="0" w:color="000000"/>
            </w:tcBorders>
            <w:vAlign w:val="center"/>
          </w:tcPr>
          <w:p w14:paraId="5BF86414" w14:textId="77777777" w:rsidR="000D7F8C" w:rsidRPr="000D7F8C" w:rsidRDefault="000D7F8C">
            <w:pPr>
              <w:pStyle w:val="FFFFB9FFFFD9FFFFC5FFFFC1FFFFB1FFFFDB"/>
              <w:spacing w:line="288" w:lineRule="auto"/>
              <w:rPr>
                <w:rFonts w:asciiTheme="minorHAnsi" w:hAnsiTheme="minorHAnsi" w:cstheme="minorHAnsi"/>
                <w:strike w:val="0"/>
                <w:sz w:val="22"/>
                <w:szCs w:val="22"/>
              </w:rPr>
            </w:pPr>
            <w:r w:rsidRPr="000D7F8C">
              <w:rPr>
                <w:rFonts w:asciiTheme="minorHAnsi" w:hAnsiTheme="minorHAnsi" w:cstheme="minorHAnsi"/>
                <w:strike w:val="0"/>
                <w:sz w:val="22"/>
                <w:szCs w:val="22"/>
              </w:rPr>
              <w:t>Self-discharge Testing</w:t>
            </w:r>
          </w:p>
        </w:tc>
      </w:tr>
      <w:tr w:rsidR="000D7F8C" w14:paraId="1A64ADED" w14:textId="77777777" w:rsidTr="00C0388A">
        <w:trPr>
          <w:trHeight w:val="210"/>
        </w:trPr>
        <w:tc>
          <w:tcPr>
            <w:tcW w:w="3775" w:type="dxa"/>
            <w:gridSpan w:val="2"/>
            <w:vMerge w:val="restart"/>
            <w:tcBorders>
              <w:top w:val="single" w:sz="3" w:space="0" w:color="000000"/>
              <w:left w:val="single" w:sz="3" w:space="0" w:color="000000"/>
              <w:bottom w:val="single" w:sz="3" w:space="0" w:color="000000"/>
              <w:right w:val="single" w:sz="3" w:space="0" w:color="000000"/>
            </w:tcBorders>
            <w:vAlign w:val="center"/>
          </w:tcPr>
          <w:p w14:paraId="01EB280E" w14:textId="77777777" w:rsidR="000D7F8C" w:rsidRPr="000D7F8C" w:rsidRDefault="000D7F8C">
            <w:pPr>
              <w:pStyle w:val="FFFFB9FFFFD9FFFFC5FFFFC1FFFFB1FFFFDB"/>
              <w:spacing w:line="288" w:lineRule="auto"/>
              <w:rPr>
                <w:rFonts w:asciiTheme="minorHAnsi" w:hAnsiTheme="minorHAnsi" w:cstheme="minorHAnsi"/>
                <w:strike w:val="0"/>
                <w:sz w:val="22"/>
                <w:szCs w:val="22"/>
              </w:rPr>
            </w:pPr>
            <w:r w:rsidRPr="000D7F8C">
              <w:rPr>
                <w:rFonts w:asciiTheme="minorHAnsi" w:hAnsiTheme="minorHAnsi" w:cstheme="minorHAnsi"/>
                <w:strike w:val="0"/>
                <w:sz w:val="22"/>
                <w:szCs w:val="22"/>
              </w:rPr>
              <w:t>Battery System Safety Testing.</w:t>
            </w:r>
          </w:p>
        </w:tc>
        <w:tc>
          <w:tcPr>
            <w:tcW w:w="6002" w:type="dxa"/>
            <w:gridSpan w:val="2"/>
            <w:tcBorders>
              <w:top w:val="single" w:sz="3" w:space="0" w:color="000000"/>
              <w:left w:val="single" w:sz="3" w:space="0" w:color="000000"/>
              <w:bottom w:val="nil"/>
              <w:right w:val="single" w:sz="3" w:space="0" w:color="000000"/>
            </w:tcBorders>
            <w:vAlign w:val="center"/>
          </w:tcPr>
          <w:p w14:paraId="356C64D2" w14:textId="77777777" w:rsidR="000D7F8C" w:rsidRPr="000D7F8C" w:rsidRDefault="000D7F8C">
            <w:pPr>
              <w:pStyle w:val="FFFFB9FFFFD9FFFFC5FFFFC1FFFFB1FFFFDB"/>
              <w:spacing w:line="288" w:lineRule="auto"/>
              <w:rPr>
                <w:rFonts w:asciiTheme="minorHAnsi" w:hAnsiTheme="minorHAnsi" w:cstheme="minorHAnsi"/>
                <w:strike w:val="0"/>
                <w:sz w:val="22"/>
                <w:szCs w:val="22"/>
              </w:rPr>
            </w:pPr>
            <w:r w:rsidRPr="000D7F8C">
              <w:rPr>
                <w:rFonts w:asciiTheme="minorHAnsi" w:hAnsiTheme="minorHAnsi" w:cstheme="minorHAnsi"/>
                <w:strike w:val="0"/>
                <w:sz w:val="22"/>
                <w:szCs w:val="22"/>
              </w:rPr>
              <w:t>Functional Safety Review</w:t>
            </w:r>
          </w:p>
        </w:tc>
      </w:tr>
      <w:tr w:rsidR="000D7F8C" w14:paraId="3DD2E344" w14:textId="77777777" w:rsidTr="00C0388A">
        <w:trPr>
          <w:trHeight w:val="210"/>
        </w:trPr>
        <w:tc>
          <w:tcPr>
            <w:tcW w:w="3775" w:type="dxa"/>
            <w:gridSpan w:val="2"/>
            <w:vMerge/>
            <w:tcBorders>
              <w:top w:val="single" w:sz="3" w:space="0" w:color="000000"/>
              <w:left w:val="single" w:sz="3" w:space="0" w:color="000000"/>
              <w:bottom w:val="single" w:sz="3" w:space="0" w:color="000000"/>
              <w:right w:val="single" w:sz="3" w:space="0" w:color="000000"/>
            </w:tcBorders>
            <w:vAlign w:val="center"/>
          </w:tcPr>
          <w:p w14:paraId="23711B37" w14:textId="77777777" w:rsidR="000D7F8C" w:rsidRPr="000D7F8C" w:rsidRDefault="000D7F8C">
            <w:pPr>
              <w:pStyle w:val="FFFFB9FFFFD9FFFFC5FFFFC1FFFFB1FFFFDB"/>
              <w:spacing w:line="288" w:lineRule="auto"/>
              <w:rPr>
                <w:rFonts w:asciiTheme="minorHAnsi" w:hAnsiTheme="minorHAnsi" w:cstheme="minorHAnsi"/>
                <w:strike w:val="0"/>
                <w:sz w:val="22"/>
                <w:szCs w:val="22"/>
              </w:rPr>
            </w:pPr>
            <w:r w:rsidRPr="000D7F8C">
              <w:rPr>
                <w:rFonts w:asciiTheme="minorHAnsi" w:hAnsiTheme="minorHAnsi" w:cstheme="minorHAnsi"/>
                <w:strike w:val="0"/>
                <w:sz w:val="22"/>
                <w:szCs w:val="22"/>
              </w:rPr>
              <w:t>Battery System Safety Testing.</w:t>
            </w:r>
          </w:p>
        </w:tc>
        <w:tc>
          <w:tcPr>
            <w:tcW w:w="749" w:type="dxa"/>
            <w:vMerge w:val="restart"/>
            <w:tcBorders>
              <w:top w:val="nil"/>
              <w:left w:val="single" w:sz="3" w:space="0" w:color="000000"/>
              <w:bottom w:val="single" w:sz="3" w:space="0" w:color="000000"/>
              <w:right w:val="single" w:sz="3" w:space="0" w:color="000000"/>
            </w:tcBorders>
            <w:vAlign w:val="center"/>
          </w:tcPr>
          <w:p w14:paraId="452DD6B6" w14:textId="77777777" w:rsidR="000D7F8C" w:rsidRPr="000D7F8C" w:rsidRDefault="000D7F8C">
            <w:pPr>
              <w:pStyle w:val="MSFFFFB9FFFFD9FFFFC5FFFFC1FFFFB1FFFFDB"/>
              <w:rPr>
                <w:rFonts w:asciiTheme="minorHAnsi" w:hAnsiTheme="minorHAnsi" w:cstheme="minorHAnsi"/>
                <w:strike w:val="0"/>
                <w:sz w:val="22"/>
                <w:szCs w:val="22"/>
              </w:rPr>
            </w:pPr>
          </w:p>
        </w:tc>
        <w:tc>
          <w:tcPr>
            <w:tcW w:w="5253" w:type="dxa"/>
            <w:tcBorders>
              <w:top w:val="single" w:sz="3" w:space="0" w:color="000000"/>
              <w:left w:val="single" w:sz="3" w:space="0" w:color="000000"/>
              <w:bottom w:val="single" w:sz="3" w:space="0" w:color="000000"/>
              <w:right w:val="single" w:sz="3" w:space="0" w:color="000000"/>
            </w:tcBorders>
            <w:vAlign w:val="center"/>
          </w:tcPr>
          <w:p w14:paraId="0A92D3C5" w14:textId="77777777" w:rsidR="000D7F8C" w:rsidRPr="000D7F8C" w:rsidRDefault="000D7F8C">
            <w:pPr>
              <w:pStyle w:val="FFFFB9FFFFD9FFFFC5FFFFC1FFFFB1FFFFDB"/>
              <w:spacing w:line="288" w:lineRule="auto"/>
              <w:rPr>
                <w:rFonts w:asciiTheme="minorHAnsi" w:hAnsiTheme="minorHAnsi" w:cstheme="minorHAnsi"/>
                <w:strike w:val="0"/>
                <w:sz w:val="22"/>
                <w:szCs w:val="22"/>
              </w:rPr>
            </w:pPr>
            <w:r w:rsidRPr="000D7F8C">
              <w:rPr>
                <w:rFonts w:asciiTheme="minorHAnsi" w:hAnsiTheme="minorHAnsi" w:cstheme="minorHAnsi"/>
                <w:strike w:val="0"/>
                <w:sz w:val="22"/>
                <w:szCs w:val="22"/>
              </w:rPr>
              <w:t>Overcharge Voltage Control</w:t>
            </w:r>
          </w:p>
        </w:tc>
      </w:tr>
      <w:tr w:rsidR="000D7F8C" w14:paraId="1D85D19F" w14:textId="77777777" w:rsidTr="00C0388A">
        <w:trPr>
          <w:trHeight w:val="210"/>
        </w:trPr>
        <w:tc>
          <w:tcPr>
            <w:tcW w:w="3775" w:type="dxa"/>
            <w:gridSpan w:val="2"/>
            <w:vMerge/>
            <w:tcBorders>
              <w:top w:val="single" w:sz="3" w:space="0" w:color="000000"/>
              <w:left w:val="single" w:sz="3" w:space="0" w:color="000000"/>
              <w:bottom w:val="single" w:sz="3" w:space="0" w:color="000000"/>
              <w:right w:val="single" w:sz="3" w:space="0" w:color="000000"/>
            </w:tcBorders>
            <w:vAlign w:val="center"/>
          </w:tcPr>
          <w:p w14:paraId="5E65721B" w14:textId="77777777" w:rsidR="000D7F8C" w:rsidRPr="000D7F8C" w:rsidRDefault="000D7F8C">
            <w:pPr>
              <w:pStyle w:val="FFFFB9FFFFD9FFFFC5FFFFC1FFFFB1FFFFDB"/>
              <w:spacing w:line="288" w:lineRule="auto"/>
              <w:rPr>
                <w:rFonts w:asciiTheme="minorHAnsi" w:hAnsiTheme="minorHAnsi" w:cstheme="minorHAnsi"/>
                <w:strike w:val="0"/>
                <w:sz w:val="22"/>
                <w:szCs w:val="22"/>
              </w:rPr>
            </w:pPr>
            <w:r w:rsidRPr="000D7F8C">
              <w:rPr>
                <w:rFonts w:asciiTheme="minorHAnsi" w:hAnsiTheme="minorHAnsi" w:cstheme="minorHAnsi"/>
                <w:strike w:val="0"/>
                <w:sz w:val="22"/>
                <w:szCs w:val="22"/>
              </w:rPr>
              <w:t>Battery System Safety Testing.</w:t>
            </w:r>
          </w:p>
        </w:tc>
        <w:tc>
          <w:tcPr>
            <w:tcW w:w="749" w:type="dxa"/>
            <w:vMerge/>
            <w:tcBorders>
              <w:top w:val="nil"/>
              <w:left w:val="single" w:sz="3" w:space="0" w:color="000000"/>
              <w:bottom w:val="single" w:sz="3" w:space="0" w:color="000000"/>
              <w:right w:val="single" w:sz="3" w:space="0" w:color="000000"/>
            </w:tcBorders>
            <w:vAlign w:val="center"/>
          </w:tcPr>
          <w:p w14:paraId="74D75DCE" w14:textId="77777777" w:rsidR="000D7F8C" w:rsidRPr="000D7F8C" w:rsidRDefault="000D7F8C">
            <w:pPr>
              <w:pStyle w:val="MSFFFFB9FFFFD9FFFFC5FFFFC1FFFFB1FFFFDB"/>
              <w:rPr>
                <w:rFonts w:asciiTheme="minorHAnsi" w:hAnsiTheme="minorHAnsi" w:cstheme="minorHAnsi"/>
                <w:strike w:val="0"/>
                <w:sz w:val="22"/>
                <w:szCs w:val="22"/>
              </w:rPr>
            </w:pPr>
          </w:p>
        </w:tc>
        <w:tc>
          <w:tcPr>
            <w:tcW w:w="5253" w:type="dxa"/>
            <w:tcBorders>
              <w:top w:val="single" w:sz="3" w:space="0" w:color="000000"/>
              <w:left w:val="single" w:sz="3" w:space="0" w:color="000000"/>
              <w:bottom w:val="single" w:sz="3" w:space="0" w:color="000000"/>
              <w:right w:val="single" w:sz="3" w:space="0" w:color="000000"/>
            </w:tcBorders>
            <w:vAlign w:val="center"/>
          </w:tcPr>
          <w:p w14:paraId="0536AC8A" w14:textId="77777777" w:rsidR="000D7F8C" w:rsidRPr="000D7F8C" w:rsidRDefault="000D7F8C">
            <w:pPr>
              <w:pStyle w:val="FFFFB9FFFFD9FFFFC5FFFFC1FFFFB1FFFFDB"/>
              <w:spacing w:line="288" w:lineRule="auto"/>
              <w:rPr>
                <w:rFonts w:asciiTheme="minorHAnsi" w:hAnsiTheme="minorHAnsi" w:cstheme="minorHAnsi"/>
                <w:strike w:val="0"/>
                <w:sz w:val="22"/>
                <w:szCs w:val="22"/>
              </w:rPr>
            </w:pPr>
            <w:r w:rsidRPr="000D7F8C">
              <w:rPr>
                <w:rFonts w:asciiTheme="minorHAnsi" w:hAnsiTheme="minorHAnsi" w:cstheme="minorHAnsi"/>
                <w:strike w:val="0"/>
                <w:sz w:val="22"/>
                <w:szCs w:val="22"/>
              </w:rPr>
              <w:t>Overcharge Current Control</w:t>
            </w:r>
          </w:p>
        </w:tc>
      </w:tr>
      <w:tr w:rsidR="000D7F8C" w14:paraId="13C16405" w14:textId="77777777" w:rsidTr="00C0388A">
        <w:trPr>
          <w:trHeight w:val="210"/>
        </w:trPr>
        <w:tc>
          <w:tcPr>
            <w:tcW w:w="3775" w:type="dxa"/>
            <w:gridSpan w:val="2"/>
            <w:vMerge/>
            <w:tcBorders>
              <w:top w:val="single" w:sz="3" w:space="0" w:color="000000"/>
              <w:left w:val="single" w:sz="3" w:space="0" w:color="000000"/>
              <w:bottom w:val="single" w:sz="3" w:space="0" w:color="000000"/>
              <w:right w:val="single" w:sz="3" w:space="0" w:color="000000"/>
            </w:tcBorders>
            <w:vAlign w:val="center"/>
          </w:tcPr>
          <w:p w14:paraId="31C79009" w14:textId="77777777" w:rsidR="000D7F8C" w:rsidRPr="000D7F8C" w:rsidRDefault="000D7F8C">
            <w:pPr>
              <w:pStyle w:val="FFFFB9FFFFD9FFFFC5FFFFC1FFFFB1FFFFDB"/>
              <w:spacing w:line="288" w:lineRule="auto"/>
              <w:rPr>
                <w:rFonts w:asciiTheme="minorHAnsi" w:hAnsiTheme="minorHAnsi" w:cstheme="minorHAnsi"/>
                <w:strike w:val="0"/>
                <w:sz w:val="22"/>
                <w:szCs w:val="22"/>
              </w:rPr>
            </w:pPr>
            <w:r w:rsidRPr="000D7F8C">
              <w:rPr>
                <w:rFonts w:asciiTheme="minorHAnsi" w:hAnsiTheme="minorHAnsi" w:cstheme="minorHAnsi"/>
                <w:strike w:val="0"/>
                <w:sz w:val="22"/>
                <w:szCs w:val="22"/>
              </w:rPr>
              <w:t>Battery System Safety Testing.</w:t>
            </w:r>
          </w:p>
        </w:tc>
        <w:tc>
          <w:tcPr>
            <w:tcW w:w="749" w:type="dxa"/>
            <w:vMerge/>
            <w:tcBorders>
              <w:top w:val="nil"/>
              <w:left w:val="single" w:sz="3" w:space="0" w:color="000000"/>
              <w:bottom w:val="single" w:sz="3" w:space="0" w:color="000000"/>
              <w:right w:val="single" w:sz="3" w:space="0" w:color="000000"/>
            </w:tcBorders>
            <w:vAlign w:val="center"/>
          </w:tcPr>
          <w:p w14:paraId="4FED89DA" w14:textId="77777777" w:rsidR="000D7F8C" w:rsidRPr="000D7F8C" w:rsidRDefault="000D7F8C">
            <w:pPr>
              <w:pStyle w:val="MSFFFFB9FFFFD9FFFFC5FFFFC1FFFFB1FFFFDB"/>
              <w:rPr>
                <w:rFonts w:asciiTheme="minorHAnsi" w:hAnsiTheme="minorHAnsi" w:cstheme="minorHAnsi"/>
                <w:strike w:val="0"/>
                <w:sz w:val="22"/>
                <w:szCs w:val="22"/>
              </w:rPr>
            </w:pPr>
          </w:p>
        </w:tc>
        <w:tc>
          <w:tcPr>
            <w:tcW w:w="5253" w:type="dxa"/>
            <w:tcBorders>
              <w:top w:val="single" w:sz="3" w:space="0" w:color="000000"/>
              <w:left w:val="single" w:sz="3" w:space="0" w:color="000000"/>
              <w:bottom w:val="single" w:sz="3" w:space="0" w:color="000000"/>
              <w:right w:val="single" w:sz="3" w:space="0" w:color="000000"/>
            </w:tcBorders>
            <w:vAlign w:val="center"/>
          </w:tcPr>
          <w:p w14:paraId="66CE4F34" w14:textId="77777777" w:rsidR="000D7F8C" w:rsidRPr="000D7F8C" w:rsidRDefault="000D7F8C">
            <w:pPr>
              <w:pStyle w:val="FFFFB9FFFFD9FFFFC5FFFFC1FFFFB1FFFFDB"/>
              <w:spacing w:line="288" w:lineRule="auto"/>
              <w:rPr>
                <w:rFonts w:asciiTheme="minorHAnsi" w:hAnsiTheme="minorHAnsi" w:cstheme="minorHAnsi"/>
                <w:strike w:val="0"/>
                <w:sz w:val="22"/>
                <w:szCs w:val="22"/>
              </w:rPr>
            </w:pPr>
            <w:r w:rsidRPr="000D7F8C">
              <w:rPr>
                <w:rFonts w:asciiTheme="minorHAnsi" w:hAnsiTheme="minorHAnsi" w:cstheme="minorHAnsi"/>
                <w:strike w:val="0"/>
                <w:sz w:val="22"/>
                <w:szCs w:val="22"/>
              </w:rPr>
              <w:t>Over-temperature Control</w:t>
            </w:r>
          </w:p>
        </w:tc>
      </w:tr>
    </w:tbl>
    <w:p w14:paraId="0D54760F" w14:textId="77777777" w:rsidR="00C0388A" w:rsidRDefault="00C0388A" w:rsidP="00C0388A">
      <w:pPr>
        <w:pStyle w:val="BodyText"/>
        <w:rPr>
          <w:lang w:eastAsia="ko-KR"/>
        </w:rPr>
      </w:pPr>
    </w:p>
    <w:p w14:paraId="6BE8517D" w14:textId="7C41CDA0" w:rsidR="00C0388A" w:rsidRDefault="00C0388A" w:rsidP="00C0388A">
      <w:pPr>
        <w:pStyle w:val="BodyText"/>
        <w:rPr>
          <w:lang w:eastAsia="ko-KR"/>
        </w:rPr>
      </w:pPr>
      <w:r w:rsidRPr="00C0388A">
        <w:rPr>
          <w:lang w:eastAsia="ko-KR"/>
        </w:rPr>
        <w:t>Based on these safety standards, we aim to share the demonstration results of the battery modules designed for buoys. Furthermore, we plan to operate technical groups to revise and update the guidelines for safety standards in the future.</w:t>
      </w:r>
    </w:p>
    <w:p w14:paraId="34C4736E" w14:textId="77777777" w:rsidR="00C0388A" w:rsidRPr="00C0388A" w:rsidRDefault="00C0388A" w:rsidP="00C0388A">
      <w:pPr>
        <w:pStyle w:val="BodyText"/>
      </w:pPr>
    </w:p>
    <w:p w14:paraId="5CE9F29E" w14:textId="7BB8642F" w:rsidR="00700B02" w:rsidRPr="007A395D" w:rsidRDefault="00700B02" w:rsidP="00700B02">
      <w:pPr>
        <w:pStyle w:val="Heading1"/>
      </w:pPr>
      <w:r w:rsidRPr="007A395D">
        <w:t>References</w:t>
      </w:r>
    </w:p>
    <w:p w14:paraId="2CAC5DC6" w14:textId="64F3788C" w:rsidR="00700B02" w:rsidRPr="00700B02" w:rsidRDefault="00064C12" w:rsidP="00700B02">
      <w:pPr>
        <w:pStyle w:val="Reference"/>
        <w:rPr>
          <w:lang w:eastAsia="de-DE"/>
        </w:rPr>
      </w:pPr>
      <w:hyperlink r:id="rId15" w:history="1">
        <w:r w:rsidR="00700B02" w:rsidRPr="00143AFB">
          <w:rPr>
            <w:rStyle w:val="Hyperlink"/>
            <w:rFonts w:ascii="AppleSystemUIFont" w:eastAsiaTheme="minorEastAsia" w:hAnsi="AppleSystemUIFont" w:cs="AppleSystemUIFont"/>
            <w:sz w:val="26"/>
            <w:szCs w:val="26"/>
            <w:lang w:val="en-US"/>
            <w14:ligatures w14:val="standardContextual"/>
          </w:rPr>
          <w:t>https://edition.cnn.com/2023/03/05/us/nyc-bronx-lithium-battery-fire/index.html</w:t>
        </w:r>
      </w:hyperlink>
    </w:p>
    <w:p w14:paraId="0311CCC9" w14:textId="710B3D25" w:rsidR="00700B02" w:rsidRPr="00700B02" w:rsidRDefault="00064C12" w:rsidP="00EA4ED5">
      <w:pPr>
        <w:pStyle w:val="Reference"/>
      </w:pPr>
      <w:hyperlink r:id="rId16" w:anchor=":~:text=Spare%20%28uninstalled%29%20lithium%20metal%20batteries%20and%20lithium%20ion,be%20carried%20with%20the%20passenger%20in%20carry-on%20baggage" w:history="1">
        <w:r w:rsidR="00700B02" w:rsidRPr="00143AFB">
          <w:rPr>
            <w:rStyle w:val="Hyperlink"/>
            <w:rFonts w:ascii="AppleSystemUIFont" w:eastAsiaTheme="minorEastAsia" w:hAnsi="AppleSystemUIFont" w:cs="AppleSystemUIFont"/>
            <w:sz w:val="26"/>
            <w:szCs w:val="26"/>
            <w:lang w:val="en-US"/>
            <w14:ligatures w14:val="standardContextual"/>
          </w:rPr>
          <w:t>https://www.faa.gov/newsroom/lithium-batteries-baggage#:~:text=Spare%20%28uninstalled%29%20lithium%20metal%20batteries%20and%20lithium%20ion,be%20carried%20with%20the%20passenger%20in%20carry-on%20baggage</w:t>
        </w:r>
      </w:hyperlink>
      <w:r w:rsidR="00700B02">
        <w:rPr>
          <w:rFonts w:ascii="AppleSystemUIFont" w:eastAsiaTheme="minorEastAsia" w:hAnsi="AppleSystemUIFont" w:cs="AppleSystemUIFont"/>
          <w:sz w:val="26"/>
          <w:szCs w:val="26"/>
          <w:lang w:val="en-US"/>
          <w14:ligatures w14:val="standardContextual"/>
        </w:rPr>
        <w:t>.</w:t>
      </w:r>
    </w:p>
    <w:sectPr w:rsidR="00700B02" w:rsidRPr="00700B02" w:rsidSect="00153923">
      <w:headerReference w:type="default" r:id="rId17"/>
      <w:pgSz w:w="11906" w:h="16838"/>
      <w:pgMar w:top="1440" w:right="1111" w:bottom="1440" w:left="1014" w:header="851"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08BD03" w14:textId="77777777" w:rsidR="002C5749" w:rsidRDefault="002C5749" w:rsidP="00153923">
      <w:pPr>
        <w:spacing w:line="240" w:lineRule="auto"/>
      </w:pPr>
      <w:r>
        <w:separator/>
      </w:r>
    </w:p>
  </w:endnote>
  <w:endnote w:type="continuationSeparator" w:id="0">
    <w:p w14:paraId="02C059F6" w14:textId="77777777" w:rsidR="002C5749" w:rsidRDefault="002C5749" w:rsidP="0015392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ÇÔÃÊ·Òµ¸¿ò">
    <w:altName w:val="Calibri"/>
    <w:panose1 w:val="00000000000000000000"/>
    <w:charset w:val="00"/>
    <w:family w:val="auto"/>
    <w:notTrueType/>
    <w:pitch w:val="default"/>
    <w:sig w:usb0="00000003" w:usb1="00000000" w:usb2="00000000" w:usb3="00000000" w:csb0="00000001" w:csb1="00000000"/>
  </w:font>
  <w:font w:name="Dotum">
    <w:altName w:val="돋움"/>
    <w:panose1 w:val="020B0600000101010101"/>
    <w:charset w:val="81"/>
    <w:family w:val="swiss"/>
    <w:pitch w:val="variable"/>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ppleSystemUIFont">
    <w:altName w:val="Calibri"/>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C7E348" w14:textId="77777777" w:rsidR="002C5749" w:rsidRDefault="002C5749" w:rsidP="00153923">
      <w:pPr>
        <w:spacing w:line="240" w:lineRule="auto"/>
      </w:pPr>
      <w:r>
        <w:separator/>
      </w:r>
    </w:p>
  </w:footnote>
  <w:footnote w:type="continuationSeparator" w:id="0">
    <w:p w14:paraId="4FA5F8C2" w14:textId="77777777" w:rsidR="002C5749" w:rsidRDefault="002C5749" w:rsidP="00153923">
      <w:pPr>
        <w:spacing w:line="240" w:lineRule="auto"/>
      </w:pPr>
      <w:r>
        <w:continuationSeparator/>
      </w:r>
    </w:p>
  </w:footnote>
  <w:footnote w:id="1">
    <w:p w14:paraId="2ABAD927" w14:textId="77777777" w:rsidR="00153923" w:rsidRPr="00C02DDD" w:rsidRDefault="00153923" w:rsidP="00153923">
      <w:pPr>
        <w:pStyle w:val="FootnoteText"/>
      </w:pPr>
      <w:r w:rsidRPr="00C02DDD">
        <w:footnoteRef/>
      </w:r>
      <w:r>
        <w:t xml:space="preserve"> </w:t>
      </w:r>
      <w:r w:rsidRPr="00C02DDD">
        <w:t>Input document number, to be assigned by the Committee Secretary</w:t>
      </w:r>
    </w:p>
  </w:footnote>
  <w:footnote w:id="2">
    <w:p w14:paraId="5D2988F4" w14:textId="77777777" w:rsidR="00153923" w:rsidRPr="00037DF4" w:rsidRDefault="00153923" w:rsidP="00153923">
      <w:pPr>
        <w:pStyle w:val="FootnoteText"/>
      </w:pPr>
      <w:r w:rsidRPr="00C02DDD">
        <w:footnoteRef/>
      </w:r>
      <w:r w:rsidRPr="00037DF4">
        <w:t xml:space="preserve"> </w:t>
      </w:r>
      <w:r w:rsidRPr="00C02DDD">
        <w:t xml:space="preserve">Leave open if </w:t>
      </w:r>
      <w:proofErr w:type="gramStart"/>
      <w:r w:rsidRPr="00C02DDD">
        <w:t>uncertain</w:t>
      </w:r>
      <w:proofErr w:type="gramEnd"/>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6FAE61" w14:textId="36E10050" w:rsidR="00153923" w:rsidRDefault="00153923">
    <w:pPr>
      <w:pStyle w:val="Header"/>
    </w:pPr>
    <w:r>
      <w:rPr>
        <w:noProof/>
        <w:lang w:val="nl-NL" w:eastAsia="nl-NL"/>
      </w:rPr>
      <w:drawing>
        <wp:anchor distT="0" distB="0" distL="114300" distR="114300" simplePos="0" relativeHeight="251659264" behindDoc="0" locked="0" layoutInCell="1" allowOverlap="1" wp14:anchorId="70D5DB18" wp14:editId="43D892AE">
          <wp:simplePos x="0" y="0"/>
          <wp:positionH relativeFrom="column">
            <wp:posOffset>5867400</wp:posOffset>
          </wp:positionH>
          <wp:positionV relativeFrom="paragraph">
            <wp:posOffset>-317500</wp:posOffset>
          </wp:positionV>
          <wp:extent cx="574675" cy="560070"/>
          <wp:effectExtent l="0" t="0" r="0" b="0"/>
          <wp:wrapSquare wrapText="bothSides"/>
          <wp:docPr id="4"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402940"/>
    <w:multiLevelType w:val="hybridMultilevel"/>
    <w:tmpl w:val="5CB872FC"/>
    <w:lvl w:ilvl="0" w:tplc="04090001">
      <w:start w:val="1"/>
      <w:numFmt w:val="bullet"/>
      <w:lvlText w:val=""/>
      <w:lvlJc w:val="left"/>
      <w:pPr>
        <w:ind w:left="880" w:hanging="440"/>
      </w:pPr>
      <w:rPr>
        <w:rFonts w:ascii="Wingdings" w:hAnsi="Wingdings" w:hint="default"/>
      </w:rPr>
    </w:lvl>
    <w:lvl w:ilvl="1" w:tplc="04090003" w:tentative="1">
      <w:start w:val="1"/>
      <w:numFmt w:val="bullet"/>
      <w:lvlText w:val=""/>
      <w:lvlJc w:val="left"/>
      <w:pPr>
        <w:ind w:left="1320" w:hanging="440"/>
      </w:pPr>
      <w:rPr>
        <w:rFonts w:ascii="Wingdings" w:hAnsi="Wingdings" w:hint="default"/>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abstractNum w:abstractNumId="1"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39105C08"/>
    <w:multiLevelType w:val="hybridMultilevel"/>
    <w:tmpl w:val="DAD0216C"/>
    <w:lvl w:ilvl="0" w:tplc="04090001">
      <w:start w:val="1"/>
      <w:numFmt w:val="bullet"/>
      <w:lvlText w:val=""/>
      <w:lvlJc w:val="left"/>
      <w:pPr>
        <w:ind w:left="880" w:hanging="440"/>
      </w:pPr>
      <w:rPr>
        <w:rFonts w:ascii="Wingdings" w:hAnsi="Wingdings" w:hint="default"/>
      </w:rPr>
    </w:lvl>
    <w:lvl w:ilvl="1" w:tplc="04090003" w:tentative="1">
      <w:start w:val="1"/>
      <w:numFmt w:val="bullet"/>
      <w:lvlText w:val=""/>
      <w:lvlJc w:val="left"/>
      <w:pPr>
        <w:ind w:left="1320" w:hanging="440"/>
      </w:pPr>
      <w:rPr>
        <w:rFonts w:ascii="Wingdings" w:hAnsi="Wingdings" w:hint="default"/>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abstractNum w:abstractNumId="3" w15:restartNumberingAfterBreak="0">
    <w:nsid w:val="47B53EB6"/>
    <w:multiLevelType w:val="hybridMultilevel"/>
    <w:tmpl w:val="FF122284"/>
    <w:lvl w:ilvl="0" w:tplc="04090001">
      <w:start w:val="1"/>
      <w:numFmt w:val="bullet"/>
      <w:lvlText w:val=""/>
      <w:lvlJc w:val="left"/>
      <w:pPr>
        <w:ind w:left="880" w:hanging="440"/>
      </w:pPr>
      <w:rPr>
        <w:rFonts w:ascii="Wingdings" w:hAnsi="Wingdings" w:hint="default"/>
      </w:rPr>
    </w:lvl>
    <w:lvl w:ilvl="1" w:tplc="04090003" w:tentative="1">
      <w:start w:val="1"/>
      <w:numFmt w:val="bullet"/>
      <w:lvlText w:val=""/>
      <w:lvlJc w:val="left"/>
      <w:pPr>
        <w:ind w:left="1320" w:hanging="440"/>
      </w:pPr>
      <w:rPr>
        <w:rFonts w:ascii="Wingdings" w:hAnsi="Wingdings" w:hint="default"/>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abstractNum w:abstractNumId="4" w15:restartNumberingAfterBreak="0">
    <w:nsid w:val="67AB4D84"/>
    <w:multiLevelType w:val="multilevel"/>
    <w:tmpl w:val="FFDC463E"/>
    <w:lvl w:ilvl="0">
      <w:start w:val="1"/>
      <w:numFmt w:val="decimal"/>
      <w:pStyle w:val="Heading1"/>
      <w:lvlText w:val="%1."/>
      <w:lvlJc w:val="left"/>
      <w:pPr>
        <w:tabs>
          <w:tab w:val="num"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15:restartNumberingAfterBreak="0">
    <w:nsid w:val="6E10398A"/>
    <w:multiLevelType w:val="hybridMultilevel"/>
    <w:tmpl w:val="440E1EE4"/>
    <w:lvl w:ilvl="0" w:tplc="04090001">
      <w:start w:val="1"/>
      <w:numFmt w:val="bullet"/>
      <w:lvlText w:val=""/>
      <w:lvlJc w:val="left"/>
      <w:pPr>
        <w:ind w:left="880" w:hanging="440"/>
      </w:pPr>
      <w:rPr>
        <w:rFonts w:ascii="Wingdings" w:hAnsi="Wingdings" w:hint="default"/>
      </w:rPr>
    </w:lvl>
    <w:lvl w:ilvl="1" w:tplc="04090003" w:tentative="1">
      <w:start w:val="1"/>
      <w:numFmt w:val="bullet"/>
      <w:lvlText w:val=""/>
      <w:lvlJc w:val="left"/>
      <w:pPr>
        <w:ind w:left="1320" w:hanging="440"/>
      </w:pPr>
      <w:rPr>
        <w:rFonts w:ascii="Wingdings" w:hAnsi="Wingdings" w:hint="default"/>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abstractNum w:abstractNumId="6" w15:restartNumberingAfterBreak="0">
    <w:nsid w:val="72310E52"/>
    <w:multiLevelType w:val="hybridMultilevel"/>
    <w:tmpl w:val="0948487E"/>
    <w:lvl w:ilvl="0" w:tplc="04090001">
      <w:start w:val="1"/>
      <w:numFmt w:val="bullet"/>
      <w:lvlText w:val=""/>
      <w:lvlJc w:val="left"/>
      <w:pPr>
        <w:ind w:left="880" w:hanging="440"/>
      </w:pPr>
      <w:rPr>
        <w:rFonts w:ascii="Wingdings" w:hAnsi="Wingdings" w:hint="default"/>
      </w:rPr>
    </w:lvl>
    <w:lvl w:ilvl="1" w:tplc="04090003" w:tentative="1">
      <w:start w:val="1"/>
      <w:numFmt w:val="bullet"/>
      <w:lvlText w:val=""/>
      <w:lvlJc w:val="left"/>
      <w:pPr>
        <w:ind w:left="1320" w:hanging="440"/>
      </w:pPr>
      <w:rPr>
        <w:rFonts w:ascii="Wingdings" w:hAnsi="Wingdings" w:hint="default"/>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num w:numId="1" w16cid:durableId="1148789258">
    <w:abstractNumId w:val="4"/>
  </w:num>
  <w:num w:numId="2" w16cid:durableId="1397432405">
    <w:abstractNumId w:val="1"/>
  </w:num>
  <w:num w:numId="3" w16cid:durableId="2079399576">
    <w:abstractNumId w:val="6"/>
  </w:num>
  <w:num w:numId="4" w16cid:durableId="1808431977">
    <w:abstractNumId w:val="3"/>
  </w:num>
  <w:num w:numId="5" w16cid:durableId="1132137860">
    <w:abstractNumId w:val="2"/>
  </w:num>
  <w:num w:numId="6" w16cid:durableId="480776609">
    <w:abstractNumId w:val="0"/>
  </w:num>
  <w:num w:numId="7" w16cid:durableId="77051573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bordersDoNotSurroundHeader/>
  <w:bordersDoNotSurroundFooter/>
  <w:proofState w:grammar="clean"/>
  <w:defaultTabStop w:val="800"/>
  <w:hyphenationZone w:val="425"/>
  <w:displayHorizontalDrawingGridEvery w:val="0"/>
  <w:displayVerticalDrawingGridEvery w:val="2"/>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53923"/>
    <w:rsid w:val="00064C12"/>
    <w:rsid w:val="000D7F8C"/>
    <w:rsid w:val="00153923"/>
    <w:rsid w:val="002C5749"/>
    <w:rsid w:val="003520A9"/>
    <w:rsid w:val="0040107B"/>
    <w:rsid w:val="00405B22"/>
    <w:rsid w:val="006A3301"/>
    <w:rsid w:val="00700B02"/>
    <w:rsid w:val="008D5DF7"/>
    <w:rsid w:val="008E0A33"/>
    <w:rsid w:val="00C0388A"/>
    <w:rsid w:val="00CB0A2F"/>
    <w:rsid w:val="00EA4ED5"/>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9CAD57"/>
  <w15:chartTrackingRefBased/>
  <w15:docId w15:val="{DF12BDEE-3DCC-5047-9D88-0CB94AB3CC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Cs w:val="24"/>
        <w:lang w:val="en-US" w:bidi="ar-SA"/>
        <w14:ligatures w14:val="standardContextual"/>
      </w:rPr>
    </w:rPrDefault>
    <w:pPrDefault>
      <w:pPr>
        <w:jc w:val="both"/>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8E0A33"/>
    <w:pPr>
      <w:spacing w:line="216" w:lineRule="atLeast"/>
      <w:jc w:val="left"/>
    </w:pPr>
    <w:rPr>
      <w:rFonts w:eastAsiaTheme="minorHAnsi"/>
      <w:kern w:val="0"/>
      <w:sz w:val="18"/>
      <w:szCs w:val="22"/>
      <w:lang w:val="en-GB" w:eastAsia="en-US"/>
      <w14:ligatures w14:val="none"/>
    </w:rPr>
  </w:style>
  <w:style w:type="paragraph" w:styleId="Heading1">
    <w:name w:val="heading 1"/>
    <w:next w:val="BodyText"/>
    <w:link w:val="Heading1Char"/>
    <w:qFormat/>
    <w:rsid w:val="00153923"/>
    <w:pPr>
      <w:keepNext/>
      <w:keepLines/>
      <w:numPr>
        <w:numId w:val="1"/>
      </w:numPr>
      <w:spacing w:before="240" w:after="200" w:line="240" w:lineRule="atLeast"/>
      <w:jc w:val="left"/>
      <w:outlineLvl w:val="0"/>
    </w:pPr>
    <w:rPr>
      <w:rFonts w:ascii="Calibri" w:eastAsiaTheme="majorEastAsia" w:hAnsi="Calibri" w:cstheme="majorBidi"/>
      <w:b/>
      <w:bCs/>
      <w:caps/>
      <w:color w:val="00558C"/>
      <w:kern w:val="0"/>
      <w:sz w:val="28"/>
      <w:lang w:val="en-GB" w:eastAsia="en-US"/>
      <w14:ligatures w14:val="none"/>
    </w:rPr>
  </w:style>
  <w:style w:type="paragraph" w:styleId="Heading2">
    <w:name w:val="heading 2"/>
    <w:basedOn w:val="Heading1"/>
    <w:next w:val="BodyText"/>
    <w:link w:val="Heading2Char"/>
    <w:qFormat/>
    <w:rsid w:val="00153923"/>
    <w:pPr>
      <w:numPr>
        <w:ilvl w:val="1"/>
      </w:numPr>
      <w:ind w:right="709"/>
      <w:outlineLvl w:val="1"/>
    </w:pPr>
    <w:rPr>
      <w:bCs w:val="0"/>
      <w:sz w:val="24"/>
    </w:rPr>
  </w:style>
  <w:style w:type="paragraph" w:styleId="Heading3">
    <w:name w:val="heading 3"/>
    <w:basedOn w:val="Heading2"/>
    <w:next w:val="BodyText"/>
    <w:link w:val="Heading3Char"/>
    <w:qFormat/>
    <w:rsid w:val="00153923"/>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153923"/>
    <w:pPr>
      <w:numPr>
        <w:ilvl w:val="3"/>
      </w:numPr>
      <w:ind w:right="992"/>
      <w:outlineLvl w:val="3"/>
    </w:pPr>
    <w:rPr>
      <w:bCs w:val="0"/>
      <w:iCs/>
      <w:smallCaps w:val="0"/>
      <w:sz w:val="22"/>
    </w:rPr>
  </w:style>
  <w:style w:type="paragraph" w:styleId="Heading5">
    <w:name w:val="heading 5"/>
    <w:basedOn w:val="Heading4"/>
    <w:next w:val="Normal"/>
    <w:link w:val="Heading5Char"/>
    <w:qFormat/>
    <w:rsid w:val="00153923"/>
    <w:pPr>
      <w:numPr>
        <w:ilvl w:val="4"/>
      </w:numPr>
      <w:spacing w:before="200"/>
      <w:ind w:left="1701" w:hanging="1701"/>
      <w:outlineLvl w:val="4"/>
    </w:pPr>
    <w:rPr>
      <w:b w:val="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153923"/>
    <w:rPr>
      <w:rFonts w:ascii="Calibri" w:eastAsiaTheme="majorEastAsia" w:hAnsi="Calibri" w:cstheme="majorBidi"/>
      <w:b/>
      <w:bCs/>
      <w:caps/>
      <w:color w:val="00558C"/>
      <w:kern w:val="0"/>
      <w:sz w:val="28"/>
      <w:lang w:val="en-GB" w:eastAsia="en-US"/>
      <w14:ligatures w14:val="none"/>
    </w:rPr>
  </w:style>
  <w:style w:type="character" w:customStyle="1" w:styleId="Heading2Char">
    <w:name w:val="Heading 2 Char"/>
    <w:basedOn w:val="DefaultParagraphFont"/>
    <w:link w:val="Heading2"/>
    <w:rsid w:val="00153923"/>
    <w:rPr>
      <w:rFonts w:ascii="Calibri" w:eastAsiaTheme="majorEastAsia" w:hAnsi="Calibri" w:cstheme="majorBidi"/>
      <w:b/>
      <w:caps/>
      <w:color w:val="00558C"/>
      <w:kern w:val="0"/>
      <w:sz w:val="24"/>
      <w:lang w:val="en-GB" w:eastAsia="en-US"/>
      <w14:ligatures w14:val="none"/>
    </w:rPr>
  </w:style>
  <w:style w:type="character" w:customStyle="1" w:styleId="Heading3Char">
    <w:name w:val="Heading 3 Char"/>
    <w:basedOn w:val="DefaultParagraphFont"/>
    <w:link w:val="Heading3"/>
    <w:rsid w:val="00153923"/>
    <w:rPr>
      <w:rFonts w:ascii="Calibri" w:eastAsiaTheme="majorEastAsia" w:hAnsi="Calibri" w:cstheme="majorBidi"/>
      <w:b/>
      <w:bCs/>
      <w:smallCaps/>
      <w:color w:val="00558C"/>
      <w:kern w:val="0"/>
      <w:sz w:val="24"/>
      <w:lang w:val="en-GB" w:eastAsia="en-US"/>
      <w14:ligatures w14:val="none"/>
    </w:rPr>
  </w:style>
  <w:style w:type="character" w:customStyle="1" w:styleId="Heading4Char">
    <w:name w:val="Heading 4 Char"/>
    <w:basedOn w:val="DefaultParagraphFont"/>
    <w:link w:val="Heading4"/>
    <w:rsid w:val="00153923"/>
    <w:rPr>
      <w:rFonts w:ascii="Calibri" w:eastAsiaTheme="majorEastAsia" w:hAnsi="Calibri" w:cstheme="majorBidi"/>
      <w:b/>
      <w:iCs/>
      <w:color w:val="00558C"/>
      <w:kern w:val="0"/>
      <w:sz w:val="22"/>
      <w:lang w:val="en-GB" w:eastAsia="en-US"/>
      <w14:ligatures w14:val="none"/>
    </w:rPr>
  </w:style>
  <w:style w:type="character" w:customStyle="1" w:styleId="Heading5Char">
    <w:name w:val="Heading 5 Char"/>
    <w:basedOn w:val="DefaultParagraphFont"/>
    <w:link w:val="Heading5"/>
    <w:rsid w:val="00153923"/>
    <w:rPr>
      <w:rFonts w:ascii="Calibri" w:eastAsiaTheme="majorEastAsia" w:hAnsi="Calibri" w:cstheme="majorBidi"/>
      <w:iCs/>
      <w:color w:val="00558C"/>
      <w:kern w:val="0"/>
      <w:sz w:val="22"/>
      <w:lang w:val="en-GB" w:eastAsia="en-US"/>
      <w14:ligatures w14:val="none"/>
    </w:rPr>
  </w:style>
  <w:style w:type="paragraph" w:styleId="BodyText">
    <w:name w:val="Body Text"/>
    <w:basedOn w:val="Normal"/>
    <w:link w:val="BodyTextChar"/>
    <w:unhideWhenUsed/>
    <w:qFormat/>
    <w:rsid w:val="00153923"/>
    <w:pPr>
      <w:spacing w:after="120"/>
      <w:jc w:val="both"/>
    </w:pPr>
    <w:rPr>
      <w:sz w:val="22"/>
    </w:rPr>
  </w:style>
  <w:style w:type="character" w:customStyle="1" w:styleId="BodyTextChar">
    <w:name w:val="Body Text Char"/>
    <w:basedOn w:val="DefaultParagraphFont"/>
    <w:link w:val="BodyText"/>
    <w:rsid w:val="00153923"/>
    <w:rPr>
      <w:rFonts w:eastAsiaTheme="minorHAnsi"/>
      <w:kern w:val="0"/>
      <w:sz w:val="22"/>
      <w:szCs w:val="22"/>
      <w:lang w:val="en-GB" w:eastAsia="en-US"/>
      <w14:ligatures w14:val="none"/>
    </w:rPr>
  </w:style>
  <w:style w:type="paragraph" w:styleId="Header">
    <w:name w:val="header"/>
    <w:link w:val="HeaderChar"/>
    <w:rsid w:val="00153923"/>
    <w:pPr>
      <w:spacing w:line="240" w:lineRule="exact"/>
      <w:jc w:val="left"/>
    </w:pPr>
    <w:rPr>
      <w:rFonts w:eastAsiaTheme="minorHAnsi"/>
      <w:kern w:val="0"/>
      <w:szCs w:val="22"/>
      <w:lang w:val="en-GB" w:eastAsia="en-US"/>
      <w14:ligatures w14:val="none"/>
    </w:rPr>
  </w:style>
  <w:style w:type="character" w:customStyle="1" w:styleId="HeaderChar">
    <w:name w:val="Header Char"/>
    <w:basedOn w:val="DefaultParagraphFont"/>
    <w:link w:val="Header"/>
    <w:rsid w:val="00153923"/>
    <w:rPr>
      <w:rFonts w:eastAsiaTheme="minorHAnsi"/>
      <w:kern w:val="0"/>
      <w:szCs w:val="22"/>
      <w:lang w:val="en-GB" w:eastAsia="en-US"/>
      <w14:ligatures w14:val="none"/>
    </w:rPr>
  </w:style>
  <w:style w:type="character" w:styleId="FootnoteReference">
    <w:name w:val="footnote reference"/>
    <w:uiPriority w:val="99"/>
    <w:rsid w:val="00153923"/>
    <w:rPr>
      <w:rFonts w:asciiTheme="minorHAnsi" w:hAnsiTheme="minorHAnsi"/>
      <w:sz w:val="20"/>
      <w:vertAlign w:val="superscript"/>
    </w:rPr>
  </w:style>
  <w:style w:type="paragraph" w:styleId="FootnoteText">
    <w:name w:val="footnote text"/>
    <w:basedOn w:val="Normal"/>
    <w:link w:val="FootnoteTextChar"/>
    <w:uiPriority w:val="99"/>
    <w:unhideWhenUsed/>
    <w:rsid w:val="00153923"/>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153923"/>
    <w:rPr>
      <w:rFonts w:eastAsiaTheme="minorHAnsi"/>
      <w:kern w:val="0"/>
      <w:sz w:val="18"/>
      <w:vertAlign w:val="superscript"/>
      <w:lang w:val="en-GB" w:eastAsia="en-US"/>
      <w14:ligatures w14:val="none"/>
    </w:rPr>
  </w:style>
  <w:style w:type="paragraph" w:styleId="Footer">
    <w:name w:val="footer"/>
    <w:basedOn w:val="Normal"/>
    <w:link w:val="FooterChar"/>
    <w:uiPriority w:val="99"/>
    <w:unhideWhenUsed/>
    <w:rsid w:val="00153923"/>
    <w:pPr>
      <w:tabs>
        <w:tab w:val="center" w:pos="4513"/>
        <w:tab w:val="right" w:pos="9026"/>
      </w:tabs>
      <w:snapToGrid w:val="0"/>
    </w:pPr>
  </w:style>
  <w:style w:type="character" w:customStyle="1" w:styleId="FooterChar">
    <w:name w:val="Footer Char"/>
    <w:basedOn w:val="DefaultParagraphFont"/>
    <w:link w:val="Footer"/>
    <w:uiPriority w:val="99"/>
    <w:rsid w:val="00153923"/>
    <w:rPr>
      <w:rFonts w:eastAsiaTheme="minorHAnsi"/>
      <w:kern w:val="0"/>
      <w:sz w:val="18"/>
      <w:szCs w:val="22"/>
      <w:lang w:val="en-GB" w:eastAsia="en-US"/>
      <w14:ligatures w14:val="none"/>
    </w:rPr>
  </w:style>
  <w:style w:type="character" w:styleId="Hyperlink">
    <w:name w:val="Hyperlink"/>
    <w:basedOn w:val="DefaultParagraphFont"/>
    <w:uiPriority w:val="99"/>
    <w:unhideWhenUsed/>
    <w:rsid w:val="00700B02"/>
    <w:rPr>
      <w:color w:val="0000FF"/>
      <w:u w:val="single"/>
    </w:rPr>
  </w:style>
  <w:style w:type="paragraph" w:customStyle="1" w:styleId="Reference">
    <w:name w:val="Reference"/>
    <w:basedOn w:val="Normal"/>
    <w:qFormat/>
    <w:rsid w:val="00700B02"/>
    <w:pPr>
      <w:numPr>
        <w:numId w:val="2"/>
      </w:numPr>
      <w:spacing w:before="120" w:after="60" w:line="240" w:lineRule="auto"/>
      <w:jc w:val="both"/>
    </w:pPr>
    <w:rPr>
      <w:rFonts w:eastAsia="Times New Roman" w:cs="Times New Roman"/>
      <w:sz w:val="22"/>
      <w:szCs w:val="20"/>
    </w:rPr>
  </w:style>
  <w:style w:type="character" w:styleId="UnresolvedMention">
    <w:name w:val="Unresolved Mention"/>
    <w:basedOn w:val="DefaultParagraphFont"/>
    <w:uiPriority w:val="99"/>
    <w:semiHidden/>
    <w:unhideWhenUsed/>
    <w:rsid w:val="00700B02"/>
    <w:rPr>
      <w:color w:val="605E5C"/>
      <w:shd w:val="clear" w:color="auto" w:fill="E1DFDD"/>
    </w:rPr>
  </w:style>
  <w:style w:type="table" w:styleId="TableGrid">
    <w:name w:val="Table Grid"/>
    <w:basedOn w:val="TableNormal"/>
    <w:uiPriority w:val="39"/>
    <w:rsid w:val="00700B02"/>
    <w:pPr>
      <w:jc w:val="left"/>
    </w:pPr>
    <w:rPr>
      <w:rFonts w:eastAsiaTheme="minorHAnsi"/>
      <w:kern w:val="0"/>
      <w:sz w:val="22"/>
      <w:szCs w:val="22"/>
      <w:lang w:val="fr-FR" w:eastAsia="en-US"/>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FFFFB9FFFFD9FFFFC5FFFFC1FFFFB1FFFFDB">
    <w:name w:val="FFFFB9FFFFD9FFFFC5FFFFC1FFFFB1FFFFDB"/>
    <w:rsid w:val="0040107B"/>
    <w:pPr>
      <w:widowControl w:val="0"/>
      <w:wordWrap w:val="0"/>
      <w:autoSpaceDE w:val="0"/>
      <w:autoSpaceDN w:val="0"/>
      <w:adjustRightInd w:val="0"/>
      <w:snapToGrid w:val="0"/>
      <w:spacing w:line="384" w:lineRule="auto"/>
      <w:textAlignment w:val="baseline"/>
    </w:pPr>
    <w:rPr>
      <w:rFonts w:ascii="ÇÔÃÊ·Òµ¸¿ò" w:eastAsia="Times New Roman" w:hAnsi="ÇÔÃÊ·Òµ¸¿ò" w:cs="ÇÔÃÊ·Òµ¸¿ò"/>
      <w:strike/>
      <w:color w:val="000000"/>
      <w:kern w:val="0"/>
      <w:szCs w:val="20"/>
    </w:rPr>
  </w:style>
  <w:style w:type="paragraph" w:customStyle="1" w:styleId="MSFFFFB9FFFFD9FFFFC5FFFFC1FFFFB1FFFFDB">
    <w:name w:val="MSFFFFB9FFFFD9FFFFC5FFFFC1FFFFB1FFFFDB"/>
    <w:uiPriority w:val="2"/>
    <w:rsid w:val="0040107B"/>
    <w:pPr>
      <w:widowControl w:val="0"/>
      <w:wordWrap w:val="0"/>
      <w:autoSpaceDE w:val="0"/>
      <w:autoSpaceDN w:val="0"/>
      <w:adjustRightInd w:val="0"/>
      <w:snapToGrid w:val="0"/>
      <w:spacing w:line="288" w:lineRule="auto"/>
      <w:textAlignment w:val="baseline"/>
    </w:pPr>
    <w:rPr>
      <w:rFonts w:ascii="Dotum" w:eastAsia="Dotum" w:hAnsi="Dotum" w:cs="Dotum"/>
      <w:strike/>
      <w:color w:val="000000"/>
      <w:kern w:val="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82097973">
      <w:bodyDiv w:val="1"/>
      <w:marLeft w:val="0"/>
      <w:marRight w:val="0"/>
      <w:marTop w:val="0"/>
      <w:marBottom w:val="0"/>
      <w:divBdr>
        <w:top w:val="none" w:sz="0" w:space="0" w:color="auto"/>
        <w:left w:val="none" w:sz="0" w:space="0" w:color="auto"/>
        <w:bottom w:val="none" w:sz="0" w:space="0" w:color="auto"/>
        <w:right w:val="none" w:sz="0" w:space="0" w:color="auto"/>
      </w:divBdr>
    </w:div>
    <w:div w:id="16349422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www.faa.gov/newsroom/lithium-batteries-baggage"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hyperlink" Target="https://edition.cnn.com/2023/03/05/us/nyc-bronx-lithium-battery-fire/index.html" TargetMode="External"/><Relationship Id="rId10" Type="http://schemas.openxmlformats.org/officeDocument/2006/relationships/image" Target="media/image2.jpeg"/><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7" ma:contentTypeDescription="Create a new document." ma:contentTypeScope="" ma:versionID="04bc23b21afb3e15542592fc2993fd5f">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89db051272a094ac860014e7245cf9ef"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8308D7E-16B6-460A-8E44-60E576065433}">
  <ds:schemaRefs>
    <ds:schemaRef ds:uri="http://schemas.microsoft.com/sharepoint/v3/contenttype/forms"/>
  </ds:schemaRefs>
</ds:datastoreItem>
</file>

<file path=customXml/itemProps2.xml><?xml version="1.0" encoding="utf-8"?>
<ds:datastoreItem xmlns:ds="http://schemas.openxmlformats.org/officeDocument/2006/customXml" ds:itemID="{505D4DBC-22DE-4BD3-B638-8DE763E8326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5</Pages>
  <Words>1424</Words>
  <Characters>7835</Characters>
  <Application>Microsoft Office Word</Application>
  <DocSecurity>0</DocSecurity>
  <Lines>65</Lines>
  <Paragraphs>18</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9241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Quantum Solution </dc:creator>
  <cp:keywords/>
  <dc:description/>
  <cp:lastModifiedBy>Jaime Alvarez</cp:lastModifiedBy>
  <cp:revision>5</cp:revision>
  <dcterms:created xsi:type="dcterms:W3CDTF">2023-10-02T10:51:00Z</dcterms:created>
  <dcterms:modified xsi:type="dcterms:W3CDTF">2023-10-05T16:01:00Z</dcterms:modified>
</cp:coreProperties>
</file>