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CC4C3" w14:textId="05BCCF13" w:rsidR="00B8524F" w:rsidRDefault="00AA3BFB">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Pr>
          <w:rFonts w:ascii="Calibri" w:hAnsi="Calibri"/>
        </w:rPr>
        <w:t>ENG1</w:t>
      </w:r>
      <w:r>
        <w:rPr>
          <w:rFonts w:ascii="Calibri" w:hAnsi="Calibri" w:hint="eastAsia"/>
          <w:lang w:val="en-US" w:eastAsia="zh-CN"/>
        </w:rPr>
        <w:t>8</w:t>
      </w:r>
      <w:r>
        <w:rPr>
          <w:rFonts w:ascii="Calibri" w:hAnsi="Calibri"/>
        </w:rPr>
        <w:t>-</w:t>
      </w:r>
      <w:r w:rsidR="00A11636" w:rsidRPr="00A11636">
        <w:rPr>
          <w:rFonts w:ascii="Calibri" w:hAnsi="Calibri"/>
        </w:rPr>
        <w:t>3.2.3.1</w:t>
      </w:r>
    </w:p>
    <w:p w14:paraId="42A55E0F" w14:textId="77777777" w:rsidR="00B8524F" w:rsidRDefault="00B8524F">
      <w:pPr>
        <w:pStyle w:val="BodyText"/>
        <w:tabs>
          <w:tab w:val="left" w:pos="2835"/>
        </w:tabs>
        <w:rPr>
          <w:rFonts w:ascii="Calibri" w:hAnsi="Calibri"/>
        </w:rPr>
      </w:pPr>
    </w:p>
    <w:p w14:paraId="5D162A88" w14:textId="77777777" w:rsidR="00B8524F" w:rsidRDefault="00B8524F">
      <w:pPr>
        <w:pStyle w:val="BodyText"/>
        <w:tabs>
          <w:tab w:val="left" w:pos="2835"/>
        </w:tabs>
        <w:rPr>
          <w:rFonts w:ascii="Calibri" w:hAnsi="Calibri"/>
        </w:rPr>
      </w:pPr>
    </w:p>
    <w:p w14:paraId="366A8F61" w14:textId="77777777" w:rsidR="00B8524F" w:rsidRDefault="00AA3BFB">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10B4C43" w14:textId="77777777" w:rsidR="00B8524F" w:rsidRDefault="00AA3BFB">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rPr>
        <w:t>X</w:t>
      </w:r>
      <w:r>
        <w:rPr>
          <w:rFonts w:ascii="Calibri" w:hAnsi="Calibri" w:cs="Arial"/>
          <w:sz w:val="24"/>
          <w:szCs w:val="24"/>
        </w:rPr>
        <w:t xml:space="preserve">  Input</w:t>
      </w:r>
    </w:p>
    <w:p w14:paraId="19797FE2" w14:textId="77777777" w:rsidR="00B8524F" w:rsidRPr="00AA3BFB" w:rsidRDefault="00AA3BFB">
      <w:pPr>
        <w:pStyle w:val="BodyText"/>
        <w:tabs>
          <w:tab w:val="left" w:pos="1843"/>
        </w:tabs>
        <w:rPr>
          <w:rFonts w:ascii="Calibri" w:hAnsi="Calibri"/>
          <w:lang w:val="fr-FR"/>
        </w:rPr>
      </w:pPr>
      <w:r w:rsidRPr="00AA3BFB">
        <w:rPr>
          <w:rFonts w:ascii="Calibri" w:hAnsi="Calibri" w:cs="Arial"/>
          <w:b/>
          <w:sz w:val="24"/>
          <w:szCs w:val="24"/>
          <w:lang w:val="fr-FR"/>
        </w:rPr>
        <w:t>□</w:t>
      </w:r>
      <w:r w:rsidRPr="00AA3BFB">
        <w:rPr>
          <w:rFonts w:ascii="Calibri" w:hAnsi="Calibri" w:cs="Arial"/>
          <w:sz w:val="24"/>
          <w:szCs w:val="24"/>
          <w:lang w:val="fr-FR"/>
        </w:rPr>
        <w:t xml:space="preserve">  </w:t>
      </w:r>
      <w:r w:rsidRPr="00AA3BFB">
        <w:rPr>
          <w:rFonts w:ascii="Calibri" w:hAnsi="Calibri" w:cs="Arial"/>
          <w:lang w:val="fr-FR"/>
        </w:rPr>
        <w:t>DTEC</w:t>
      </w:r>
      <w:r w:rsidRPr="00AA3BFB">
        <w:rPr>
          <w:rFonts w:ascii="Calibri" w:hAnsi="Calibri" w:cs="Arial"/>
          <w:b/>
          <w:sz w:val="24"/>
          <w:szCs w:val="24"/>
          <w:lang w:val="fr-FR"/>
        </w:rPr>
        <w:tab/>
        <w:t>□</w:t>
      </w:r>
      <w:r w:rsidRPr="00AA3BFB">
        <w:rPr>
          <w:rFonts w:ascii="Calibri" w:hAnsi="Calibri" w:cs="Arial"/>
          <w:sz w:val="24"/>
          <w:szCs w:val="24"/>
          <w:lang w:val="fr-FR"/>
        </w:rPr>
        <w:t xml:space="preserve">  </w:t>
      </w:r>
      <w:r w:rsidRPr="00AA3BFB">
        <w:rPr>
          <w:rFonts w:ascii="Calibri" w:hAnsi="Calibri" w:cs="Arial"/>
          <w:lang w:val="fr-FR"/>
        </w:rPr>
        <w:t>VTS</w:t>
      </w:r>
      <w:r w:rsidRPr="00AA3BFB">
        <w:rPr>
          <w:rFonts w:ascii="Calibri" w:hAnsi="Calibri" w:cs="Arial"/>
          <w:sz w:val="24"/>
          <w:szCs w:val="24"/>
          <w:lang w:val="fr-FR"/>
        </w:rPr>
        <w:tab/>
      </w:r>
      <w:r w:rsidRPr="00AA3BFB">
        <w:rPr>
          <w:rFonts w:ascii="Calibri" w:hAnsi="Calibri" w:cs="Arial"/>
          <w:sz w:val="24"/>
          <w:szCs w:val="24"/>
          <w:lang w:val="fr-FR"/>
        </w:rPr>
        <w:tab/>
      </w:r>
      <w:r w:rsidRPr="00AA3BFB">
        <w:rPr>
          <w:rFonts w:ascii="Calibri" w:hAnsi="Calibri" w:cs="Arial"/>
          <w:sz w:val="24"/>
          <w:szCs w:val="24"/>
          <w:lang w:val="fr-FR"/>
        </w:rPr>
        <w:tab/>
      </w:r>
      <w:r w:rsidRPr="00AA3BFB">
        <w:rPr>
          <w:rFonts w:ascii="Calibri" w:hAnsi="Calibri" w:cs="Arial"/>
          <w:sz w:val="24"/>
          <w:szCs w:val="24"/>
          <w:lang w:val="fr-FR"/>
        </w:rPr>
        <w:tab/>
      </w:r>
      <w:r w:rsidRPr="00AA3BFB">
        <w:rPr>
          <w:rFonts w:ascii="Calibri" w:hAnsi="Calibri" w:cs="Arial"/>
          <w:sz w:val="24"/>
          <w:szCs w:val="24"/>
          <w:lang w:val="fr-FR"/>
        </w:rPr>
        <w:tab/>
      </w:r>
      <w:r w:rsidRPr="00AA3BFB">
        <w:rPr>
          <w:rFonts w:ascii="Calibri" w:hAnsi="Calibri" w:cs="Arial"/>
          <w:sz w:val="24"/>
          <w:szCs w:val="24"/>
          <w:lang w:val="fr-FR"/>
        </w:rPr>
        <w:tab/>
      </w:r>
      <w:r w:rsidRPr="00AA3BFB">
        <w:rPr>
          <w:rFonts w:ascii="Calibri" w:hAnsi="Calibri" w:cs="Arial"/>
          <w:sz w:val="24"/>
          <w:szCs w:val="24"/>
          <w:lang w:val="fr-FR"/>
        </w:rPr>
        <w:tab/>
      </w:r>
      <w:r w:rsidRPr="00AA3BFB">
        <w:rPr>
          <w:rFonts w:ascii="Calibri" w:hAnsi="Calibri" w:cs="Arial"/>
          <w:b/>
          <w:sz w:val="24"/>
          <w:szCs w:val="24"/>
          <w:lang w:val="fr-FR"/>
        </w:rPr>
        <w:t>□</w:t>
      </w:r>
      <w:r w:rsidRPr="00AA3BFB">
        <w:rPr>
          <w:rFonts w:ascii="Calibri" w:hAnsi="Calibri" w:cs="Arial"/>
          <w:sz w:val="24"/>
          <w:szCs w:val="24"/>
          <w:lang w:val="fr-FR"/>
        </w:rPr>
        <w:t xml:space="preserve">  Information</w:t>
      </w:r>
    </w:p>
    <w:p w14:paraId="652BB6E6" w14:textId="77777777" w:rsidR="00B8524F" w:rsidRPr="00AA3BFB" w:rsidRDefault="00B8524F">
      <w:pPr>
        <w:pStyle w:val="BodyText"/>
        <w:tabs>
          <w:tab w:val="left" w:pos="2835"/>
        </w:tabs>
        <w:rPr>
          <w:rFonts w:ascii="Calibri" w:hAnsi="Calibri"/>
          <w:lang w:val="fr-FR"/>
        </w:rPr>
      </w:pPr>
    </w:p>
    <w:p w14:paraId="59147F6D" w14:textId="77777777" w:rsidR="00B8524F" w:rsidRPr="00AA3BFB" w:rsidRDefault="00AA3BFB">
      <w:pPr>
        <w:pStyle w:val="BodyText"/>
        <w:tabs>
          <w:tab w:val="left" w:pos="2835"/>
        </w:tabs>
        <w:rPr>
          <w:rFonts w:ascii="Calibri" w:hAnsi="Calibri"/>
          <w:lang w:val="fr-FR" w:eastAsia="zh-CN"/>
        </w:rPr>
      </w:pPr>
      <w:r w:rsidRPr="00AA3BFB">
        <w:rPr>
          <w:rFonts w:ascii="Calibri" w:hAnsi="Calibri"/>
          <w:lang w:val="fr-FR"/>
        </w:rPr>
        <w:t xml:space="preserve">Agenda item </w:t>
      </w:r>
      <w:r>
        <w:rPr>
          <w:rStyle w:val="FootnoteReference"/>
          <w:rFonts w:ascii="Calibri" w:hAnsi="Calibri"/>
          <w:sz w:val="22"/>
          <w:vertAlign w:val="superscript"/>
        </w:rPr>
        <w:footnoteReference w:id="2"/>
      </w:r>
      <w:r w:rsidRPr="00AA3BFB">
        <w:rPr>
          <w:rFonts w:ascii="Calibri" w:hAnsi="Calibri"/>
          <w:lang w:val="fr-FR"/>
        </w:rPr>
        <w:tab/>
      </w:r>
      <w:r w:rsidRPr="00AA3BFB">
        <w:rPr>
          <w:rFonts w:ascii="Calibri" w:hAnsi="Calibri"/>
          <w:lang w:val="fr-FR"/>
        </w:rPr>
        <w:tab/>
      </w:r>
      <w:r w:rsidRPr="00AA3BFB">
        <w:rPr>
          <w:rFonts w:ascii="Calibri" w:hAnsi="Calibri"/>
          <w:lang w:val="fr-FR"/>
        </w:rPr>
        <w:tab/>
      </w:r>
      <w:r w:rsidRPr="00AA3BFB">
        <w:rPr>
          <w:rFonts w:ascii="Calibri" w:hAnsi="Calibri" w:hint="eastAsia"/>
          <w:lang w:val="fr-FR" w:eastAsia="zh-CN"/>
        </w:rPr>
        <w:t>2.6</w:t>
      </w:r>
    </w:p>
    <w:p w14:paraId="02696BB1" w14:textId="42C72E19" w:rsidR="00B8524F" w:rsidRDefault="00AA3BFB">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hAnsi="Calibri" w:hint="eastAsia"/>
        </w:rPr>
        <w:t>ENG-2.6.7</w:t>
      </w:r>
    </w:p>
    <w:p w14:paraId="215518C7" w14:textId="77777777" w:rsidR="00B8524F" w:rsidRDefault="00AA3BFB">
      <w:pPr>
        <w:pStyle w:val="BodyText"/>
        <w:tabs>
          <w:tab w:val="left" w:pos="2835"/>
        </w:tabs>
        <w:rPr>
          <w:rFonts w:ascii="Calibri" w:hAnsi="Calibri"/>
          <w:color w:val="FF0000"/>
          <w:lang w:val="en-US"/>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val="en-US" w:eastAsia="zh-CN"/>
        </w:rPr>
        <w:t>CHINA MSA</w:t>
      </w:r>
    </w:p>
    <w:p w14:paraId="58A45BF7" w14:textId="77777777" w:rsidR="00B8524F" w:rsidRDefault="00B8524F">
      <w:pPr>
        <w:pStyle w:val="BodyText"/>
        <w:tabs>
          <w:tab w:val="left" w:pos="2835"/>
        </w:tabs>
        <w:rPr>
          <w:rFonts w:ascii="Calibri" w:hAnsi="Calibri"/>
        </w:rPr>
      </w:pPr>
    </w:p>
    <w:p w14:paraId="34690320" w14:textId="77777777" w:rsidR="00B8524F" w:rsidRDefault="00AA3BFB">
      <w:pPr>
        <w:pStyle w:val="Title"/>
        <w:spacing w:after="120"/>
        <w:rPr>
          <w:rFonts w:ascii="Calibri" w:hAnsi="Calibri"/>
          <w:color w:val="0070C0"/>
          <w:lang w:val="en-US" w:eastAsia="zh-CN"/>
        </w:rPr>
      </w:pPr>
      <w:bookmarkStart w:id="0" w:name="_Hlk95240568"/>
      <w:r>
        <w:rPr>
          <w:rFonts w:ascii="Calibri" w:hAnsi="Calibri" w:hint="eastAsia"/>
          <w:color w:val="0070C0"/>
        </w:rPr>
        <w:t xml:space="preserve">Proposal for </w:t>
      </w:r>
      <w:r>
        <w:rPr>
          <w:rFonts w:ascii="Calibri" w:hAnsi="Calibri" w:hint="eastAsia"/>
          <w:color w:val="0070C0"/>
          <w:lang w:val="en-US" w:eastAsia="zh-CN"/>
        </w:rPr>
        <w:t>U</w:t>
      </w:r>
      <w:r>
        <w:rPr>
          <w:rFonts w:ascii="Calibri" w:hAnsi="Calibri" w:hint="eastAsia"/>
          <w:color w:val="0070C0"/>
        </w:rPr>
        <w:t>pdating G10</w:t>
      </w:r>
      <w:r>
        <w:rPr>
          <w:rFonts w:ascii="Calibri" w:hAnsi="Calibri" w:hint="eastAsia"/>
          <w:color w:val="0070C0"/>
          <w:lang w:val="en-US" w:eastAsia="zh-CN"/>
        </w:rPr>
        <w:t>74</w:t>
      </w:r>
      <w:r>
        <w:rPr>
          <w:rFonts w:ascii="Calibri" w:hAnsi="Calibri" w:hint="eastAsia"/>
          <w:color w:val="0070C0"/>
        </w:rPr>
        <w:t xml:space="preserve"> </w:t>
      </w:r>
      <w:r>
        <w:rPr>
          <w:rFonts w:ascii="Calibri" w:hAnsi="Calibri" w:hint="eastAsia"/>
          <w:color w:val="0070C0"/>
          <w:lang w:val="en-US" w:eastAsia="zh-CN"/>
        </w:rPr>
        <w:t xml:space="preserve"> </w:t>
      </w:r>
    </w:p>
    <w:p w14:paraId="3BA9A7C9" w14:textId="77777777" w:rsidR="00B8524F" w:rsidRDefault="00AA3BFB">
      <w:pPr>
        <w:pStyle w:val="Title"/>
        <w:spacing w:after="120"/>
        <w:rPr>
          <w:rFonts w:ascii="Calibri" w:hAnsi="Calibri"/>
          <w:i/>
          <w:iCs/>
          <w:color w:val="0070C0"/>
        </w:rPr>
      </w:pPr>
      <w:bookmarkStart w:id="1" w:name="OLE_LINK2"/>
      <w:r>
        <w:rPr>
          <w:rFonts w:ascii="Calibri" w:hAnsi="Calibri" w:hint="eastAsia"/>
          <w:i/>
          <w:iCs/>
          <w:color w:val="0070C0"/>
          <w:lang w:val="en-US" w:eastAsia="zh-CN"/>
        </w:rPr>
        <w:t xml:space="preserve">The </w:t>
      </w:r>
      <w:r>
        <w:rPr>
          <w:rFonts w:ascii="Calibri" w:hAnsi="Calibri" w:hint="eastAsia"/>
          <w:i/>
          <w:iCs/>
          <w:color w:val="0070C0"/>
        </w:rPr>
        <w:t>Branding and Marketing of Historic Lighthouses</w:t>
      </w:r>
      <w:bookmarkEnd w:id="1"/>
    </w:p>
    <w:bookmarkEnd w:id="0"/>
    <w:p w14:paraId="76969698" w14:textId="77777777" w:rsidR="00B8524F" w:rsidRDefault="00AA3BFB">
      <w:pPr>
        <w:pStyle w:val="Heading1"/>
      </w:pPr>
      <w:r>
        <w:t>Summary</w:t>
      </w:r>
    </w:p>
    <w:p w14:paraId="0A1C377D" w14:textId="2A2A4B38" w:rsidR="00B8524F" w:rsidRDefault="00AA3BFB">
      <w:pPr>
        <w:pStyle w:val="BodyText"/>
        <w:rPr>
          <w:rFonts w:ascii="Calibri" w:hAnsi="Calibri"/>
          <w:lang w:eastAsia="zh-CN"/>
        </w:rPr>
      </w:pPr>
      <w:r>
        <w:rPr>
          <w:rFonts w:ascii="Calibri" w:hAnsi="Calibri" w:hint="eastAsia"/>
          <w:lang w:eastAsia="zh-CN"/>
        </w:rPr>
        <w:t xml:space="preserve">The 78th </w:t>
      </w:r>
      <w:r>
        <w:rPr>
          <w:rFonts w:ascii="Calibri" w:hAnsi="Calibri" w:hint="eastAsia"/>
          <w:lang w:val="en-US" w:eastAsia="zh-CN"/>
        </w:rPr>
        <w:t xml:space="preserve">session </w:t>
      </w:r>
      <w:r>
        <w:rPr>
          <w:rFonts w:ascii="Calibri" w:hAnsi="Calibri" w:hint="eastAsia"/>
          <w:lang w:eastAsia="zh-CN"/>
        </w:rPr>
        <w:t xml:space="preserve">of </w:t>
      </w:r>
      <w:r>
        <w:rPr>
          <w:rFonts w:ascii="Calibri" w:hAnsi="Calibri" w:hint="eastAsia"/>
          <w:lang w:val="en-US" w:eastAsia="zh-CN"/>
        </w:rPr>
        <w:t xml:space="preserve">the </w:t>
      </w:r>
      <w:r>
        <w:rPr>
          <w:rFonts w:ascii="Calibri" w:hAnsi="Calibri" w:hint="eastAsia"/>
          <w:lang w:eastAsia="zh-CN"/>
        </w:rPr>
        <w:t xml:space="preserve">IALA Council approved the Committee work programme for the period 2023-2027, which includes the </w:t>
      </w:r>
      <w:r>
        <w:rPr>
          <w:rFonts w:ascii="Calibri" w:hAnsi="Calibri" w:hint="eastAsia"/>
          <w:lang w:val="en-US" w:eastAsia="zh-CN"/>
        </w:rPr>
        <w:t xml:space="preserve">work on updating the </w:t>
      </w:r>
      <w:r>
        <w:rPr>
          <w:rFonts w:ascii="Calibri" w:hAnsi="Calibri" w:hint="eastAsia"/>
          <w:lang w:eastAsia="zh-CN"/>
        </w:rPr>
        <w:t>G10</w:t>
      </w:r>
      <w:r>
        <w:rPr>
          <w:rFonts w:ascii="Calibri" w:hAnsi="Calibri" w:hint="eastAsia"/>
          <w:lang w:val="en-US" w:eastAsia="zh-CN"/>
        </w:rPr>
        <w:t>74</w:t>
      </w:r>
      <w:r>
        <w:rPr>
          <w:rFonts w:ascii="Calibri" w:hAnsi="Calibri" w:hint="eastAsia"/>
          <w:lang w:eastAsia="zh-CN"/>
        </w:rPr>
        <w:t xml:space="preserve"> </w:t>
      </w:r>
      <w:r>
        <w:rPr>
          <w:rFonts w:ascii="Calibri" w:hAnsi="Calibri" w:hint="eastAsia"/>
          <w:lang w:val="en-US" w:eastAsia="zh-CN"/>
        </w:rPr>
        <w:t>propos</w:t>
      </w:r>
      <w:r>
        <w:rPr>
          <w:rFonts w:ascii="Calibri" w:hAnsi="Calibri" w:hint="eastAsia"/>
          <w:lang w:eastAsia="zh-CN"/>
        </w:rPr>
        <w:t xml:space="preserve">ed by the ENG Committee. At ENG17, </w:t>
      </w:r>
      <w:bookmarkStart w:id="2" w:name="OLE_LINK6"/>
      <w:r>
        <w:rPr>
          <w:rFonts w:ascii="Calibri" w:hAnsi="Calibri" w:hint="eastAsia"/>
          <w:lang w:val="en-US" w:eastAsia="zh-CN"/>
        </w:rPr>
        <w:t xml:space="preserve">the </w:t>
      </w:r>
      <w:r>
        <w:rPr>
          <w:rFonts w:ascii="Calibri" w:hAnsi="Calibri" w:hint="eastAsia"/>
          <w:lang w:eastAsia="zh-CN"/>
        </w:rPr>
        <w:t>staff member of China MSA</w:t>
      </w:r>
      <w:r>
        <w:rPr>
          <w:rFonts w:ascii="Calibri" w:hAnsi="Calibri" w:hint="eastAsia"/>
          <w:lang w:val="en-US" w:eastAsia="zh-CN"/>
        </w:rPr>
        <w:t>, Zhenyu Guo, is</w:t>
      </w:r>
      <w:r>
        <w:rPr>
          <w:rFonts w:ascii="Calibri" w:hAnsi="Calibri" w:hint="eastAsia"/>
          <w:lang w:eastAsia="zh-CN"/>
        </w:rPr>
        <w:t xml:space="preserve"> requested to coordinate WG3 in reviewing IALA Guidance documents G1074 Ed.1 for completion by Spring 2025 (ENG20). </w:t>
      </w:r>
      <w:bookmarkEnd w:id="2"/>
      <w:r>
        <w:rPr>
          <w:rFonts w:ascii="Calibri" w:hAnsi="Calibri" w:hint="eastAsia"/>
          <w:lang w:eastAsia="zh-CN"/>
        </w:rPr>
        <w:t>According to the planned schedule, the</w:t>
      </w:r>
      <w:r>
        <w:rPr>
          <w:rFonts w:ascii="Calibri" w:hAnsi="Calibri" w:hint="eastAsia"/>
          <w:lang w:val="en-US" w:eastAsia="zh-CN"/>
        </w:rPr>
        <w:t xml:space="preserve"> </w:t>
      </w:r>
      <w:r>
        <w:rPr>
          <w:rFonts w:ascii="Calibri" w:hAnsi="Calibri" w:hint="eastAsia"/>
          <w:lang w:eastAsia="zh-CN"/>
        </w:rPr>
        <w:t>China MSA ha</w:t>
      </w:r>
      <w:r>
        <w:rPr>
          <w:rFonts w:ascii="Calibri" w:hAnsi="Calibri" w:hint="eastAsia"/>
          <w:lang w:val="en-US" w:eastAsia="zh-CN"/>
        </w:rPr>
        <w:t>s</w:t>
      </w:r>
      <w:r>
        <w:rPr>
          <w:rFonts w:ascii="Calibri" w:hAnsi="Calibri" w:hint="eastAsia"/>
          <w:lang w:eastAsia="zh-CN"/>
        </w:rPr>
        <w:t xml:space="preserve"> initial</w:t>
      </w:r>
      <w:r>
        <w:rPr>
          <w:rFonts w:ascii="Calibri" w:hAnsi="Calibri" w:hint="eastAsia"/>
          <w:lang w:val="en-US" w:eastAsia="zh-CN"/>
        </w:rPr>
        <w:t>ly</w:t>
      </w:r>
      <w:r>
        <w:rPr>
          <w:rFonts w:ascii="Calibri" w:hAnsi="Calibri" w:hint="eastAsia"/>
          <w:lang w:eastAsia="zh-CN"/>
        </w:rPr>
        <w:t xml:space="preserve"> review</w:t>
      </w:r>
      <w:r>
        <w:rPr>
          <w:rFonts w:ascii="Calibri" w:hAnsi="Calibri" w:hint="eastAsia"/>
          <w:lang w:val="en-US" w:eastAsia="zh-CN"/>
        </w:rPr>
        <w:t xml:space="preserve">ed and </w:t>
      </w:r>
      <w:r>
        <w:rPr>
          <w:rFonts w:ascii="Calibri" w:hAnsi="Calibri" w:hint="eastAsia"/>
          <w:lang w:eastAsia="zh-CN"/>
        </w:rPr>
        <w:t xml:space="preserve">supplemented the G1074 </w:t>
      </w:r>
      <w:r>
        <w:rPr>
          <w:rFonts w:ascii="Calibri" w:hAnsi="Calibri" w:hint="eastAsia"/>
          <w:b/>
          <w:bCs/>
          <w:i/>
          <w:iCs/>
          <w:lang w:val="en-US" w:eastAsia="zh-CN"/>
        </w:rPr>
        <w:t xml:space="preserve">The </w:t>
      </w:r>
      <w:r>
        <w:rPr>
          <w:rFonts w:ascii="Calibri" w:hAnsi="Calibri" w:hint="eastAsia"/>
          <w:b/>
          <w:bCs/>
          <w:i/>
          <w:iCs/>
          <w:lang w:eastAsia="zh-CN"/>
        </w:rPr>
        <w:t>Branding and Marketing of Historic Lighthouses</w:t>
      </w:r>
      <w:r>
        <w:rPr>
          <w:rFonts w:ascii="Calibri" w:hAnsi="Calibri" w:hint="eastAsia"/>
          <w:lang w:eastAsia="zh-CN"/>
        </w:rPr>
        <w:t xml:space="preserve">, resulting in a draft update for </w:t>
      </w:r>
      <w:r>
        <w:rPr>
          <w:rFonts w:ascii="Calibri" w:hAnsi="Calibri" w:hint="eastAsia"/>
          <w:lang w:eastAsia="zh-CN"/>
        </w:rPr>
        <w:t>consideration by the ENG Committee.</w:t>
      </w:r>
    </w:p>
    <w:p w14:paraId="77896A08" w14:textId="77777777" w:rsidR="00B8524F" w:rsidRDefault="00AA3BFB">
      <w:pPr>
        <w:pStyle w:val="Heading2"/>
        <w:rPr>
          <w:lang w:eastAsia="zh-CN"/>
        </w:rPr>
      </w:pPr>
      <w:r>
        <w:t>Purpose of the document</w:t>
      </w:r>
      <w:bookmarkStart w:id="3" w:name="OLE_LINK1"/>
    </w:p>
    <w:p w14:paraId="6DB5BAE0" w14:textId="77777777" w:rsidR="00B8524F" w:rsidRDefault="00AA3BFB">
      <w:pPr>
        <w:pStyle w:val="BodyText"/>
        <w:rPr>
          <w:rFonts w:ascii="Calibri" w:hAnsi="Calibri"/>
          <w:lang w:val="en-US" w:eastAsia="zh-CN"/>
        </w:rPr>
      </w:pPr>
      <w:r>
        <w:rPr>
          <w:rFonts w:ascii="Calibri" w:hAnsi="Calibri" w:hint="eastAsia"/>
          <w:lang w:val="en-US" w:eastAsia="zh-CN"/>
        </w:rPr>
        <w:t xml:space="preserve">Considering the nowadays background, technology, and culture, updating the G1074 </w:t>
      </w:r>
      <w:r>
        <w:rPr>
          <w:rFonts w:ascii="Calibri" w:hAnsi="Calibri" w:hint="eastAsia"/>
          <w:b/>
          <w:bCs/>
          <w:i/>
          <w:iCs/>
          <w:lang w:val="en-US" w:eastAsia="zh-CN"/>
        </w:rPr>
        <w:t>The Branding and Marketing of Historic Lighthouses</w:t>
      </w:r>
      <w:r>
        <w:rPr>
          <w:rFonts w:ascii="Calibri" w:hAnsi="Calibri" w:hint="eastAsia"/>
          <w:lang w:val="en-US" w:eastAsia="zh-CN"/>
        </w:rPr>
        <w:t xml:space="preserve"> aims to provide general guidance on the branding and marketing of heritage lighthouses, plus update and offer case studies from lighthouse authorities around the world.</w:t>
      </w:r>
      <w:bookmarkEnd w:id="3"/>
    </w:p>
    <w:p w14:paraId="6FCF1AE2" w14:textId="77777777" w:rsidR="00B8524F" w:rsidRDefault="00AA3BFB">
      <w:pPr>
        <w:pStyle w:val="Heading2"/>
      </w:pPr>
      <w:r>
        <w:t>Related documents</w:t>
      </w:r>
    </w:p>
    <w:p w14:paraId="77474583" w14:textId="77777777" w:rsidR="00B8524F" w:rsidRDefault="00AA3BFB">
      <w:pPr>
        <w:pStyle w:val="References"/>
        <w:rPr>
          <w:rFonts w:ascii="Calibri" w:hAnsi="Calibri"/>
          <w:lang w:eastAsia="de-DE"/>
        </w:rPr>
      </w:pPr>
      <w:r>
        <w:rPr>
          <w:rFonts w:ascii="Calibri" w:hAnsi="Calibri"/>
        </w:rPr>
        <w:t xml:space="preserve">IALA </w:t>
      </w:r>
      <w:r>
        <w:rPr>
          <w:rFonts w:ascii="Calibri" w:hAnsi="Calibri"/>
          <w:lang w:eastAsia="de-DE"/>
        </w:rPr>
        <w:t xml:space="preserve">Guideline </w:t>
      </w:r>
      <w:r>
        <w:rPr>
          <w:rFonts w:ascii="Calibri" w:hAnsi="Calibri" w:hint="eastAsia"/>
          <w:lang w:eastAsia="de-DE"/>
        </w:rPr>
        <w:t>G1</w:t>
      </w:r>
      <w:r>
        <w:rPr>
          <w:rFonts w:ascii="Calibri" w:hAnsi="Calibri" w:hint="eastAsia"/>
          <w:szCs w:val="22"/>
          <w:lang w:val="en-US" w:eastAsia="zh-CN"/>
        </w:rPr>
        <w:t xml:space="preserve">074 </w:t>
      </w:r>
      <w:r>
        <w:rPr>
          <w:rFonts w:ascii="Calibri" w:hAnsi="Calibri" w:hint="eastAsia"/>
          <w:b/>
          <w:bCs/>
          <w:i/>
          <w:iCs/>
          <w:szCs w:val="22"/>
          <w:lang w:val="en-US" w:eastAsia="zh-CN"/>
        </w:rPr>
        <w:t>The Branding and Marketing of Historic Lighthouses</w:t>
      </w:r>
    </w:p>
    <w:p w14:paraId="0442A4B6" w14:textId="77777777" w:rsidR="00B8524F" w:rsidRDefault="00AA3BFB">
      <w:pPr>
        <w:pStyle w:val="References"/>
        <w:rPr>
          <w:rFonts w:ascii="Calibri" w:hAnsi="Calibri"/>
          <w:lang w:eastAsia="de-DE"/>
        </w:rPr>
      </w:pPr>
      <w:r>
        <w:rPr>
          <w:rFonts w:ascii="Calibri" w:hAnsi="Calibri" w:hint="eastAsia"/>
        </w:rPr>
        <w:t>IALA-committee-work-programme-2023-2027</w:t>
      </w:r>
    </w:p>
    <w:p w14:paraId="0BB57FCF" w14:textId="77777777" w:rsidR="00B8524F" w:rsidRDefault="00AA3BFB">
      <w:pPr>
        <w:pStyle w:val="References"/>
        <w:rPr>
          <w:rFonts w:ascii="Calibri" w:hAnsi="Calibri"/>
          <w:b/>
          <w:bCs/>
          <w:i/>
          <w:iCs/>
          <w:lang w:eastAsia="de-DE"/>
        </w:rPr>
      </w:pPr>
      <w:r>
        <w:rPr>
          <w:rFonts w:ascii="Calibri" w:hAnsi="Calibri" w:hint="eastAsia"/>
          <w:lang w:val="en-US" w:eastAsia="zh-CN"/>
        </w:rPr>
        <w:t xml:space="preserve">IALA Recommendation  R1005 </w:t>
      </w:r>
      <w:r>
        <w:rPr>
          <w:rFonts w:ascii="Calibri" w:hAnsi="Calibri" w:hint="eastAsia"/>
          <w:b/>
          <w:bCs/>
          <w:i/>
          <w:iCs/>
          <w:lang w:val="en-US" w:eastAsia="zh-CN"/>
        </w:rPr>
        <w:t xml:space="preserve">Conserving the Built Heritage of Lighthouses and Other Aids to Navigation </w:t>
      </w:r>
    </w:p>
    <w:p w14:paraId="4CF4E9B0" w14:textId="77777777" w:rsidR="00B8524F" w:rsidRDefault="00AA3BFB">
      <w:pPr>
        <w:pStyle w:val="References"/>
        <w:rPr>
          <w:rFonts w:ascii="Calibri" w:hAnsi="Calibri"/>
          <w:lang w:eastAsia="de-DE"/>
        </w:rPr>
      </w:pPr>
      <w:r>
        <w:rPr>
          <w:rFonts w:ascii="Calibri" w:hAnsi="Calibri" w:hint="eastAsia"/>
          <w:lang w:eastAsia="de-DE"/>
        </w:rPr>
        <w:t xml:space="preserve">United Nation </w:t>
      </w:r>
      <w:r>
        <w:rPr>
          <w:rFonts w:ascii="Calibri" w:hAnsi="Calibri" w:hint="eastAsia"/>
          <w:b/>
          <w:bCs/>
          <w:i/>
          <w:iCs/>
          <w:lang w:eastAsia="de-DE"/>
        </w:rPr>
        <w:t>The Sustainable Development Goals Report 2020</w:t>
      </w:r>
    </w:p>
    <w:p w14:paraId="6AB5D555" w14:textId="77777777" w:rsidR="00B8524F" w:rsidRDefault="00AA3BFB">
      <w:pPr>
        <w:pStyle w:val="Heading1"/>
      </w:pPr>
      <w:r>
        <w:t>Background</w:t>
      </w:r>
    </w:p>
    <w:p w14:paraId="5CC61A42" w14:textId="77777777" w:rsidR="00B8524F" w:rsidRDefault="00AA3BFB">
      <w:pPr>
        <w:pStyle w:val="BodyText"/>
        <w:rPr>
          <w:rFonts w:ascii="Calibri" w:hAnsi="Calibri"/>
          <w:lang w:eastAsia="zh-CN"/>
        </w:rPr>
      </w:pPr>
      <w:r>
        <w:rPr>
          <w:rFonts w:ascii="Calibri" w:hAnsi="Calibri" w:hint="eastAsia"/>
          <w:lang w:eastAsia="zh-CN"/>
        </w:rPr>
        <w:t>In December 2009, IALA published the first edition of G1074 ,</w:t>
      </w:r>
      <w:r>
        <w:rPr>
          <w:rFonts w:ascii="Calibri" w:hAnsi="Calibri" w:hint="eastAsia"/>
          <w:lang w:eastAsia="zh-CN"/>
        </w:rPr>
        <w:t xml:space="preserve"> aimed at providing comprehensive guidance on the branding and marketing of historic lighthouse</w:t>
      </w:r>
      <w:r>
        <w:rPr>
          <w:rFonts w:ascii="Calibri" w:hAnsi="Calibri" w:hint="eastAsia"/>
          <w:lang w:val="en-US" w:eastAsia="zh-CN"/>
        </w:rPr>
        <w:t>s</w:t>
      </w:r>
      <w:r>
        <w:rPr>
          <w:rFonts w:ascii="Calibri" w:hAnsi="Calibri" w:hint="eastAsia"/>
          <w:lang w:eastAsia="zh-CN"/>
        </w:rPr>
        <w:t xml:space="preserve"> and sharing case studies from lighthouse authorities around the world. </w:t>
      </w:r>
    </w:p>
    <w:p w14:paraId="36EA43E6" w14:textId="7929B370" w:rsidR="00B8524F" w:rsidRDefault="00AA3BFB">
      <w:pPr>
        <w:pStyle w:val="BodyText"/>
        <w:rPr>
          <w:rFonts w:ascii="Calibri" w:hAnsi="Calibri"/>
          <w:lang w:eastAsia="zh-CN"/>
        </w:rPr>
      </w:pPr>
      <w:r>
        <w:rPr>
          <w:rFonts w:ascii="Calibri" w:hAnsi="Calibri" w:hint="eastAsia"/>
          <w:lang w:eastAsia="zh-CN"/>
        </w:rPr>
        <w:t>Over the past 15 years, various sectors of society have increasingly emphasized</w:t>
      </w:r>
      <w:r>
        <w:rPr>
          <w:rFonts w:ascii="Calibri" w:hAnsi="Calibri" w:hint="eastAsia"/>
          <w:lang w:val="en-US" w:eastAsia="zh-CN"/>
        </w:rPr>
        <w:t xml:space="preserve"> </w:t>
      </w:r>
      <w:r>
        <w:rPr>
          <w:rFonts w:ascii="Calibri" w:hAnsi="Calibri" w:hint="eastAsia"/>
          <w:lang w:eastAsia="zh-CN"/>
        </w:rPr>
        <w:t xml:space="preserve"> sustainab</w:t>
      </w:r>
      <w:r>
        <w:rPr>
          <w:rFonts w:ascii="Calibri" w:hAnsi="Calibri" w:hint="eastAsia"/>
          <w:lang w:val="en-US" w:eastAsia="zh-CN"/>
        </w:rPr>
        <w:t xml:space="preserve">le </w:t>
      </w:r>
      <w:r>
        <w:rPr>
          <w:rFonts w:ascii="Calibri" w:hAnsi="Calibri" w:hint="eastAsia"/>
          <w:lang w:eastAsia="zh-CN"/>
        </w:rPr>
        <w:t xml:space="preserve">development. </w:t>
      </w:r>
      <w:bookmarkStart w:id="4" w:name="OLE_LINK8"/>
      <w:r>
        <w:rPr>
          <w:rFonts w:ascii="Calibri" w:hAnsi="Calibri" w:hint="eastAsia"/>
          <w:lang w:eastAsia="zh-CN"/>
        </w:rPr>
        <w:t>Historic lighthouses, in addition to their role</w:t>
      </w:r>
      <w:r>
        <w:rPr>
          <w:rFonts w:ascii="Calibri" w:hAnsi="Calibri" w:hint="eastAsia"/>
          <w:lang w:val="en-US" w:eastAsia="zh-CN"/>
        </w:rPr>
        <w:t xml:space="preserve"> as aids to navigation</w:t>
      </w:r>
      <w:r>
        <w:rPr>
          <w:rFonts w:ascii="Calibri" w:hAnsi="Calibri" w:hint="eastAsia"/>
          <w:lang w:eastAsia="zh-CN"/>
        </w:rPr>
        <w:t xml:space="preserve">, </w:t>
      </w:r>
      <w:bookmarkEnd w:id="4"/>
      <w:r>
        <w:rPr>
          <w:rFonts w:ascii="Calibri" w:hAnsi="Calibri" w:hint="eastAsia"/>
          <w:lang w:eastAsia="zh-CN"/>
        </w:rPr>
        <w:t>have</w:t>
      </w:r>
      <w:r>
        <w:rPr>
          <w:rFonts w:ascii="Calibri" w:hAnsi="Calibri" w:hint="eastAsia"/>
          <w:lang w:val="en-US" w:eastAsia="zh-CN"/>
        </w:rPr>
        <w:t xml:space="preserve"> show</w:t>
      </w:r>
      <w:r>
        <w:rPr>
          <w:rFonts w:ascii="Calibri" w:hAnsi="Calibri" w:hint="eastAsia"/>
          <w:lang w:eastAsia="zh-CN"/>
        </w:rPr>
        <w:t xml:space="preserve">ed significant historical and </w:t>
      </w:r>
      <w:r>
        <w:rPr>
          <w:rFonts w:ascii="Calibri" w:hAnsi="Calibri" w:hint="eastAsia"/>
          <w:lang w:eastAsia="zh-CN"/>
        </w:rPr>
        <w:lastRenderedPageBreak/>
        <w:t xml:space="preserve">cultural value over time and hold great potential </w:t>
      </w:r>
      <w:r>
        <w:rPr>
          <w:rFonts w:ascii="Calibri" w:hAnsi="Calibri" w:hint="eastAsia"/>
          <w:lang w:val="en-US" w:eastAsia="zh-CN"/>
        </w:rPr>
        <w:t>in</w:t>
      </w:r>
      <w:r>
        <w:rPr>
          <w:rFonts w:ascii="Calibri" w:hAnsi="Calibri" w:hint="eastAsia"/>
          <w:lang w:eastAsia="zh-CN"/>
        </w:rPr>
        <w:t xml:space="preserve"> public awareness</w:t>
      </w:r>
      <w:r>
        <w:rPr>
          <w:rFonts w:ascii="Calibri" w:hAnsi="Calibri" w:hint="eastAsia"/>
          <w:lang w:val="en-US" w:eastAsia="zh-CN"/>
        </w:rPr>
        <w:t xml:space="preserve"> </w:t>
      </w:r>
      <w:r>
        <w:rPr>
          <w:rFonts w:ascii="Calibri" w:hAnsi="Calibri" w:hint="eastAsia"/>
          <w:lang w:eastAsia="zh-CN"/>
        </w:rPr>
        <w:t xml:space="preserve">promotion, education and </w:t>
      </w:r>
      <w:r w:rsidR="008727F7" w:rsidRPr="008727F7">
        <w:rPr>
          <w:rFonts w:ascii="Calibri" w:hAnsi="Calibri"/>
          <w:lang w:eastAsia="zh-CN"/>
        </w:rPr>
        <w:t>Publicity</w:t>
      </w:r>
      <w:r>
        <w:rPr>
          <w:rFonts w:ascii="Calibri" w:hAnsi="Calibri" w:hint="eastAsia"/>
          <w:lang w:eastAsia="zh-CN"/>
        </w:rPr>
        <w:t>. Especially today, when lighthouse authorities are urgently seeking supplemental uses to revitalize idle assets, it is necessary to re</w:t>
      </w:r>
      <w:r>
        <w:rPr>
          <w:rFonts w:ascii="Calibri" w:hAnsi="Calibri" w:hint="eastAsia"/>
          <w:lang w:val="en-US" w:eastAsia="zh-CN"/>
        </w:rPr>
        <w:t>view</w:t>
      </w:r>
      <w:r>
        <w:rPr>
          <w:rFonts w:ascii="Calibri" w:hAnsi="Calibri" w:hint="eastAsia"/>
          <w:lang w:eastAsia="zh-CN"/>
        </w:rPr>
        <w:t xml:space="preserve"> and update G1074 to enhance the relevance of the guidelines and to better serve as a reference for IALA members.</w:t>
      </w:r>
    </w:p>
    <w:p w14:paraId="543B93F0" w14:textId="77777777" w:rsidR="00B8524F" w:rsidRDefault="00AA3BFB">
      <w:pPr>
        <w:pStyle w:val="Heading1"/>
      </w:pPr>
      <w:r>
        <w:t>Discussion</w:t>
      </w:r>
    </w:p>
    <w:p w14:paraId="0CA73FAC" w14:textId="77777777" w:rsidR="00B8524F" w:rsidRDefault="00AA3BFB">
      <w:pPr>
        <w:pStyle w:val="Heading2"/>
      </w:pPr>
      <w:r>
        <w:rPr>
          <w:rFonts w:hint="eastAsia"/>
          <w:lang w:val="en-US" w:eastAsia="zh-CN"/>
        </w:rPr>
        <w:t>S</w:t>
      </w:r>
      <w:r>
        <w:rPr>
          <w:rFonts w:hint="eastAsia"/>
        </w:rPr>
        <w:t xml:space="preserve">upplement and </w:t>
      </w:r>
      <w:r>
        <w:rPr>
          <w:rFonts w:hint="eastAsia"/>
          <w:lang w:val="en-US" w:eastAsia="zh-CN"/>
        </w:rPr>
        <w:t>improvement</w:t>
      </w:r>
      <w:r>
        <w:rPr>
          <w:rFonts w:hint="eastAsia"/>
        </w:rPr>
        <w:t xml:space="preserve"> the</w:t>
      </w:r>
      <w:r>
        <w:rPr>
          <w:rFonts w:hint="eastAsia"/>
          <w:lang w:val="en-US" w:eastAsia="zh-CN"/>
        </w:rPr>
        <w:t xml:space="preserve"> Part 1 </w:t>
      </w:r>
      <w:r>
        <w:rPr>
          <w:rFonts w:hint="eastAsia"/>
          <w:lang w:val="en-US" w:eastAsia="zh-CN"/>
        </w:rPr>
        <w:t>“</w:t>
      </w:r>
      <w:r>
        <w:rPr>
          <w:rFonts w:hint="eastAsia"/>
          <w:lang w:val="en-US" w:eastAsia="zh-CN"/>
        </w:rPr>
        <w:t>Introduction</w:t>
      </w:r>
      <w:r>
        <w:rPr>
          <w:rFonts w:hint="eastAsia"/>
          <w:lang w:val="en-US" w:eastAsia="zh-CN"/>
        </w:rPr>
        <w:t>”</w:t>
      </w:r>
    </w:p>
    <w:p w14:paraId="07426907" w14:textId="77777777" w:rsidR="00B8524F" w:rsidRDefault="00AA3BFB">
      <w:pPr>
        <w:pStyle w:val="BodyText"/>
        <w:rPr>
          <w:rFonts w:ascii="Calibri" w:hAnsi="Calibri"/>
        </w:rPr>
      </w:pPr>
      <w:bookmarkStart w:id="5" w:name="OLE_LINK3"/>
      <w:r>
        <w:rPr>
          <w:rFonts w:ascii="Calibri" w:hAnsi="Calibri" w:hint="eastAsia"/>
          <w:lang w:val="en-US" w:eastAsia="zh-CN"/>
        </w:rPr>
        <w:t>According to</w:t>
      </w:r>
      <w:r>
        <w:rPr>
          <w:rFonts w:ascii="Calibri" w:hAnsi="Calibri" w:hint="eastAsia"/>
        </w:rPr>
        <w:t xml:space="preserve"> the directives of the ENG17 and considering the United Nations Sustainable Development Goa</w:t>
      </w:r>
      <w:r>
        <w:rPr>
          <w:rFonts w:ascii="Calibri" w:hAnsi="Calibri" w:hint="eastAsia"/>
          <w:lang w:val="en-US" w:eastAsia="zh-CN"/>
        </w:rPr>
        <w:t xml:space="preserve">l </w:t>
      </w:r>
      <w:r>
        <w:rPr>
          <w:rFonts w:ascii="Calibri" w:hAnsi="Calibri" w:hint="eastAsia"/>
          <w:i/>
          <w:iCs/>
          <w:lang w:val="en-US" w:eastAsia="zh-CN"/>
        </w:rPr>
        <w:t xml:space="preserve">11.4 and IALA R1005 on Conserving the Built Heritage of Lighthouses and Other Aids to Navigation, </w:t>
      </w:r>
      <w:r>
        <w:rPr>
          <w:rFonts w:ascii="Calibri" w:hAnsi="Calibri" w:hint="eastAsia"/>
          <w:lang w:val="en-US" w:eastAsia="zh-CN"/>
        </w:rPr>
        <w:t>it is necessary to augment and improve the content of the first section.</w:t>
      </w:r>
    </w:p>
    <w:bookmarkEnd w:id="5"/>
    <w:p w14:paraId="19C3E638" w14:textId="77777777" w:rsidR="00B8524F" w:rsidRDefault="00AA3BFB">
      <w:pPr>
        <w:pStyle w:val="Heading2"/>
      </w:pPr>
      <w:r>
        <w:rPr>
          <w:rFonts w:hint="eastAsia"/>
          <w:lang w:val="en-US" w:eastAsia="zh-CN"/>
        </w:rPr>
        <w:t xml:space="preserve">Summarize and supplement the part 3 </w:t>
      </w:r>
      <w:r>
        <w:rPr>
          <w:lang w:val="en-US" w:eastAsia="zh-CN"/>
        </w:rPr>
        <w:t>“</w:t>
      </w:r>
      <w:r>
        <w:rPr>
          <w:rFonts w:hint="eastAsia"/>
          <w:lang w:val="en-US" w:eastAsia="zh-CN"/>
        </w:rPr>
        <w:t>why branding and marketing?</w:t>
      </w:r>
      <w:r>
        <w:rPr>
          <w:lang w:val="en-US" w:eastAsia="zh-CN"/>
        </w:rPr>
        <w:t>”</w:t>
      </w:r>
    </w:p>
    <w:p w14:paraId="0B63C06C" w14:textId="77777777" w:rsidR="00B8524F" w:rsidRDefault="00AA3BFB">
      <w:pPr>
        <w:pStyle w:val="BodyText"/>
        <w:rPr>
          <w:rFonts w:ascii="Calibri" w:hAnsi="Calibri"/>
        </w:rPr>
      </w:pPr>
      <w:bookmarkStart w:id="6" w:name="OLE_LINK7"/>
      <w:r>
        <w:rPr>
          <w:rFonts w:ascii="Calibri" w:hAnsi="Calibri" w:hint="eastAsia"/>
        </w:rPr>
        <w:t>The first edition of Section Three, titled "</w:t>
      </w:r>
      <w:r>
        <w:rPr>
          <w:rFonts w:ascii="Calibri" w:hAnsi="Calibri" w:hint="eastAsia"/>
          <w:lang w:val="en-US" w:eastAsia="zh-CN"/>
        </w:rPr>
        <w:t>Why branding and marketing</w:t>
      </w:r>
      <w:r>
        <w:rPr>
          <w:rFonts w:ascii="Calibri" w:hAnsi="Calibri" w:hint="eastAsia"/>
        </w:rPr>
        <w:t>," encompassed five key aspects: "Promote Maritime Safety" "Raise Public Awareness" "</w:t>
      </w:r>
      <w:bookmarkStart w:id="7" w:name="OLE_LINK4"/>
      <w:r>
        <w:rPr>
          <w:rFonts w:ascii="Calibri" w:hAnsi="Calibri" w:hint="eastAsia"/>
        </w:rPr>
        <w:t>Increase Visitor Numbers</w:t>
      </w:r>
      <w:bookmarkEnd w:id="7"/>
      <w:r>
        <w:rPr>
          <w:rFonts w:ascii="Calibri" w:hAnsi="Calibri" w:hint="eastAsia"/>
        </w:rPr>
        <w:t>" "Improve Security through </w:t>
      </w:r>
      <w:r>
        <w:rPr>
          <w:rFonts w:ascii="Calibri" w:hAnsi="Calibri" w:hint="eastAsia"/>
          <w:lang w:val="en-US" w:eastAsia="zh-CN"/>
        </w:rPr>
        <w:t>A</w:t>
      </w:r>
      <w:r>
        <w:rPr>
          <w:rFonts w:ascii="Calibri" w:hAnsi="Calibri" w:hint="eastAsia"/>
        </w:rPr>
        <w:t>wareness" and "Provide Local Employment Opportunities"</w:t>
      </w:r>
      <w:r>
        <w:rPr>
          <w:rFonts w:ascii="Calibri" w:hAnsi="Calibri" w:hint="eastAsia"/>
          <w:lang w:val="en-US" w:eastAsia="zh-CN"/>
        </w:rPr>
        <w:t>.</w:t>
      </w:r>
      <w:r>
        <w:rPr>
          <w:rFonts w:ascii="Calibri" w:hAnsi="Calibri" w:hint="eastAsia"/>
        </w:rPr>
        <w:t xml:space="preserve"> Considering that the aim should </w:t>
      </w:r>
      <w:r>
        <w:rPr>
          <w:rFonts w:ascii="Calibri" w:hAnsi="Calibri" w:hint="eastAsia"/>
          <w:lang w:val="en-US" w:eastAsia="zh-CN"/>
        </w:rPr>
        <w:t>focus on</w:t>
      </w:r>
      <w:r>
        <w:rPr>
          <w:rFonts w:ascii="Calibri" w:hAnsi="Calibri" w:hint="eastAsia"/>
        </w:rPr>
        <w:t xml:space="preserve"> the lighthouse itself, maritime affairs, or the administrative and maintenance organizations responsible for the lighthouse, the general direction should</w:t>
      </w:r>
      <w:r>
        <w:rPr>
          <w:rFonts w:ascii="Calibri" w:hAnsi="Calibri" w:hint="eastAsia"/>
          <w:lang w:val="en-US" w:eastAsia="zh-CN"/>
        </w:rPr>
        <w:t xml:space="preserve"> focus on</w:t>
      </w:r>
      <w:r>
        <w:rPr>
          <w:rFonts w:ascii="Calibri" w:hAnsi="Calibri" w:hint="eastAsia"/>
        </w:rPr>
        <w:t xml:space="preserve"> the better development and preservation of the lighthouse, in accordance with the spirit</w:t>
      </w:r>
      <w:r>
        <w:rPr>
          <w:rFonts w:ascii="Calibri" w:hAnsi="Calibri" w:hint="eastAsia"/>
        </w:rPr>
        <w:t xml:space="preserve"> of the Inchon Declaration</w:t>
      </w:r>
      <w:r>
        <w:rPr>
          <w:rFonts w:ascii="Calibri" w:hAnsi="Calibri" w:hint="eastAsia"/>
          <w:lang w:val="en-US" w:eastAsia="zh-CN"/>
        </w:rPr>
        <w:t xml:space="preserve">. </w:t>
      </w:r>
      <w:r>
        <w:rPr>
          <w:rFonts w:ascii="Calibri" w:hAnsi="Calibri" w:hint="eastAsia"/>
        </w:rPr>
        <w:t>The recommendations are summarized under five headings: "Promote Maritime Safety" "</w:t>
      </w:r>
      <w:r>
        <w:rPr>
          <w:rFonts w:ascii="Calibri" w:hAnsi="Calibri" w:hint="eastAsia"/>
          <w:lang w:val="en-US" w:eastAsia="zh-CN"/>
        </w:rPr>
        <w:t>Enhance the Inheritance and  Protection of Cultural Heritage</w:t>
      </w:r>
      <w:r>
        <w:rPr>
          <w:rFonts w:ascii="Calibri" w:hAnsi="Calibri" w:hint="eastAsia"/>
        </w:rPr>
        <w:t>" "Improve Security through </w:t>
      </w:r>
      <w:r>
        <w:rPr>
          <w:rFonts w:ascii="Calibri" w:hAnsi="Calibri" w:hint="eastAsia"/>
          <w:lang w:val="en-US" w:eastAsia="zh-CN"/>
        </w:rPr>
        <w:t>A</w:t>
      </w:r>
      <w:r>
        <w:rPr>
          <w:rFonts w:ascii="Calibri" w:hAnsi="Calibri" w:hint="eastAsia"/>
        </w:rPr>
        <w:t>wareness" " Enhance Tourism Potential" and "Sustainability of Revenue and Employment Opportunities".</w:t>
      </w:r>
    </w:p>
    <w:bookmarkEnd w:id="6"/>
    <w:p w14:paraId="0CD9AD0E" w14:textId="77777777" w:rsidR="00B8524F" w:rsidRDefault="00AA3BFB">
      <w:pPr>
        <w:pStyle w:val="Heading2"/>
      </w:pPr>
      <w:r>
        <w:rPr>
          <w:rFonts w:hint="eastAsia"/>
          <w:lang w:val="en-US" w:eastAsia="zh-CN"/>
        </w:rPr>
        <w:t xml:space="preserve">Summarize and supplement the part 5 </w:t>
      </w:r>
      <w:r>
        <w:rPr>
          <w:lang w:val="en-US" w:eastAsia="zh-CN"/>
        </w:rPr>
        <w:t>“POSSIBLE VISITOR SERVICES”</w:t>
      </w:r>
    </w:p>
    <w:p w14:paraId="15D09FF2" w14:textId="77777777" w:rsidR="00B8524F" w:rsidRDefault="00AA3BFB">
      <w:pPr>
        <w:pStyle w:val="BodyText"/>
        <w:rPr>
          <w:rFonts w:ascii="Calibri" w:hAnsi="Calibri"/>
        </w:rPr>
      </w:pPr>
      <w:bookmarkStart w:id="8" w:name="_Hlk109574579"/>
      <w:r>
        <w:rPr>
          <w:rFonts w:ascii="Calibri" w:hAnsi="Calibri" w:hint="eastAsia"/>
        </w:rPr>
        <w:t>The first edition of Section Five detailed six components: "Visitor Accommodation," "Guided Tours," "Museum, Visitor Centre and Exhibition Areas," "Hosting Special Events," "</w:t>
      </w:r>
      <w:bookmarkStart w:id="9" w:name="OLE_LINK5"/>
      <w:r>
        <w:rPr>
          <w:rFonts w:ascii="Calibri" w:hAnsi="Calibri" w:hint="eastAsia"/>
        </w:rPr>
        <w:t>Café</w:t>
      </w:r>
      <w:bookmarkEnd w:id="9"/>
      <w:r>
        <w:rPr>
          <w:rFonts w:ascii="Calibri" w:hAnsi="Calibri" w:hint="eastAsia"/>
        </w:rPr>
        <w:t xml:space="preserve">," and "Gift Shop." </w:t>
      </w:r>
      <w:r>
        <w:rPr>
          <w:rFonts w:ascii="Calibri" w:hAnsi="Calibri" w:hint="eastAsia"/>
        </w:rPr>
        <w:t>​</w:t>
      </w:r>
      <w:r>
        <w:rPr>
          <w:rFonts w:ascii="Calibri" w:hAnsi="Calibri" w:hint="eastAsia"/>
        </w:rPr>
        <w:t xml:space="preserve">Considering that this chapter ought to be better generalised, and that, for instance, a lodging, a coffee-bar, may be generalised as a lodging food-service, and that not only a coffee-bar, but also a light meal, a water-bar, and other convenience stores for lodging, may be opened. Moreover, </w:t>
      </w:r>
      <w:r>
        <w:rPr>
          <w:rFonts w:ascii="Calibri" w:hAnsi="Calibri" w:hint="eastAsia"/>
          <w:lang w:val="en-US" w:eastAsia="zh-CN"/>
        </w:rPr>
        <w:t>h</w:t>
      </w:r>
      <w:r>
        <w:rPr>
          <w:rFonts w:ascii="Calibri" w:hAnsi="Calibri" w:hint="eastAsia"/>
        </w:rPr>
        <w:t xml:space="preserve">osting </w:t>
      </w:r>
      <w:r>
        <w:rPr>
          <w:rFonts w:ascii="Calibri" w:hAnsi="Calibri" w:hint="eastAsia"/>
          <w:lang w:val="en-US" w:eastAsia="zh-CN"/>
        </w:rPr>
        <w:t>s</w:t>
      </w:r>
      <w:r>
        <w:rPr>
          <w:rFonts w:ascii="Calibri" w:hAnsi="Calibri" w:hint="eastAsia"/>
        </w:rPr>
        <w:t xml:space="preserve">pecial </w:t>
      </w:r>
      <w:r>
        <w:rPr>
          <w:rFonts w:ascii="Calibri" w:hAnsi="Calibri" w:hint="eastAsia"/>
          <w:lang w:val="en-US" w:eastAsia="zh-CN"/>
        </w:rPr>
        <w:t>e</w:t>
      </w:r>
      <w:r>
        <w:rPr>
          <w:rFonts w:ascii="Calibri" w:hAnsi="Calibri" w:hint="eastAsia"/>
        </w:rPr>
        <w:t>vents should be generalized to "</w:t>
      </w:r>
      <w:bookmarkStart w:id="10" w:name="OLE_LINK25"/>
      <w:r>
        <w:rPr>
          <w:rFonts w:ascii="Calibri" w:hAnsi="Calibri" w:hint="eastAsia"/>
          <w:lang w:val="en-US" w:eastAsia="zh-CN"/>
        </w:rPr>
        <w:t>Event Venue Rental</w:t>
      </w:r>
      <w:bookmarkEnd w:id="10"/>
      <w:r>
        <w:rPr>
          <w:rFonts w:ascii="Calibri" w:hAnsi="Calibri" w:hint="eastAsia"/>
        </w:rPr>
        <w:t>," catering to individuals, organizations, or groups needing a venue for their activities. After integration, the revised conten</w:t>
      </w:r>
      <w:r>
        <w:rPr>
          <w:rFonts w:ascii="Calibri" w:hAnsi="Calibri" w:hint="eastAsia"/>
        </w:rPr>
        <w:t>t comprises five main aspects: "Accommodation and Catering Services," "Guided Tours," "Museum, Visitor Centre and Exhibition Areas," "</w:t>
      </w:r>
      <w:r>
        <w:rPr>
          <w:rFonts w:ascii="Calibri" w:hAnsi="Calibri" w:hint="eastAsia"/>
          <w:lang w:val="en-US" w:eastAsia="zh-CN"/>
        </w:rPr>
        <w:t>Event Venue Rental</w:t>
      </w:r>
      <w:r>
        <w:rPr>
          <w:rFonts w:ascii="Calibri" w:hAnsi="Calibri" w:hint="eastAsia"/>
        </w:rPr>
        <w:t>," and "Gift Shop."</w:t>
      </w:r>
    </w:p>
    <w:bookmarkEnd w:id="8"/>
    <w:p w14:paraId="7F94C0AE" w14:textId="77777777" w:rsidR="00B8524F" w:rsidRDefault="00AA3BFB">
      <w:pPr>
        <w:pStyle w:val="Heading2"/>
      </w:pPr>
      <w:r>
        <w:rPr>
          <w:rFonts w:hint="eastAsia"/>
        </w:rPr>
        <w:t xml:space="preserve"> </w:t>
      </w:r>
      <w:r>
        <w:rPr>
          <w:rFonts w:hint="eastAsia"/>
          <w:lang w:val="en-US" w:eastAsia="zh-CN"/>
        </w:rPr>
        <w:t xml:space="preserve">ADD PART 6 </w:t>
      </w:r>
      <w:r>
        <w:rPr>
          <w:lang w:val="en-US" w:eastAsia="zh-CN"/>
        </w:rPr>
        <w:t>“POTENTIAL CHALLENGES”</w:t>
      </w:r>
    </w:p>
    <w:p w14:paraId="08B0D524" w14:textId="77777777" w:rsidR="00B8524F" w:rsidRDefault="00AA3BFB">
      <w:pPr>
        <w:pStyle w:val="BodyText"/>
        <w:rPr>
          <w:rFonts w:ascii="Calibri" w:hAnsi="Calibri"/>
        </w:rPr>
      </w:pPr>
      <w:r>
        <w:rPr>
          <w:rFonts w:ascii="Calibri" w:hAnsi="Calibri" w:hint="eastAsia"/>
        </w:rPr>
        <w:t xml:space="preserve">Including a section on "Potential Challenges" in the guide is essential. When referring to and drawing upon this guide, readers should also be aware in advance of the potential difficulties, challenges and risks associated with implementing the programmatic initiatives described, in addition to understanding the objectives, strategies and services that may be offered by </w:t>
      </w:r>
      <w:r>
        <w:rPr>
          <w:rFonts w:ascii="Calibri" w:hAnsi="Calibri" w:hint="eastAsia"/>
          <w:lang w:val="en-US" w:eastAsia="zh-CN"/>
        </w:rPr>
        <w:t>historic</w:t>
      </w:r>
      <w:r>
        <w:rPr>
          <w:rFonts w:ascii="Calibri" w:hAnsi="Calibri" w:hint="eastAsia"/>
        </w:rPr>
        <w:t xml:space="preserve"> </w:t>
      </w:r>
      <w:r>
        <w:rPr>
          <w:rFonts w:ascii="Calibri" w:hAnsi="Calibri" w:hint="eastAsia"/>
          <w:lang w:val="en-US" w:eastAsia="zh-CN"/>
        </w:rPr>
        <w:t>lighthouse</w:t>
      </w:r>
      <w:r>
        <w:rPr>
          <w:rFonts w:ascii="Calibri" w:hAnsi="Calibri" w:hint="eastAsia"/>
        </w:rPr>
        <w:t xml:space="preserve"> </w:t>
      </w:r>
      <w:r>
        <w:rPr>
          <w:rFonts w:ascii="Calibri" w:hAnsi="Calibri" w:hint="eastAsia"/>
          <w:lang w:val="en-US" w:eastAsia="zh-CN"/>
        </w:rPr>
        <w:t>b</w:t>
      </w:r>
      <w:r>
        <w:rPr>
          <w:rFonts w:ascii="Calibri" w:hAnsi="Calibri" w:hint="eastAsia"/>
        </w:rPr>
        <w:t xml:space="preserve">rand </w:t>
      </w:r>
      <w:r>
        <w:rPr>
          <w:rFonts w:ascii="Calibri" w:hAnsi="Calibri" w:hint="eastAsia"/>
          <w:lang w:val="en-US" w:eastAsia="zh-CN"/>
        </w:rPr>
        <w:t>marketing</w:t>
      </w:r>
      <w:r>
        <w:rPr>
          <w:rFonts w:ascii="Calibri" w:hAnsi="Calibri" w:hint="eastAsia"/>
        </w:rPr>
        <w:t>.</w:t>
      </w:r>
    </w:p>
    <w:p w14:paraId="02ED785C" w14:textId="77777777" w:rsidR="00B8524F" w:rsidRDefault="00AA3BFB">
      <w:pPr>
        <w:pStyle w:val="BodyText"/>
        <w:rPr>
          <w:rFonts w:ascii="Calibri" w:hAnsi="Calibri"/>
        </w:rPr>
      </w:pPr>
      <w:r>
        <w:rPr>
          <w:rFonts w:ascii="Calibri" w:hAnsi="Calibri" w:hint="eastAsia"/>
        </w:rPr>
        <w:t xml:space="preserve">First, by discussing possible challenges and difficulties, the guide can provide more practical advice to assist brand managers, marketers </w:t>
      </w:r>
      <w:r>
        <w:rPr>
          <w:rFonts w:ascii="Calibri" w:hAnsi="Calibri" w:hint="eastAsia"/>
          <w:lang w:val="en-US" w:eastAsia="zh-CN"/>
        </w:rPr>
        <w:t>,</w:t>
      </w:r>
      <w:r>
        <w:rPr>
          <w:rFonts w:ascii="Calibri" w:hAnsi="Calibri" w:hint="eastAsia"/>
        </w:rPr>
        <w:t xml:space="preserve">and business decision-makers in strategy development. </w:t>
      </w:r>
    </w:p>
    <w:p w14:paraId="6B2F1053" w14:textId="77777777" w:rsidR="00B8524F" w:rsidRDefault="00AA3BFB">
      <w:pPr>
        <w:pStyle w:val="BodyText"/>
        <w:rPr>
          <w:rFonts w:ascii="Calibri" w:hAnsi="Calibri"/>
        </w:rPr>
      </w:pPr>
      <w:r>
        <w:rPr>
          <w:rFonts w:ascii="Calibri" w:hAnsi="Calibri" w:hint="eastAsia"/>
        </w:rPr>
        <w:t xml:space="preserve">Second, clearly defining these challenges helps brands take precautions to reduce risks and potential losses. </w:t>
      </w:r>
    </w:p>
    <w:p w14:paraId="0792351F" w14:textId="77777777" w:rsidR="00B8524F" w:rsidRDefault="00AA3BFB">
      <w:pPr>
        <w:pStyle w:val="BodyText"/>
        <w:rPr>
          <w:rFonts w:ascii="Calibri" w:hAnsi="Calibri"/>
        </w:rPr>
      </w:pPr>
      <w:r>
        <w:rPr>
          <w:rFonts w:ascii="Calibri" w:hAnsi="Calibri" w:hint="eastAsia"/>
        </w:rPr>
        <w:t xml:space="preserve">Third, understanding these issues can deepen their understanding of the complexities involved in brand maintenance and marketing strategy. </w:t>
      </w:r>
    </w:p>
    <w:p w14:paraId="0F0C9F23" w14:textId="77777777" w:rsidR="00B8524F" w:rsidRDefault="00AA3BFB">
      <w:pPr>
        <w:pStyle w:val="BodyText"/>
        <w:rPr>
          <w:rFonts w:ascii="Calibri" w:hAnsi="Calibri"/>
        </w:rPr>
      </w:pPr>
      <w:r>
        <w:rPr>
          <w:rFonts w:ascii="Calibri" w:hAnsi="Calibri" w:hint="eastAsia"/>
        </w:rPr>
        <w:t>Therefore, ensuring the inclusion of potential difficulties and challenges can make the content more comprehensive and provide valuable advice to the reader</w:t>
      </w:r>
      <w:r>
        <w:rPr>
          <w:rFonts w:ascii="Calibri" w:hAnsi="Calibri" w:hint="eastAsia"/>
          <w:lang w:val="en-US" w:eastAsia="zh-CN"/>
        </w:rPr>
        <w:t>s</w:t>
      </w:r>
      <w:r>
        <w:rPr>
          <w:rFonts w:ascii="Calibri" w:hAnsi="Calibri" w:hint="eastAsia"/>
        </w:rPr>
        <w:t>.</w:t>
      </w:r>
    </w:p>
    <w:p w14:paraId="7241B005" w14:textId="77777777" w:rsidR="00B8524F" w:rsidRDefault="00AA3BFB">
      <w:pPr>
        <w:pStyle w:val="Heading1"/>
      </w:pPr>
      <w:r>
        <w:rPr>
          <w:rFonts w:hint="eastAsia"/>
          <w:lang w:eastAsia="zh-CN"/>
        </w:rPr>
        <w:t>proposal</w:t>
      </w:r>
    </w:p>
    <w:p w14:paraId="5D0A9365" w14:textId="77777777" w:rsidR="00B8524F" w:rsidRDefault="00AA3BFB">
      <w:pPr>
        <w:pStyle w:val="BodyText"/>
        <w:rPr>
          <w:rFonts w:ascii="Calibri" w:hAnsi="Calibri"/>
          <w:lang w:val="en-US" w:eastAsia="zh-CN"/>
        </w:rPr>
      </w:pPr>
      <w:r>
        <w:rPr>
          <w:rFonts w:ascii="Calibri" w:hAnsi="Calibri" w:hint="eastAsia"/>
          <w:lang w:val="en-US" w:eastAsia="zh-CN"/>
        </w:rPr>
        <w:t>It is recommended that the ENG Committee review the draft  revised G1074  in the annex and provide further comments for revision.</w:t>
      </w:r>
    </w:p>
    <w:p w14:paraId="79C572F6" w14:textId="77777777" w:rsidR="00B8524F" w:rsidRDefault="00AA3BFB">
      <w:pPr>
        <w:pStyle w:val="Heading1"/>
      </w:pPr>
      <w:r>
        <w:lastRenderedPageBreak/>
        <w:t>References</w:t>
      </w:r>
    </w:p>
    <w:p w14:paraId="26D84F70" w14:textId="77777777" w:rsidR="00B8524F" w:rsidRDefault="00AA3BFB">
      <w:pPr>
        <w:pStyle w:val="References"/>
        <w:numPr>
          <w:ilvl w:val="0"/>
          <w:numId w:val="17"/>
        </w:numPr>
        <w:rPr>
          <w:rFonts w:ascii="Calibri" w:hAnsi="Calibri"/>
          <w:lang w:eastAsia="de-DE"/>
        </w:rPr>
      </w:pPr>
      <w:r>
        <w:rPr>
          <w:rFonts w:ascii="Calibri" w:hAnsi="Calibri" w:hint="eastAsia"/>
          <w:lang w:eastAsia="de-DE"/>
        </w:rPr>
        <w:t>IALA Complementary Lighthouse Use Manual</w:t>
      </w:r>
    </w:p>
    <w:p w14:paraId="536C5021" w14:textId="77777777" w:rsidR="00B8524F" w:rsidRDefault="00AA3BFB">
      <w:pPr>
        <w:pStyle w:val="Heading1"/>
      </w:pPr>
      <w:r>
        <w:t>Action requested of the Committee</w:t>
      </w:r>
    </w:p>
    <w:p w14:paraId="7D4AF706" w14:textId="77777777" w:rsidR="00B8524F" w:rsidRDefault="00AA3BFB">
      <w:pPr>
        <w:pStyle w:val="BodyText"/>
        <w:rPr>
          <w:rFonts w:ascii="Calibri" w:hAnsi="Calibri"/>
        </w:rPr>
      </w:pPr>
      <w:r>
        <w:rPr>
          <w:rFonts w:ascii="Calibri" w:hAnsi="Calibri"/>
        </w:rPr>
        <w:t xml:space="preserve">The Committee is </w:t>
      </w:r>
      <w:r>
        <w:rPr>
          <w:rFonts w:ascii="Calibri" w:hAnsi="Calibri" w:hint="eastAsia"/>
          <w:lang w:val="en-US" w:eastAsia="zh-CN"/>
        </w:rPr>
        <w:t>invit</w:t>
      </w:r>
      <w:r>
        <w:rPr>
          <w:rFonts w:ascii="Calibri" w:hAnsi="Calibri"/>
        </w:rPr>
        <w:t>ed to</w:t>
      </w:r>
      <w:r>
        <w:t xml:space="preserve"> </w:t>
      </w:r>
      <w:r>
        <w:rPr>
          <w:rFonts w:ascii="Calibri" w:hAnsi="Calibri"/>
        </w:rPr>
        <w:t>consider the</w:t>
      </w:r>
      <w:r>
        <w:rPr>
          <w:rFonts w:ascii="Calibri" w:hAnsi="Calibri" w:hint="eastAsia"/>
          <w:lang w:val="en-US" w:eastAsia="zh-CN"/>
        </w:rPr>
        <w:t xml:space="preserve"> proposal in section 4</w:t>
      </w:r>
      <w:r>
        <w:rPr>
          <w:rFonts w:ascii="Calibri" w:hAnsi="Calibri"/>
        </w:rPr>
        <w:t>, and take action as appropriate.</w:t>
      </w:r>
    </w:p>
    <w:p w14:paraId="3FF396BE" w14:textId="77777777" w:rsidR="00B8524F" w:rsidRDefault="00B8524F">
      <w:pPr>
        <w:pStyle w:val="List1"/>
        <w:numPr>
          <w:ilvl w:val="0"/>
          <w:numId w:val="0"/>
        </w:numPr>
        <w:ind w:left="567" w:hanging="567"/>
        <w:rPr>
          <w:rFonts w:ascii="Calibri" w:hAnsi="Calibri"/>
        </w:rPr>
      </w:pPr>
    </w:p>
    <w:p w14:paraId="7EEAD0B6" w14:textId="77777777" w:rsidR="00B8524F" w:rsidRDefault="00B8524F">
      <w:pPr>
        <w:rPr>
          <w:rFonts w:ascii="Calibri" w:hAnsi="Calibri"/>
        </w:rPr>
      </w:pPr>
    </w:p>
    <w:sectPr w:rsidR="00B8524F">
      <w:headerReference w:type="even" r:id="rId10"/>
      <w:headerReference w:type="default" r:id="rId11"/>
      <w:footerReference w:type="default" r:id="rId12"/>
      <w:headerReference w:type="first" r:id="rId13"/>
      <w:pgSz w:w="11906" w:h="16838"/>
      <w:pgMar w:top="709" w:right="992" w:bottom="1134"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51CFC" w14:textId="77777777" w:rsidR="0060693F" w:rsidRDefault="0060693F">
      <w:r>
        <w:separator/>
      </w:r>
    </w:p>
  </w:endnote>
  <w:endnote w:type="continuationSeparator" w:id="0">
    <w:p w14:paraId="6059F72F" w14:textId="77777777" w:rsidR="0060693F" w:rsidRDefault="0060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MS Mincho">
    <w:altName w:val="ＭＳ 明朝"/>
    <w:panose1 w:val="02020609040205080304"/>
    <w:charset w:val="80"/>
    <w:family w:val="modern"/>
    <w:pitch w:val="default"/>
    <w:sig w:usb0="00000000" w:usb1="00000000" w:usb2="00000012" w:usb3="00000000" w:csb0="4002009F" w:csb1="DFD7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4100" w14:textId="77777777" w:rsidR="00B8524F" w:rsidRDefault="00AA3BFB">
    <w:pPr>
      <w:pStyle w:val="Footer"/>
      <w:rPr>
        <w:rFonts w:ascii="Calibri" w:hAnsi="Calibri"/>
      </w:rPr>
    </w:pPr>
    <w:r>
      <w:rPr>
        <w:rFonts w:ascii="Calibri" w:hAnsi="Calibri" w:hint="eastAsia"/>
        <w:sz w:val="20"/>
        <w:szCs w:val="20"/>
      </w:rPr>
      <w:t xml:space="preserve">Proposal for </w:t>
    </w:r>
    <w:r>
      <w:rPr>
        <w:rFonts w:ascii="Calibri" w:hAnsi="Calibri" w:hint="eastAsia"/>
        <w:sz w:val="20"/>
        <w:szCs w:val="20"/>
        <w:lang w:val="en-US" w:eastAsia="zh-CN"/>
      </w:rPr>
      <w:t>U</w:t>
    </w:r>
    <w:r>
      <w:rPr>
        <w:rFonts w:ascii="Calibri" w:hAnsi="Calibri" w:hint="eastAsia"/>
        <w:sz w:val="20"/>
        <w:szCs w:val="20"/>
      </w:rPr>
      <w:t>pdating G10</w:t>
    </w:r>
    <w:r>
      <w:rPr>
        <w:rFonts w:ascii="Calibri" w:hAnsi="Calibri" w:hint="eastAsia"/>
        <w:sz w:val="20"/>
        <w:szCs w:val="20"/>
        <w:lang w:val="en-US" w:eastAsia="zh-CN"/>
      </w:rPr>
      <w:t>74</w:t>
    </w:r>
    <w:r>
      <w:rPr>
        <w:rFonts w:ascii="Calibri" w:hAnsi="Calibri" w:hint="eastAsia"/>
        <w:b/>
        <w:bCs/>
        <w:i/>
        <w:iCs/>
        <w:sz w:val="20"/>
        <w:szCs w:val="20"/>
        <w:lang w:val="en-US" w:eastAsia="zh-CN"/>
      </w:rPr>
      <w:t xml:space="preserve"> </w:t>
    </w:r>
    <w:bookmarkStart w:id="11" w:name="OLE_LINK9"/>
    <w:r>
      <w:rPr>
        <w:rFonts w:ascii="Calibri" w:hAnsi="Calibri" w:hint="eastAsia"/>
        <w:b/>
        <w:bCs/>
        <w:i/>
        <w:iCs/>
        <w:sz w:val="20"/>
        <w:szCs w:val="20"/>
        <w:lang w:val="en-US" w:eastAsia="zh-CN"/>
      </w:rPr>
      <w:t xml:space="preserve">The </w:t>
    </w:r>
    <w:r>
      <w:rPr>
        <w:rFonts w:ascii="Calibri" w:hAnsi="Calibri" w:hint="eastAsia"/>
        <w:b/>
        <w:bCs/>
        <w:i/>
        <w:iCs/>
        <w:sz w:val="20"/>
        <w:szCs w:val="20"/>
      </w:rPr>
      <w:t>Branding and Marketing of Historic Lighthouses</w:t>
    </w:r>
    <w:bookmarkEnd w:id="11"/>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EA622" w14:textId="77777777" w:rsidR="0060693F" w:rsidRDefault="0060693F">
      <w:r>
        <w:separator/>
      </w:r>
    </w:p>
  </w:footnote>
  <w:footnote w:type="continuationSeparator" w:id="0">
    <w:p w14:paraId="0A8BC6E0" w14:textId="77777777" w:rsidR="0060693F" w:rsidRDefault="0060693F">
      <w:r>
        <w:continuationSeparator/>
      </w:r>
    </w:p>
  </w:footnote>
  <w:footnote w:id="1">
    <w:p w14:paraId="162A47EB" w14:textId="77777777" w:rsidR="00B8524F" w:rsidRDefault="00AA3BFB">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6F15B58B" w14:textId="77777777" w:rsidR="00B8524F" w:rsidRDefault="00AA3BFB">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882C5" w14:textId="77777777" w:rsidR="00B8524F" w:rsidRDefault="00AA3BFB">
    <w:pPr>
      <w:pStyle w:val="Header"/>
    </w:pPr>
    <w:r>
      <w:pict w14:anchorId="743C31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6" type="#_x0000_t136" style="position:absolute;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B7CDD" w14:textId="77777777" w:rsidR="00B8524F" w:rsidRDefault="00AA3BFB">
    <w:pPr>
      <w:pStyle w:val="Header"/>
      <w:jc w:val="right"/>
    </w:pPr>
    <w:r>
      <w:rPr>
        <w:noProof/>
      </w:rPr>
      <w:drawing>
        <wp:anchor distT="0" distB="0" distL="114300" distR="114300" simplePos="0" relativeHeight="251656704" behindDoc="0" locked="0" layoutInCell="1" allowOverlap="1" wp14:anchorId="44525EBA" wp14:editId="2708E541">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p w14:paraId="7C11E0FB" w14:textId="77777777" w:rsidR="00B8524F" w:rsidRDefault="00B8524F">
    <w:pPr>
      <w:pStyle w:val="Header"/>
      <w:jc w:val="right"/>
    </w:pPr>
  </w:p>
  <w:p w14:paraId="54F0EDF3" w14:textId="77777777" w:rsidR="00B8524F" w:rsidRDefault="00AA3BFB">
    <w:pPr>
      <w:pStyle w:val="Header"/>
      <w:jc w:val="right"/>
    </w:pPr>
    <w:r>
      <w:pict w14:anchorId="1B4FC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7" type="#_x0000_t136" style="position:absolute;left:0;text-align:left;margin-left:0;margin-top:0;width:623.85pt;height:65.65pt;rotation:315;z-index:-251656704;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03B6" w14:textId="77777777" w:rsidR="00B8524F" w:rsidRDefault="00AA3BFB">
    <w:pPr>
      <w:pStyle w:val="Header"/>
      <w:jc w:val="center"/>
    </w:pPr>
    <w:r>
      <w:rPr>
        <w:noProof/>
        <w:lang w:val="en-US" w:eastAsia="zh-CN"/>
      </w:rPr>
      <w:drawing>
        <wp:anchor distT="0" distB="0" distL="114300" distR="114300" simplePos="0" relativeHeight="251655680" behindDoc="0" locked="0" layoutInCell="1" allowOverlap="1" wp14:anchorId="5E87BEC9" wp14:editId="18AF1078">
          <wp:simplePos x="0" y="0"/>
          <wp:positionH relativeFrom="column">
            <wp:posOffset>2522855</wp:posOffset>
          </wp:positionH>
          <wp:positionV relativeFrom="paragraph">
            <wp:posOffset>-404495</wp:posOffset>
          </wp:positionV>
          <wp:extent cx="852805" cy="831215"/>
          <wp:effectExtent l="0" t="0" r="31" b="29"/>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pic:cNvPicPr>
                </pic:nvPicPr>
                <pic:blipFill>
                  <a:blip r:embed="rId1"/>
                  <a:stretch>
                    <a:fillRect/>
                  </a:stretch>
                </pic:blipFill>
                <pic:spPr>
                  <a:xfrm>
                    <a:off x="0" y="0"/>
                    <a:ext cx="852710" cy="831071"/>
                  </a:xfrm>
                  <a:prstGeom prst="rect">
                    <a:avLst/>
                  </a:prstGeom>
                  <a:noFill/>
                  <a:ln w="9525" cap="flat" cmpd="sng">
                    <a:noFill/>
                    <a:prstDash val="solid"/>
                    <a:miter/>
                  </a:ln>
                </pic:spPr>
              </pic:pic>
            </a:graphicData>
          </a:graphic>
        </wp:anchor>
      </w:drawing>
    </w:r>
  </w:p>
  <w:p w14:paraId="1B2C3E4D" w14:textId="77777777" w:rsidR="00B8524F" w:rsidRDefault="00B8524F">
    <w:pPr>
      <w:pStyle w:val="Header"/>
      <w:jc w:val="center"/>
    </w:pPr>
  </w:p>
  <w:p w14:paraId="0B5EDA01" w14:textId="77777777" w:rsidR="00B8524F" w:rsidRDefault="00AA3BFB">
    <w:pPr>
      <w:pStyle w:val="Header"/>
      <w:jc w:val="center"/>
    </w:pPr>
    <w:r>
      <w:pict w14:anchorId="0F179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25" type="#_x0000_t136" style="position:absolute;left:0;text-align:left;margin-left:0;margin-top:0;width:623.85pt;height:65.65pt;rotation:315;z-index:-251658752;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8CA35F"/>
    <w:multiLevelType w:val="multilevel"/>
    <w:tmpl w:val="F68CA35F"/>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10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9"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0"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55ABF2FD"/>
    <w:multiLevelType w:val="multilevel"/>
    <w:tmpl w:val="55ABF2FD"/>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100"/>
        <w:kern w:val="0"/>
        <w:position w:val="0"/>
        <w:sz w:val="2"/>
        <w:szCs w:val="2"/>
        <w:u w:val="none" w:color="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769346E0"/>
    <w:multiLevelType w:val="multilevel"/>
    <w:tmpl w:val="769346E0"/>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num w:numId="1" w16cid:durableId="59669219">
    <w:abstractNumId w:val="15"/>
  </w:num>
  <w:num w:numId="2" w16cid:durableId="1813907453">
    <w:abstractNumId w:val="12"/>
  </w:num>
  <w:num w:numId="3" w16cid:durableId="1648584915">
    <w:abstractNumId w:val="7"/>
  </w:num>
  <w:num w:numId="4" w16cid:durableId="1305627046">
    <w:abstractNumId w:val="2"/>
  </w:num>
  <w:num w:numId="5" w16cid:durableId="325674905">
    <w:abstractNumId w:val="14"/>
  </w:num>
  <w:num w:numId="6" w16cid:durableId="167527948">
    <w:abstractNumId w:val="9"/>
  </w:num>
  <w:num w:numId="7" w16cid:durableId="798719579">
    <w:abstractNumId w:val="8"/>
  </w:num>
  <w:num w:numId="8" w16cid:durableId="1732540879">
    <w:abstractNumId w:val="6"/>
  </w:num>
  <w:num w:numId="9" w16cid:durableId="2024279123">
    <w:abstractNumId w:val="13"/>
  </w:num>
  <w:num w:numId="10" w16cid:durableId="140705998">
    <w:abstractNumId w:val="0"/>
  </w:num>
  <w:num w:numId="11" w16cid:durableId="1231774560">
    <w:abstractNumId w:val="10"/>
  </w:num>
  <w:num w:numId="12" w16cid:durableId="606620719">
    <w:abstractNumId w:val="11"/>
  </w:num>
  <w:num w:numId="13" w16cid:durableId="518394028">
    <w:abstractNumId w:val="4"/>
  </w:num>
  <w:num w:numId="14" w16cid:durableId="241840567">
    <w:abstractNumId w:val="5"/>
  </w:num>
  <w:num w:numId="15" w16cid:durableId="1165323722">
    <w:abstractNumId w:val="1"/>
  </w:num>
  <w:num w:numId="16" w16cid:durableId="1054889831">
    <w:abstractNumId w:val="3"/>
  </w:num>
  <w:num w:numId="17" w16cid:durableId="2048213441">
    <w:abstractNumId w:val="11"/>
    <w:lvlOverride w:ilvl="0">
      <w:startOverride w:val="1"/>
      <w:lvl w:ilvl="0">
        <w:start w:val="1"/>
        <w:numFmt w:val="decimal"/>
        <w:pStyle w:val="References"/>
        <w:lvlText w:val="[%1]"/>
        <w:lvlJc w:val="left"/>
        <w:pPr>
          <w:tabs>
            <w:tab w:val="left" w:pos="567"/>
          </w:tabs>
          <w:ind w:left="567" w:hanging="567"/>
        </w:pPr>
        <w:rPr>
          <w:rFonts w:ascii="Arial" w:hAnsi="Arial" w:hint="default"/>
          <w:b w:val="0"/>
          <w:i w:val="0"/>
          <w:sz w:val="22"/>
        </w:rPr>
      </w:lvl>
    </w:lvlOverride>
    <w:lvlOverride w:ilvl="1">
      <w:startOverride w:val="1"/>
      <w:lvl w:ilvl="1" w:tentative="1">
        <w:start w:val="1"/>
        <w:numFmt w:val="lowerLetter"/>
        <w:lvlText w:val="%2."/>
        <w:lvlJc w:val="left"/>
        <w:pPr>
          <w:ind w:left="1440" w:hanging="360"/>
        </w:pPr>
        <w:rPr>
          <w:rFonts w:hint="default"/>
        </w:rPr>
      </w:lvl>
    </w:lvlOverride>
    <w:lvlOverride w:ilvl="2">
      <w:startOverride w:val="1"/>
      <w:lvl w:ilvl="2" w:tentative="1">
        <w:start w:val="1"/>
        <w:numFmt w:val="lowerRoman"/>
        <w:lvlText w:val="%3."/>
        <w:lvlJc w:val="right"/>
        <w:pPr>
          <w:ind w:left="2160" w:hanging="180"/>
        </w:pPr>
        <w:rPr>
          <w:rFonts w:hint="default"/>
        </w:rPr>
      </w:lvl>
    </w:lvlOverride>
    <w:lvlOverride w:ilvl="3">
      <w:startOverride w:val="1"/>
      <w:lvl w:ilvl="3" w:tentative="1">
        <w:start w:val="1"/>
        <w:numFmt w:val="decimal"/>
        <w:lvlText w:val="%4."/>
        <w:lvlJc w:val="left"/>
        <w:pPr>
          <w:ind w:left="2880" w:hanging="360"/>
        </w:pPr>
        <w:rPr>
          <w:rFonts w:hint="default"/>
        </w:rPr>
      </w:lvl>
    </w:lvlOverride>
    <w:lvlOverride w:ilvl="4">
      <w:startOverride w:val="1"/>
      <w:lvl w:ilvl="4" w:tentative="1">
        <w:start w:val="1"/>
        <w:numFmt w:val="lowerLetter"/>
        <w:lvlText w:val="%5."/>
        <w:lvlJc w:val="left"/>
        <w:pPr>
          <w:ind w:left="3600" w:hanging="360"/>
        </w:pPr>
        <w:rPr>
          <w:rFonts w:hint="default"/>
        </w:rPr>
      </w:lvl>
    </w:lvlOverride>
    <w:lvlOverride w:ilvl="5">
      <w:startOverride w:val="1"/>
      <w:lvl w:ilvl="5" w:tentative="1">
        <w:start w:val="1"/>
        <w:numFmt w:val="lowerRoman"/>
        <w:lvlText w:val="%6."/>
        <w:lvlJc w:val="right"/>
        <w:pPr>
          <w:ind w:left="4320" w:hanging="180"/>
        </w:pPr>
        <w:rPr>
          <w:rFonts w:hint="default"/>
        </w:rPr>
      </w:lvl>
    </w:lvlOverride>
    <w:lvlOverride w:ilvl="6">
      <w:startOverride w:val="1"/>
      <w:lvl w:ilvl="6" w:tentative="1">
        <w:start w:val="1"/>
        <w:numFmt w:val="decimal"/>
        <w:lvlText w:val="%7."/>
        <w:lvlJc w:val="left"/>
        <w:pPr>
          <w:ind w:left="5040" w:hanging="360"/>
        </w:pPr>
        <w:rPr>
          <w:rFonts w:hint="default"/>
        </w:rPr>
      </w:lvl>
    </w:lvlOverride>
    <w:lvlOverride w:ilvl="7">
      <w:startOverride w:val="1"/>
      <w:lvl w:ilvl="7" w:tentative="1">
        <w:start w:val="1"/>
        <w:numFmt w:val="lowerLetter"/>
        <w:lvlText w:val="%8."/>
        <w:lvlJc w:val="left"/>
        <w:pPr>
          <w:ind w:left="5760" w:hanging="360"/>
        </w:pPr>
        <w:rPr>
          <w:rFonts w:hint="default"/>
        </w:rPr>
      </w:lvl>
    </w:lvlOverride>
    <w:lvlOverride w:ilvl="8">
      <w:startOverride w:val="1"/>
      <w:lvl w:ilvl="8" w:tentative="1">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defaultTabStop w:val="720"/>
  <w:drawingGridHorizontalSpacing w:val="120"/>
  <w:drawingGridVerticalSpacing w:val="156"/>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G1NDKxAFImFmbm5ko6SsGpxcWZ+XkgBca1APu2T4IsAAAA"/>
    <w:docVar w:name="commondata" w:val="eyJoZGlkIjoiYjE3MjAxNDNmYTQyMzQzNjY1MWUzNjUzZGMyNmUxYjAifQ=="/>
  </w:docVars>
  <w:rsids>
    <w:rsidRoot w:val="00093500"/>
    <w:rsid w:val="EEF5E4F2"/>
    <w:rsid w:val="FC3CA344"/>
    <w:rsid w:val="00093500"/>
    <w:rsid w:val="00132D15"/>
    <w:rsid w:val="00181C44"/>
    <w:rsid w:val="001D525D"/>
    <w:rsid w:val="002D5E70"/>
    <w:rsid w:val="00356A98"/>
    <w:rsid w:val="003E5421"/>
    <w:rsid w:val="004263C5"/>
    <w:rsid w:val="004763AC"/>
    <w:rsid w:val="0060693F"/>
    <w:rsid w:val="006C2D7A"/>
    <w:rsid w:val="008727F7"/>
    <w:rsid w:val="008D0798"/>
    <w:rsid w:val="00971ABD"/>
    <w:rsid w:val="009A5857"/>
    <w:rsid w:val="009E1F32"/>
    <w:rsid w:val="00A11636"/>
    <w:rsid w:val="00A13D79"/>
    <w:rsid w:val="00AA3BFB"/>
    <w:rsid w:val="00AC715B"/>
    <w:rsid w:val="00AF5286"/>
    <w:rsid w:val="00B23EA6"/>
    <w:rsid w:val="00B8524F"/>
    <w:rsid w:val="00BD7F0F"/>
    <w:rsid w:val="00FA00A3"/>
    <w:rsid w:val="01385663"/>
    <w:rsid w:val="01A92E1E"/>
    <w:rsid w:val="01D2356F"/>
    <w:rsid w:val="050B0DDC"/>
    <w:rsid w:val="051B1B2C"/>
    <w:rsid w:val="05BB7389"/>
    <w:rsid w:val="062736E9"/>
    <w:rsid w:val="06CD15B7"/>
    <w:rsid w:val="08C03982"/>
    <w:rsid w:val="09C46BCE"/>
    <w:rsid w:val="0A1C01FE"/>
    <w:rsid w:val="0B19002B"/>
    <w:rsid w:val="0B50723E"/>
    <w:rsid w:val="0C303EBC"/>
    <w:rsid w:val="0D8D29CB"/>
    <w:rsid w:val="0E3B64D8"/>
    <w:rsid w:val="10401F77"/>
    <w:rsid w:val="11E507BB"/>
    <w:rsid w:val="13082AF4"/>
    <w:rsid w:val="13A927D9"/>
    <w:rsid w:val="14472460"/>
    <w:rsid w:val="146849D4"/>
    <w:rsid w:val="156C41D2"/>
    <w:rsid w:val="173C3778"/>
    <w:rsid w:val="190B50EC"/>
    <w:rsid w:val="1A2A5DFF"/>
    <w:rsid w:val="1AA808C6"/>
    <w:rsid w:val="1C8C007A"/>
    <w:rsid w:val="1F0B262C"/>
    <w:rsid w:val="1FF24910"/>
    <w:rsid w:val="232E1241"/>
    <w:rsid w:val="249935AC"/>
    <w:rsid w:val="25407671"/>
    <w:rsid w:val="26344B1D"/>
    <w:rsid w:val="26CC288A"/>
    <w:rsid w:val="290240C7"/>
    <w:rsid w:val="29F51284"/>
    <w:rsid w:val="2A5C125D"/>
    <w:rsid w:val="2A6A04EC"/>
    <w:rsid w:val="2B0379D1"/>
    <w:rsid w:val="2BB8694C"/>
    <w:rsid w:val="2C9B6FCB"/>
    <w:rsid w:val="2CBE44F7"/>
    <w:rsid w:val="2D9F1453"/>
    <w:rsid w:val="2F9515A6"/>
    <w:rsid w:val="2FF666FB"/>
    <w:rsid w:val="300B0F67"/>
    <w:rsid w:val="305D5DD5"/>
    <w:rsid w:val="32C578F7"/>
    <w:rsid w:val="32CA412A"/>
    <w:rsid w:val="35835426"/>
    <w:rsid w:val="36460CC3"/>
    <w:rsid w:val="368608FD"/>
    <w:rsid w:val="36EF6FE9"/>
    <w:rsid w:val="390908A8"/>
    <w:rsid w:val="3934169D"/>
    <w:rsid w:val="394B2D48"/>
    <w:rsid w:val="3A3E3FEE"/>
    <w:rsid w:val="3B3A7AEB"/>
    <w:rsid w:val="3D5D52E5"/>
    <w:rsid w:val="3DC35C72"/>
    <w:rsid w:val="3E423D93"/>
    <w:rsid w:val="3F300699"/>
    <w:rsid w:val="41C7226F"/>
    <w:rsid w:val="4377564F"/>
    <w:rsid w:val="437C6A59"/>
    <w:rsid w:val="43EF21F8"/>
    <w:rsid w:val="442567B2"/>
    <w:rsid w:val="44617353"/>
    <w:rsid w:val="44C63AF1"/>
    <w:rsid w:val="45C2075D"/>
    <w:rsid w:val="462036D5"/>
    <w:rsid w:val="4903630A"/>
    <w:rsid w:val="49517D66"/>
    <w:rsid w:val="496D4E83"/>
    <w:rsid w:val="4A083BE9"/>
    <w:rsid w:val="4A1F1376"/>
    <w:rsid w:val="4A4412B8"/>
    <w:rsid w:val="4A873D23"/>
    <w:rsid w:val="4DE21281"/>
    <w:rsid w:val="4FDEABD5"/>
    <w:rsid w:val="502D0328"/>
    <w:rsid w:val="5058087F"/>
    <w:rsid w:val="508B24EF"/>
    <w:rsid w:val="50A373DC"/>
    <w:rsid w:val="524456CC"/>
    <w:rsid w:val="539D665C"/>
    <w:rsid w:val="542425E2"/>
    <w:rsid w:val="57295276"/>
    <w:rsid w:val="58612759"/>
    <w:rsid w:val="59301A29"/>
    <w:rsid w:val="59C36A08"/>
    <w:rsid w:val="5A3572F7"/>
    <w:rsid w:val="5B500161"/>
    <w:rsid w:val="5BC052E6"/>
    <w:rsid w:val="5C025194"/>
    <w:rsid w:val="5C466E54"/>
    <w:rsid w:val="5CD24F22"/>
    <w:rsid w:val="5DBE0D55"/>
    <w:rsid w:val="611F7F55"/>
    <w:rsid w:val="61583E42"/>
    <w:rsid w:val="619310C7"/>
    <w:rsid w:val="61CB5A65"/>
    <w:rsid w:val="61D26AAA"/>
    <w:rsid w:val="61FA4982"/>
    <w:rsid w:val="643A1A8C"/>
    <w:rsid w:val="652C3D9B"/>
    <w:rsid w:val="65604064"/>
    <w:rsid w:val="6603689F"/>
    <w:rsid w:val="665C160C"/>
    <w:rsid w:val="66BC02E7"/>
    <w:rsid w:val="677B3528"/>
    <w:rsid w:val="679C11F9"/>
    <w:rsid w:val="67E4410B"/>
    <w:rsid w:val="686554F2"/>
    <w:rsid w:val="69530ECB"/>
    <w:rsid w:val="69757847"/>
    <w:rsid w:val="6A7D0C4F"/>
    <w:rsid w:val="6A9F7D67"/>
    <w:rsid w:val="6C5B5B9F"/>
    <w:rsid w:val="6D463172"/>
    <w:rsid w:val="6DA768EB"/>
    <w:rsid w:val="6E0E1EE1"/>
    <w:rsid w:val="6F0932B5"/>
    <w:rsid w:val="70726C25"/>
    <w:rsid w:val="71320B27"/>
    <w:rsid w:val="71376817"/>
    <w:rsid w:val="724759C2"/>
    <w:rsid w:val="7423609F"/>
    <w:rsid w:val="746F2E4C"/>
    <w:rsid w:val="7501454E"/>
    <w:rsid w:val="75737CB7"/>
    <w:rsid w:val="76D17F50"/>
    <w:rsid w:val="76DE3A33"/>
    <w:rsid w:val="78992912"/>
    <w:rsid w:val="789B25C4"/>
    <w:rsid w:val="78D16A46"/>
    <w:rsid w:val="7AA458F6"/>
    <w:rsid w:val="7BB24ED5"/>
    <w:rsid w:val="7BBD20AB"/>
    <w:rsid w:val="7BF67168"/>
    <w:rsid w:val="7C8D6582"/>
    <w:rsid w:val="7DBF33AA"/>
    <w:rsid w:val="7DD3646F"/>
    <w:rsid w:val="7DFD48B1"/>
    <w:rsid w:val="7E833F99"/>
    <w:rsid w:val="7F6D6245"/>
    <w:rsid w:val="7FAB4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5ACFC4"/>
  <w15:docId w15:val="{385369E7-688F-4C6C-B659-19488E6D4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uiPriority="35"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hAnsi="Arial" w:cs="Calibri"/>
      <w:sz w:val="22"/>
      <w:szCs w:val="22"/>
      <w:lang w:val="en-GB" w:eastAsia="en-GB"/>
    </w:rPr>
  </w:style>
  <w:style w:type="paragraph" w:styleId="Heading1">
    <w:name w:val="heading 1"/>
    <w:basedOn w:val="Normal"/>
    <w:next w:val="Heading1separationline"/>
    <w:autoRedefine/>
    <w:uiPriority w:val="9"/>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Heading1"/>
    <w:next w:val="Heading2separationline"/>
    <w:autoRedefine/>
    <w:uiPriority w:val="9"/>
    <w:unhideWhenUsed/>
    <w:qFormat/>
    <w:pPr>
      <w:numPr>
        <w:ilvl w:val="1"/>
      </w:numPr>
      <w:tabs>
        <w:tab w:val="clear" w:pos="567"/>
      </w:tabs>
      <w:spacing w:before="120" w:after="120"/>
      <w:outlineLvl w:val="1"/>
    </w:pPr>
    <w:rPr>
      <w:szCs w:val="24"/>
    </w:rPr>
  </w:style>
  <w:style w:type="paragraph" w:styleId="Heading3">
    <w:name w:val="heading 3"/>
    <w:basedOn w:val="Heading2"/>
    <w:next w:val="BodyText"/>
    <w:autoRedefine/>
    <w:uiPriority w:val="9"/>
    <w:semiHidden/>
    <w:unhideWhenUsed/>
    <w:qFormat/>
    <w:pPr>
      <w:numPr>
        <w:ilvl w:val="2"/>
      </w:numPr>
      <w:tabs>
        <w:tab w:val="clear" w:pos="851"/>
      </w:tabs>
      <w:outlineLvl w:val="2"/>
    </w:pPr>
    <w:rPr>
      <w:rFonts w:ascii="Arial" w:hAnsi="Arial"/>
      <w:sz w:val="22"/>
    </w:rPr>
  </w:style>
  <w:style w:type="paragraph" w:styleId="Heading4">
    <w:name w:val="heading 4"/>
    <w:basedOn w:val="Heading3"/>
    <w:next w:val="BodyText"/>
    <w:autoRedefine/>
    <w:uiPriority w:val="9"/>
    <w:semiHidden/>
    <w:unhideWhenUsed/>
    <w:qFormat/>
    <w:pPr>
      <w:numPr>
        <w:ilvl w:val="3"/>
      </w:numPr>
      <w:tabs>
        <w:tab w:val="clear" w:pos="992"/>
      </w:tabs>
      <w:outlineLvl w:val="3"/>
    </w:pPr>
    <w:rPr>
      <w:lang w:val="en-US"/>
    </w:rPr>
  </w:style>
  <w:style w:type="paragraph" w:styleId="Heading5">
    <w:name w:val="heading 5"/>
    <w:basedOn w:val="Heading4"/>
    <w:next w:val="Normal"/>
    <w:autoRedefine/>
    <w:uiPriority w:val="9"/>
    <w:semiHidden/>
    <w:unhideWhenUsed/>
    <w:qFormat/>
    <w:pPr>
      <w:numPr>
        <w:ilvl w:val="4"/>
      </w:numPr>
      <w:tabs>
        <w:tab w:val="clear" w:pos="1134"/>
      </w:tabs>
      <w:spacing w:before="240"/>
      <w:outlineLvl w:val="4"/>
    </w:pPr>
    <w:rPr>
      <w:rFonts w:eastAsia="Times New Roman" w:cs="Times New Roman"/>
      <w:lang w:val="de-DE"/>
    </w:rPr>
  </w:style>
  <w:style w:type="paragraph" w:styleId="Heading6">
    <w:name w:val="heading 6"/>
    <w:next w:val="BodyTextIndent2"/>
    <w:autoRedefine/>
    <w:uiPriority w:val="9"/>
    <w:semiHidden/>
    <w:unhideWhenUsed/>
    <w:qFormat/>
    <w:pPr>
      <w:numPr>
        <w:ilvl w:val="5"/>
        <w:numId w:val="1"/>
      </w:numPr>
      <w:tabs>
        <w:tab w:val="left" w:pos="1418"/>
      </w:tabs>
      <w:spacing w:before="120" w:after="120"/>
      <w:outlineLvl w:val="5"/>
    </w:pPr>
    <w:rPr>
      <w:rFonts w:ascii="Arial" w:hAnsi="Arial" w:cs="Calibri"/>
      <w:sz w:val="22"/>
      <w:lang w:val="de-DE" w:eastAsia="de-DE"/>
    </w:rPr>
  </w:style>
  <w:style w:type="paragraph" w:styleId="Heading7">
    <w:name w:val="heading 7"/>
    <w:next w:val="BodyTextIndent2"/>
    <w:autoRedefine/>
    <w:qFormat/>
    <w:pPr>
      <w:numPr>
        <w:ilvl w:val="6"/>
        <w:numId w:val="1"/>
      </w:numPr>
      <w:tabs>
        <w:tab w:val="left" w:pos="1701"/>
      </w:tabs>
      <w:spacing w:before="120" w:after="120"/>
      <w:outlineLvl w:val="6"/>
    </w:pPr>
    <w:rPr>
      <w:rFonts w:ascii="Arial" w:hAnsi="Arial" w:cs="Calibri"/>
      <w:sz w:val="22"/>
      <w:lang w:val="de-DE" w:eastAsia="de-DE"/>
    </w:rPr>
  </w:style>
  <w:style w:type="paragraph" w:styleId="Heading8">
    <w:name w:val="heading 8"/>
    <w:next w:val="BodyTextIndent2"/>
    <w:autoRedefine/>
    <w:qFormat/>
    <w:pPr>
      <w:numPr>
        <w:ilvl w:val="7"/>
        <w:numId w:val="1"/>
      </w:numPr>
      <w:tabs>
        <w:tab w:val="left" w:pos="1985"/>
      </w:tabs>
      <w:spacing w:before="120" w:after="120"/>
      <w:outlineLvl w:val="7"/>
    </w:pPr>
    <w:rPr>
      <w:rFonts w:ascii="Arial" w:hAnsi="Arial" w:cs="Calibri"/>
      <w:sz w:val="22"/>
      <w:lang w:val="de-DE" w:eastAsia="de-DE"/>
    </w:rPr>
  </w:style>
  <w:style w:type="paragraph" w:styleId="Heading9">
    <w:name w:val="heading 9"/>
    <w:next w:val="BodyTextIndent2"/>
    <w:autoRedefine/>
    <w:qFormat/>
    <w:pPr>
      <w:numPr>
        <w:ilvl w:val="8"/>
        <w:numId w:val="1"/>
      </w:numPr>
      <w:tabs>
        <w:tab w:val="left" w:pos="2268"/>
      </w:tabs>
      <w:spacing w:before="120" w:after="120"/>
      <w:outlineLvl w:val="8"/>
    </w:pPr>
    <w:rPr>
      <w:rFonts w:ascii="Arial" w:hAnsi="Arial" w:cs="Calibri"/>
      <w:sz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ionline">
    <w:name w:val="Heading 1 separation line"/>
    <w:basedOn w:val="Normal"/>
    <w:next w:val="BodyText"/>
    <w:autoRedefine/>
    <w:qFormat/>
    <w:pPr>
      <w:pBdr>
        <w:bottom w:val="single" w:sz="8" w:space="1" w:color="4472C4" w:themeColor="accent1"/>
      </w:pBdr>
      <w:spacing w:after="120" w:line="90" w:lineRule="exact"/>
      <w:ind w:right="8789"/>
    </w:pPr>
    <w:rPr>
      <w:color w:val="000000" w:themeColor="text1"/>
    </w:rPr>
  </w:style>
  <w:style w:type="paragraph" w:styleId="BodyText">
    <w:name w:val="Body Text"/>
    <w:basedOn w:val="Normal"/>
    <w:autoRedefine/>
    <w:qFormat/>
    <w:pPr>
      <w:spacing w:after="120"/>
      <w:jc w:val="both"/>
    </w:pPr>
  </w:style>
  <w:style w:type="paragraph" w:customStyle="1" w:styleId="Heading2separationline">
    <w:name w:val="Heading 2 separation line"/>
    <w:basedOn w:val="Normal"/>
    <w:next w:val="BodyText"/>
    <w:autoRedefine/>
    <w:qFormat/>
    <w:pPr>
      <w:pBdr>
        <w:bottom w:val="single" w:sz="4" w:space="1" w:color="575756"/>
      </w:pBdr>
      <w:spacing w:after="60" w:line="110" w:lineRule="exact"/>
      <w:ind w:right="8787"/>
    </w:pPr>
    <w:rPr>
      <w:color w:val="000000" w:themeColor="text1"/>
    </w:rPr>
  </w:style>
  <w:style w:type="paragraph" w:styleId="BodyTextIndent2">
    <w:name w:val="Body Text Indent 2"/>
    <w:basedOn w:val="Normal"/>
    <w:autoRedefine/>
    <w:qFormat/>
    <w:pPr>
      <w:spacing w:after="120"/>
      <w:ind w:left="1134"/>
      <w:jc w:val="both"/>
    </w:pPr>
    <w:rPr>
      <w:lang w:eastAsia="de-DE"/>
    </w:rPr>
  </w:style>
  <w:style w:type="paragraph" w:styleId="TOC7">
    <w:name w:val="toc 7"/>
    <w:basedOn w:val="Normal"/>
    <w:next w:val="Normal"/>
    <w:autoRedefine/>
    <w:qFormat/>
    <w:pPr>
      <w:ind w:left="1200"/>
    </w:pPr>
    <w:rPr>
      <w:sz w:val="20"/>
      <w:szCs w:val="20"/>
    </w:rPr>
  </w:style>
  <w:style w:type="paragraph" w:styleId="Caption">
    <w:name w:val="caption"/>
    <w:basedOn w:val="Normal"/>
    <w:next w:val="Normal"/>
    <w:autoRedefine/>
    <w:uiPriority w:val="35"/>
    <w:qFormat/>
    <w:rPr>
      <w:b/>
      <w:bCs/>
      <w:i/>
      <w:color w:val="575756"/>
      <w:u w:val="single"/>
    </w:rPr>
  </w:style>
  <w:style w:type="paragraph" w:styleId="CommentText">
    <w:name w:val="annotation text"/>
    <w:basedOn w:val="Normal"/>
    <w:autoRedefine/>
    <w:qFormat/>
    <w:rPr>
      <w:sz w:val="20"/>
      <w:szCs w:val="20"/>
    </w:rPr>
  </w:style>
  <w:style w:type="paragraph" w:styleId="BodyText3">
    <w:name w:val="Body Text 3"/>
    <w:basedOn w:val="Normal"/>
    <w:autoRedefine/>
    <w:qFormat/>
    <w:pPr>
      <w:spacing w:after="120"/>
    </w:pPr>
    <w:rPr>
      <w:sz w:val="16"/>
      <w:szCs w:val="16"/>
    </w:rPr>
  </w:style>
  <w:style w:type="paragraph" w:styleId="BodyTextIndent">
    <w:name w:val="Body Text Indent"/>
    <w:basedOn w:val="Normal"/>
    <w:autoRedefine/>
    <w:qFormat/>
    <w:pPr>
      <w:spacing w:after="120"/>
      <w:ind w:left="567"/>
    </w:pPr>
  </w:style>
  <w:style w:type="paragraph" w:styleId="TOC5">
    <w:name w:val="toc 5"/>
    <w:basedOn w:val="Normal"/>
    <w:next w:val="Normal"/>
    <w:autoRedefine/>
    <w:qFormat/>
    <w:pPr>
      <w:ind w:left="880"/>
    </w:pPr>
    <w:rPr>
      <w:rFonts w:ascii="Times New Roman" w:eastAsia="Times New Roman" w:hAnsi="Times New Roman" w:cs="Times New Roman"/>
      <w:szCs w:val="24"/>
    </w:rPr>
  </w:style>
  <w:style w:type="paragraph" w:styleId="TOC3">
    <w:name w:val="toc 3"/>
    <w:basedOn w:val="Normal"/>
    <w:next w:val="Normal"/>
    <w:autoRedefine/>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qFormat/>
    <w:pPr>
      <w:ind w:left="1440"/>
    </w:pPr>
    <w:rPr>
      <w:sz w:val="20"/>
      <w:szCs w:val="20"/>
    </w:rPr>
  </w:style>
  <w:style w:type="paragraph" w:styleId="BalloonText">
    <w:name w:val="Balloon Text"/>
    <w:basedOn w:val="Normal"/>
    <w:autoRedefine/>
    <w:qFormat/>
    <w:rPr>
      <w:rFonts w:ascii="Tahoma" w:hAnsi="Tahoma" w:cs="Tahoma"/>
      <w:sz w:val="16"/>
      <w:szCs w:val="16"/>
    </w:rPr>
  </w:style>
  <w:style w:type="paragraph" w:styleId="Footer">
    <w:name w:val="footer"/>
    <w:basedOn w:val="Normal"/>
    <w:autoRedefine/>
    <w:qFormat/>
    <w:pPr>
      <w:tabs>
        <w:tab w:val="center" w:pos="4820"/>
        <w:tab w:val="right" w:pos="9639"/>
      </w:tabs>
    </w:pPr>
  </w:style>
  <w:style w:type="paragraph" w:styleId="Header">
    <w:name w:val="header"/>
    <w:basedOn w:val="Normal"/>
    <w:autoRedefine/>
    <w:qFormat/>
    <w:pPr>
      <w:tabs>
        <w:tab w:val="center" w:pos="4820"/>
        <w:tab w:val="right" w:pos="9639"/>
      </w:tabs>
    </w:pPr>
  </w:style>
  <w:style w:type="paragraph" w:styleId="TOC1">
    <w:name w:val="toc 1"/>
    <w:basedOn w:val="Normal"/>
    <w:next w:val="Normal"/>
    <w:autoRedefine/>
    <w:qFormat/>
    <w:pPr>
      <w:tabs>
        <w:tab w:val="left" w:pos="567"/>
        <w:tab w:val="right" w:pos="9639"/>
      </w:tabs>
      <w:spacing w:before="120"/>
      <w:ind w:right="284"/>
    </w:pPr>
    <w:rPr>
      <w:rFonts w:eastAsia="Times New Roman" w:cs="Arial"/>
      <w:bCs/>
      <w:iCs/>
      <w:caps/>
    </w:rPr>
  </w:style>
  <w:style w:type="paragraph" w:styleId="TOC4">
    <w:name w:val="toc 4"/>
    <w:basedOn w:val="Normal"/>
    <w:next w:val="Normal"/>
    <w:autoRedefine/>
    <w:qFormat/>
    <w:pPr>
      <w:tabs>
        <w:tab w:val="left" w:pos="1418"/>
        <w:tab w:val="right" w:pos="9639"/>
      </w:tabs>
      <w:spacing w:before="120" w:after="120"/>
      <w:ind w:left="1418" w:right="284" w:hanging="1418"/>
    </w:pPr>
    <w:rPr>
      <w:rFonts w:eastAsia="Times New Roman" w:cs="Times New Roman"/>
      <w:b/>
      <w:caps/>
      <w:szCs w:val="24"/>
    </w:rPr>
  </w:style>
  <w:style w:type="paragraph" w:styleId="Subtitle">
    <w:name w:val="Subtitle"/>
    <w:basedOn w:val="Normal"/>
    <w:autoRedefine/>
    <w:uiPriority w:val="11"/>
    <w:qFormat/>
    <w:pPr>
      <w:spacing w:after="60"/>
      <w:jc w:val="center"/>
      <w:outlineLvl w:val="1"/>
    </w:pPr>
    <w:rPr>
      <w:rFonts w:cs="Arial"/>
    </w:rPr>
  </w:style>
  <w:style w:type="paragraph" w:styleId="FootnoteText">
    <w:name w:val="footnote text"/>
    <w:basedOn w:val="Normal"/>
    <w:autoRedefine/>
    <w:qFormat/>
    <w:rPr>
      <w:sz w:val="20"/>
      <w:szCs w:val="20"/>
    </w:rPr>
  </w:style>
  <w:style w:type="paragraph" w:styleId="TOC6">
    <w:name w:val="toc 6"/>
    <w:basedOn w:val="Normal"/>
    <w:next w:val="Normal"/>
    <w:autoRedefine/>
    <w:qFormat/>
    <w:pPr>
      <w:ind w:left="1100"/>
    </w:pPr>
    <w:rPr>
      <w:rFonts w:ascii="Times New Roman" w:eastAsia="Times New Roman" w:hAnsi="Times New Roman" w:cs="Times New Roman"/>
      <w:szCs w:val="24"/>
    </w:rPr>
  </w:style>
  <w:style w:type="paragraph" w:styleId="TableofFigures">
    <w:name w:val="table of figures"/>
    <w:basedOn w:val="Normal"/>
    <w:next w:val="Normal"/>
    <w:autoRedefine/>
    <w:qFormat/>
    <w:pPr>
      <w:tabs>
        <w:tab w:val="left" w:pos="1418"/>
        <w:tab w:val="right" w:pos="9639"/>
      </w:tabs>
      <w:spacing w:before="60" w:after="60"/>
      <w:ind w:left="1418" w:right="282" w:hanging="1418"/>
    </w:pPr>
    <w:rPr>
      <w:rFonts w:eastAsia="Times New Roman" w:cs="Times New Roman"/>
      <w:szCs w:val="24"/>
    </w:rPr>
  </w:style>
  <w:style w:type="paragraph" w:styleId="TOC2">
    <w:name w:val="toc 2"/>
    <w:basedOn w:val="Normal"/>
    <w:next w:val="Normal"/>
    <w:autoRedefine/>
    <w:qFormat/>
    <w:pPr>
      <w:tabs>
        <w:tab w:val="left" w:pos="1418"/>
        <w:tab w:val="right" w:pos="9639"/>
      </w:tabs>
      <w:spacing w:before="120"/>
      <w:ind w:left="1418" w:right="284" w:hanging="851"/>
    </w:pPr>
    <w:rPr>
      <w:rFonts w:eastAsia="Times New Roman" w:cs="Times New Roman"/>
      <w:bCs/>
      <w:szCs w:val="26"/>
    </w:rPr>
  </w:style>
  <w:style w:type="paragraph" w:styleId="TOC9">
    <w:name w:val="toc 9"/>
    <w:basedOn w:val="Normal"/>
    <w:next w:val="Normal"/>
    <w:autoRedefine/>
    <w:qFormat/>
    <w:pPr>
      <w:ind w:left="1680"/>
    </w:pPr>
    <w:rPr>
      <w:sz w:val="20"/>
      <w:szCs w:val="20"/>
    </w:rPr>
  </w:style>
  <w:style w:type="paragraph" w:styleId="Title">
    <w:name w:val="Title"/>
    <w:basedOn w:val="Normal"/>
    <w:autoRedefine/>
    <w:uiPriority w:val="10"/>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autoRedefine/>
    <w:qFormat/>
    <w:rPr>
      <w:b/>
      <w:bCs/>
    </w:rPr>
  </w:style>
  <w:style w:type="character" w:styleId="PageNumber">
    <w:name w:val="page number"/>
    <w:basedOn w:val="DefaultParagraphFont"/>
    <w:autoRedefine/>
    <w:qFormat/>
  </w:style>
  <w:style w:type="character" w:styleId="Hyperlink">
    <w:name w:val="Hyperlink"/>
    <w:autoRedefine/>
    <w:qFormat/>
    <w:rPr>
      <w:vertAlign w:val="baseline"/>
    </w:rPr>
  </w:style>
  <w:style w:type="character" w:styleId="CommentReference">
    <w:name w:val="annotation reference"/>
    <w:basedOn w:val="DefaultParagraphFont"/>
    <w:autoRedefine/>
    <w:qFormat/>
    <w:rPr>
      <w:sz w:val="16"/>
      <w:szCs w:val="16"/>
    </w:rPr>
  </w:style>
  <w:style w:type="character" w:styleId="FootnoteReference">
    <w:name w:val="footnote reference"/>
    <w:autoRedefine/>
    <w:qFormat/>
    <w:rPr>
      <w:rFonts w:ascii="Arial" w:hAnsi="Arial"/>
      <w:sz w:val="16"/>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numPr>
        <w:numId w:val="12"/>
      </w:numPr>
      <w:spacing w:after="120"/>
    </w:pPr>
    <w:rPr>
      <w:szCs w:val="20"/>
    </w:rPr>
  </w:style>
  <w:style w:type="paragraph" w:customStyle="1" w:styleId="AppendixHeading1">
    <w:name w:val="Appendix Heading 1"/>
    <w:basedOn w:val="Normal"/>
    <w:next w:val="BodyText"/>
    <w:autoRedefine/>
    <w:qFormat/>
    <w:pPr>
      <w:numPr>
        <w:numId w:val="13"/>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3"/>
      </w:numPr>
      <w:spacing w:before="120" w:after="120"/>
    </w:pPr>
    <w:rPr>
      <w:rFonts w:cs="Arial"/>
      <w:b/>
    </w:rPr>
  </w:style>
  <w:style w:type="paragraph" w:customStyle="1" w:styleId="AppendixHeading3">
    <w:name w:val="Appendix Heading 3"/>
    <w:basedOn w:val="Normal"/>
    <w:next w:val="Normal"/>
    <w:autoRedefine/>
    <w:qFormat/>
    <w:pPr>
      <w:numPr>
        <w:ilvl w:val="2"/>
        <w:numId w:val="13"/>
      </w:numPr>
      <w:spacing w:before="120" w:after="120"/>
    </w:pPr>
    <w:rPr>
      <w:rFonts w:cs="Arial"/>
    </w:rPr>
  </w:style>
  <w:style w:type="paragraph" w:customStyle="1" w:styleId="AppendixHeading4">
    <w:name w:val="Appendix Heading 4"/>
    <w:basedOn w:val="Normal"/>
    <w:next w:val="BodyText"/>
    <w:autoRedefine/>
    <w:qFormat/>
    <w:pPr>
      <w:numPr>
        <w:ilvl w:val="3"/>
        <w:numId w:val="13"/>
      </w:numPr>
      <w:spacing w:before="120" w:after="120"/>
    </w:pPr>
    <w:rPr>
      <w:rFonts w:cs="Arial"/>
    </w:rPr>
  </w:style>
  <w:style w:type="paragraph" w:customStyle="1" w:styleId="equation">
    <w:name w:val="equation"/>
    <w:basedOn w:val="Normal"/>
    <w:next w:val="BodyText"/>
    <w:autoRedefine/>
    <w:qFormat/>
    <w:pPr>
      <w:keepNext/>
      <w:numPr>
        <w:numId w:val="14"/>
      </w:numPr>
      <w:tabs>
        <w:tab w:val="left" w:pos="142"/>
      </w:tabs>
      <w:spacing w:after="120"/>
      <w:jc w:val="right"/>
    </w:pPr>
    <w:rPr>
      <w:rFonts w:eastAsia="Times New Roman" w:cs="Times New Roman"/>
      <w:szCs w:val="24"/>
    </w:rPr>
  </w:style>
  <w:style w:type="paragraph" w:customStyle="1" w:styleId="Appendix">
    <w:name w:val="Appendix"/>
    <w:basedOn w:val="Normal"/>
    <w:next w:val="Normal"/>
    <w:autoRedefine/>
    <w:qFormat/>
    <w:pPr>
      <w:numPr>
        <w:numId w:val="15"/>
      </w:numPr>
      <w:spacing w:before="120" w:after="240"/>
      <w:ind w:left="1985" w:hanging="1985"/>
    </w:pPr>
    <w:rPr>
      <w:b/>
      <w:sz w:val="24"/>
      <w:szCs w:val="28"/>
    </w:rPr>
  </w:style>
  <w:style w:type="paragraph" w:styleId="ListParagraph">
    <w:name w:val="List Paragraph"/>
    <w:basedOn w:val="Normal"/>
    <w:autoRedefine/>
    <w:qFormat/>
    <w:pPr>
      <w:ind w:left="720"/>
      <w:contextualSpacing/>
    </w:pPr>
  </w:style>
  <w:style w:type="character" w:customStyle="1" w:styleId="Char">
    <w:name w:val="标题 Char"/>
    <w:autoRedefine/>
    <w:qFormat/>
    <w:rPr>
      <w:rFonts w:ascii="Arial" w:hAnsi="Arial"/>
      <w:b/>
      <w:bCs/>
      <w:kern w:val="28"/>
      <w:sz w:val="32"/>
      <w:szCs w:val="32"/>
    </w:rPr>
  </w:style>
  <w:style w:type="paragraph" w:customStyle="1" w:styleId="Style">
    <w:name w:val="Style"/>
    <w:basedOn w:val="Normal"/>
    <w:next w:val="ListParagraph"/>
    <w:autoRedefine/>
    <w:qFormat/>
    <w:pPr>
      <w:ind w:left="720"/>
      <w:contextualSpacing/>
    </w:pPr>
  </w:style>
  <w:style w:type="character" w:customStyle="1" w:styleId="3">
    <w:name w:val="正文文本 3 字符"/>
    <w:basedOn w:val="DefaultParagraphFont"/>
    <w:autoRedefine/>
    <w:qFormat/>
    <w:rPr>
      <w:rFonts w:ascii="Arial" w:hAnsi="Arial" w:cs="Calibri"/>
      <w:sz w:val="16"/>
      <w:szCs w:val="16"/>
    </w:rPr>
  </w:style>
  <w:style w:type="character" w:customStyle="1" w:styleId="translated-span">
    <w:name w:val="translated-span"/>
    <w:basedOn w:val="DefaultParagraphFont"/>
    <w:autoRedefine/>
    <w:qFormat/>
  </w:style>
  <w:style w:type="paragraph" w:customStyle="1" w:styleId="1">
    <w:name w:val="修订1"/>
    <w:autoRedefine/>
    <w:qFormat/>
    <w:rPr>
      <w:rFonts w:ascii="Arial" w:hAnsi="Arial" w:cs="Calibri"/>
      <w:sz w:val="22"/>
      <w:szCs w:val="22"/>
      <w:lang w:val="en-GB" w:eastAsia="en-GB"/>
    </w:rPr>
  </w:style>
  <w:style w:type="character" w:customStyle="1" w:styleId="apple-converted-space">
    <w:name w:val="apple-converted-space"/>
    <w:basedOn w:val="DefaultParagraphFont"/>
    <w:autoRedefine/>
    <w:qFormat/>
  </w:style>
  <w:style w:type="paragraph" w:customStyle="1" w:styleId="2">
    <w:name w:val="修订2"/>
    <w:autoRedefine/>
    <w:hidden/>
    <w:uiPriority w:val="99"/>
    <w:semiHidden/>
    <w:qFormat/>
    <w:rPr>
      <w:rFonts w:ascii="Arial" w:hAnsi="Arial" w:cs="Calibri"/>
      <w:sz w:val="22"/>
      <w:szCs w:val="22"/>
      <w:lang w:val="en-GB" w:eastAsia="en-GB"/>
    </w:rPr>
  </w:style>
  <w:style w:type="paragraph" w:customStyle="1" w:styleId="Figurecaption">
    <w:name w:val="Figure caption"/>
    <w:basedOn w:val="Caption"/>
    <w:next w:val="BodyText"/>
    <w:autoRedefine/>
    <w:qFormat/>
    <w:pPr>
      <w:numPr>
        <w:numId w:val="16"/>
      </w:numPr>
      <w:spacing w:before="240" w:after="240"/>
      <w:jc w:val="center"/>
    </w:pPr>
    <w:rPr>
      <w:b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Props1.xml><?xml version="1.0" encoding="utf-8"?>
<ds:datastoreItem xmlns:ds="http://schemas.openxmlformats.org/officeDocument/2006/customXml" ds:itemID="{2494657B-68FE-4448-855B-4C4F79ABF37D}">
  <ds:schemaRefs>
    <ds:schemaRef ds:uri="http://schemas.microsoft.com/sharepoint/v3/contenttype/forms"/>
  </ds:schemaRefs>
</ds:datastoreItem>
</file>

<file path=customXml/itemProps2.xml><?xml version="1.0" encoding="utf-8"?>
<ds:datastoreItem xmlns:ds="http://schemas.openxmlformats.org/officeDocument/2006/customXml" ds:itemID="{E9A9A961-1723-437F-A5F3-455A36BF6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885</Words>
  <Characters>5051</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25</cp:revision>
  <cp:lastPrinted>2022-08-01T07:49:00Z</cp:lastPrinted>
  <dcterms:created xsi:type="dcterms:W3CDTF">2022-08-01T01:33:00Z</dcterms:created>
  <dcterms:modified xsi:type="dcterms:W3CDTF">2024-03-14T17:40:00Z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198E0440F7F14900932F635B7A6CF457_13</vt:lpwstr>
  </property>
</Properties>
</file>