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0FCC9DA"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2D1710">
        <w:rPr>
          <w:rFonts w:ascii="Calibri" w:eastAsia="Malgun Gothic" w:hAnsi="Calibri" w:hint="eastAsia"/>
          <w:color w:val="00558C"/>
          <w:sz w:val="24"/>
          <w:szCs w:val="24"/>
          <w:lang w:eastAsia="ko-KR"/>
        </w:rPr>
        <w:t>ARM</w:t>
      </w:r>
      <w:r w:rsidRPr="00A72757">
        <w:rPr>
          <w:rFonts w:ascii="Calibri" w:hAnsi="Calibri"/>
          <w:color w:val="00558C"/>
          <w:sz w:val="24"/>
          <w:szCs w:val="24"/>
        </w:rPr>
        <w:t>-</w:t>
      </w:r>
      <w:r w:rsidR="00F112CD">
        <w:rPr>
          <w:rFonts w:ascii="Calibri" w:hAnsi="Calibri"/>
          <w:color w:val="00558C"/>
          <w:sz w:val="24"/>
          <w:szCs w:val="24"/>
        </w:rPr>
        <w:t>7.7.2</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1EADA72C" w:rsidR="0080294B" w:rsidRPr="00B0084A" w:rsidRDefault="00F112CD"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sidR="00A323E7">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A323E7">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F112CD"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21AF44B"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112CD">
        <w:rPr>
          <w:rFonts w:ascii="Calibri" w:hAnsi="Calibri"/>
        </w:rPr>
        <w:t>7.7</w:t>
      </w:r>
    </w:p>
    <w:p w14:paraId="01FC5420" w14:textId="6090A568" w:rsidR="00362CD9" w:rsidRPr="00A323E7" w:rsidRDefault="00362CD9" w:rsidP="00FE5674">
      <w:pPr>
        <w:pStyle w:val="BodyText"/>
        <w:tabs>
          <w:tab w:val="left" w:pos="2835"/>
        </w:tabs>
        <w:rPr>
          <w:rFonts w:ascii="Calibri" w:eastAsia="Malgun Gothic" w:hAnsi="Calibri"/>
          <w:color w:val="FF0000"/>
          <w:lang w:eastAsia="ko-KR"/>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323E7">
        <w:rPr>
          <w:rFonts w:ascii="Calibri" w:eastAsia="Malgun Gothic" w:hAnsi="Calibri" w:hint="eastAsia"/>
          <w:lang w:eastAsia="ko-KR"/>
        </w:rPr>
        <w:t>Namkyun Im</w:t>
      </w:r>
      <w:r w:rsidR="00652E13">
        <w:rPr>
          <w:rFonts w:ascii="Calibri" w:eastAsia="Malgun Gothic" w:hAnsi="Calibri" w:hint="eastAsia"/>
          <w:lang w:eastAsia="ko-KR"/>
        </w:rPr>
        <w:t>/MMU</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24C12008" w:rsidR="00A446C9" w:rsidRPr="00605E43" w:rsidRDefault="00A323E7" w:rsidP="0035243F">
      <w:pPr>
        <w:pStyle w:val="Title"/>
      </w:pPr>
      <w:r>
        <w:rPr>
          <w:rFonts w:eastAsia="Malgun Gothic" w:hint="eastAsia"/>
          <w:lang w:eastAsia="ko-KR"/>
        </w:rPr>
        <w:t>P</w:t>
      </w:r>
      <w:r>
        <w:rPr>
          <w:rFonts w:eastAsia="Malgun Gothic" w:hint="eastAsia"/>
          <w:caps w:val="0"/>
          <w:lang w:eastAsia="ko-KR"/>
        </w:rPr>
        <w:t>roposal</w:t>
      </w:r>
      <w:r w:rsidR="00616D78">
        <w:rPr>
          <w:rFonts w:eastAsia="Malgun Gothic" w:hint="eastAsia"/>
          <w:caps w:val="0"/>
          <w:lang w:eastAsia="ko-KR"/>
        </w:rPr>
        <w:t xml:space="preserve"> </w:t>
      </w:r>
      <w:r w:rsidR="00860996">
        <w:rPr>
          <w:rFonts w:eastAsia="Malgun Gothic" w:hint="eastAsia"/>
          <w:caps w:val="0"/>
          <w:lang w:eastAsia="ko-KR"/>
        </w:rPr>
        <w:t>to amend</w:t>
      </w:r>
      <w:r>
        <w:rPr>
          <w:rFonts w:eastAsia="Malgun Gothic" w:hint="eastAsia"/>
          <w:caps w:val="0"/>
          <w:lang w:eastAsia="ko-KR"/>
        </w:rPr>
        <w:t xml:space="preserve"> Guideline G1172</w:t>
      </w:r>
      <w:r w:rsidR="00342736">
        <w:rPr>
          <w:rFonts w:eastAsia="Malgun Gothic" w:hint="eastAsia"/>
          <w:caps w:val="0"/>
          <w:lang w:eastAsia="ko-KR"/>
        </w:rPr>
        <w:t xml:space="preserve"> on </w:t>
      </w:r>
      <w:r w:rsidR="00860996">
        <w:rPr>
          <w:rFonts w:eastAsia="Malgun Gothic" w:hint="eastAsia"/>
          <w:caps w:val="0"/>
          <w:lang w:eastAsia="ko-KR"/>
        </w:rPr>
        <w:t>the M</w:t>
      </w:r>
      <w:r w:rsidR="00342736">
        <w:rPr>
          <w:rFonts w:eastAsia="Malgun Gothic" w:hint="eastAsia"/>
          <w:caps w:val="0"/>
          <w:lang w:eastAsia="ko-KR"/>
        </w:rPr>
        <w:t xml:space="preserve">arking of </w:t>
      </w:r>
      <w:r w:rsidR="001739AE">
        <w:rPr>
          <w:rFonts w:eastAsia="Malgun Gothic" w:hint="eastAsia"/>
          <w:caps w:val="0"/>
          <w:lang w:eastAsia="ko-KR"/>
        </w:rPr>
        <w:t>B</w:t>
      </w:r>
      <w:r w:rsidR="00342736">
        <w:rPr>
          <w:rFonts w:eastAsia="Malgun Gothic" w:hint="eastAsia"/>
          <w:caps w:val="0"/>
          <w:lang w:eastAsia="ko-KR"/>
        </w:rPr>
        <w:t xml:space="preserve">ridges and </w:t>
      </w:r>
      <w:r w:rsidR="001739AE">
        <w:rPr>
          <w:rFonts w:eastAsia="Malgun Gothic" w:hint="eastAsia"/>
          <w:caps w:val="0"/>
          <w:lang w:eastAsia="ko-KR"/>
        </w:rPr>
        <w:t>O</w:t>
      </w:r>
      <w:r w:rsidR="00342736">
        <w:rPr>
          <w:rFonts w:eastAsia="Malgun Gothic" w:hint="eastAsia"/>
          <w:caps w:val="0"/>
          <w:lang w:eastAsia="ko-KR"/>
        </w:rPr>
        <w:t xml:space="preserve">ther </w:t>
      </w:r>
      <w:r w:rsidR="001739AE">
        <w:rPr>
          <w:rFonts w:eastAsia="Malgun Gothic" w:hint="eastAsia"/>
          <w:caps w:val="0"/>
          <w:lang w:eastAsia="ko-KR"/>
        </w:rPr>
        <w:t>S</w:t>
      </w:r>
      <w:r w:rsidR="00342736">
        <w:rPr>
          <w:rFonts w:eastAsia="Malgun Gothic" w:hint="eastAsia"/>
          <w:caps w:val="0"/>
          <w:lang w:eastAsia="ko-KR"/>
        </w:rPr>
        <w:t xml:space="preserve">tructures </w:t>
      </w:r>
      <w:r w:rsidR="001739AE">
        <w:rPr>
          <w:rFonts w:eastAsia="Malgun Gothic" w:hint="eastAsia"/>
          <w:caps w:val="0"/>
          <w:lang w:eastAsia="ko-KR"/>
        </w:rPr>
        <w:t>O</w:t>
      </w:r>
      <w:r w:rsidR="00342736">
        <w:rPr>
          <w:rFonts w:eastAsia="Malgun Gothic" w:hint="eastAsia"/>
          <w:caps w:val="0"/>
          <w:lang w:eastAsia="ko-KR"/>
        </w:rPr>
        <w:t xml:space="preserve">ver </w:t>
      </w:r>
      <w:r w:rsidR="001739AE">
        <w:rPr>
          <w:rFonts w:eastAsia="Malgun Gothic" w:hint="eastAsia"/>
          <w:caps w:val="0"/>
          <w:lang w:eastAsia="ko-KR"/>
        </w:rPr>
        <w:t>N</w:t>
      </w:r>
      <w:r w:rsidR="00342736">
        <w:rPr>
          <w:rFonts w:eastAsia="Malgun Gothic" w:hint="eastAsia"/>
          <w:caps w:val="0"/>
          <w:lang w:eastAsia="ko-KR"/>
        </w:rPr>
        <w:t xml:space="preserve">avigable </w:t>
      </w:r>
      <w:r w:rsidR="001739AE">
        <w:rPr>
          <w:rFonts w:eastAsia="Malgun Gothic" w:hint="eastAsia"/>
          <w:caps w:val="0"/>
          <w:lang w:eastAsia="ko-KR"/>
        </w:rPr>
        <w:t>W</w:t>
      </w:r>
      <w:r w:rsidR="00342736">
        <w:rPr>
          <w:rFonts w:eastAsia="Malgun Gothic" w:hint="eastAsia"/>
          <w:caps w:val="0"/>
          <w:lang w:eastAsia="ko-KR"/>
        </w:rPr>
        <w:t>aters</w:t>
      </w:r>
    </w:p>
    <w:p w14:paraId="2CC2DB54" w14:textId="3523662B" w:rsidR="009874F9" w:rsidRPr="009874F9" w:rsidRDefault="00A446C9" w:rsidP="009874F9">
      <w:pPr>
        <w:pStyle w:val="Heading1"/>
      </w:pPr>
      <w:r w:rsidRPr="00B661C7">
        <w:t>Summary</w:t>
      </w:r>
    </w:p>
    <w:p w14:paraId="651548B4" w14:textId="77777777" w:rsidR="00567F5C" w:rsidRDefault="00E3380A" w:rsidP="00B56BDF">
      <w:pPr>
        <w:pStyle w:val="BodyText"/>
        <w:rPr>
          <w:rFonts w:ascii="Calibri" w:eastAsia="Malgun Gothic" w:hAnsi="Calibri"/>
          <w:lang w:eastAsia="ko-KR"/>
        </w:rPr>
      </w:pPr>
      <w:r>
        <w:rPr>
          <w:rFonts w:ascii="Calibri" w:eastAsia="Malgun Gothic" w:hAnsi="Calibri" w:hint="eastAsia"/>
          <w:lang w:eastAsia="ko-KR"/>
        </w:rPr>
        <w:t xml:space="preserve">In recent times, </w:t>
      </w:r>
      <w:r w:rsidR="00E347E2">
        <w:rPr>
          <w:rFonts w:ascii="Calibri" w:eastAsia="Malgun Gothic" w:hAnsi="Calibri" w:hint="eastAsia"/>
          <w:lang w:eastAsia="ko-KR"/>
        </w:rPr>
        <w:t xml:space="preserve">there </w:t>
      </w:r>
      <w:r w:rsidR="006F2745">
        <w:rPr>
          <w:rFonts w:ascii="Calibri" w:eastAsia="Malgun Gothic" w:hAnsi="Calibri" w:hint="eastAsia"/>
          <w:lang w:eastAsia="ko-KR"/>
        </w:rPr>
        <w:t>were multiple</w:t>
      </w:r>
      <w:r w:rsidR="00E347E2">
        <w:rPr>
          <w:rFonts w:ascii="Calibri" w:eastAsia="Malgun Gothic" w:hAnsi="Calibri" w:hint="eastAsia"/>
          <w:lang w:eastAsia="ko-KR"/>
        </w:rPr>
        <w:t xml:space="preserve"> </w:t>
      </w:r>
      <w:r w:rsidR="002754F5">
        <w:rPr>
          <w:rFonts w:ascii="Calibri" w:eastAsia="Malgun Gothic" w:hAnsi="Calibri" w:hint="eastAsia"/>
          <w:lang w:eastAsia="ko-KR"/>
        </w:rPr>
        <w:t xml:space="preserve">collision incidents </w:t>
      </w:r>
      <w:r w:rsidR="002754F5">
        <w:rPr>
          <w:rFonts w:ascii="Calibri" w:eastAsia="Malgun Gothic" w:hAnsi="Calibri"/>
          <w:lang w:eastAsia="ko-KR"/>
        </w:rPr>
        <w:t>involving</w:t>
      </w:r>
      <w:r w:rsidR="002754F5">
        <w:rPr>
          <w:rFonts w:ascii="Calibri" w:eastAsia="Malgun Gothic" w:hAnsi="Calibri" w:hint="eastAsia"/>
          <w:lang w:eastAsia="ko-KR"/>
        </w:rPr>
        <w:t xml:space="preserve"> ships and bridges</w:t>
      </w:r>
      <w:r w:rsidR="006E7DF4">
        <w:rPr>
          <w:rFonts w:ascii="Calibri" w:eastAsia="Malgun Gothic" w:hAnsi="Calibri" w:hint="eastAsia"/>
          <w:lang w:eastAsia="ko-KR"/>
        </w:rPr>
        <w:t xml:space="preserve">,with these incidents arising from diverse contributing factors. </w:t>
      </w:r>
      <w:r w:rsidR="00945590">
        <w:rPr>
          <w:rFonts w:ascii="Calibri" w:eastAsia="Malgun Gothic" w:hAnsi="Calibri" w:hint="eastAsia"/>
          <w:lang w:eastAsia="ko-KR"/>
        </w:rPr>
        <w:t>I</w:t>
      </w:r>
      <w:r w:rsidR="00E47429">
        <w:rPr>
          <w:rFonts w:ascii="Calibri" w:eastAsia="Malgun Gothic" w:hAnsi="Calibri" w:hint="eastAsia"/>
          <w:lang w:eastAsia="ko-KR"/>
        </w:rPr>
        <w:t xml:space="preserve">t is important </w:t>
      </w:r>
      <w:r w:rsidR="00945590">
        <w:rPr>
          <w:rFonts w:ascii="Calibri" w:eastAsia="Malgun Gothic" w:hAnsi="Calibri" w:hint="eastAsia"/>
          <w:lang w:eastAsia="ko-KR"/>
        </w:rPr>
        <w:t xml:space="preserve">for the safety of navigation that ships are well informed </w:t>
      </w:r>
      <w:r w:rsidR="009C32AA">
        <w:rPr>
          <w:rFonts w:ascii="Calibri" w:eastAsia="Malgun Gothic" w:hAnsi="Calibri" w:hint="eastAsia"/>
          <w:lang w:eastAsia="ko-KR"/>
        </w:rPr>
        <w:t xml:space="preserve">with the </w:t>
      </w:r>
      <w:r w:rsidR="00945590">
        <w:rPr>
          <w:rFonts w:ascii="Calibri" w:eastAsia="Malgun Gothic" w:hAnsi="Calibri" w:hint="eastAsia"/>
          <w:lang w:eastAsia="ko-KR"/>
        </w:rPr>
        <w:t xml:space="preserve">precise </w:t>
      </w:r>
      <w:r w:rsidR="004C4EAE">
        <w:rPr>
          <w:rFonts w:ascii="Calibri" w:eastAsia="Malgun Gothic" w:hAnsi="Calibri"/>
          <w:lang w:eastAsia="ko-KR"/>
        </w:rPr>
        <w:t>overhead</w:t>
      </w:r>
      <w:r w:rsidR="004C4EAE">
        <w:rPr>
          <w:rFonts w:ascii="Calibri" w:eastAsia="Malgun Gothic" w:hAnsi="Calibri" w:hint="eastAsia"/>
          <w:lang w:eastAsia="ko-KR"/>
        </w:rPr>
        <w:t xml:space="preserve"> clearance information. </w:t>
      </w:r>
    </w:p>
    <w:p w14:paraId="250B1BFC" w14:textId="601457AD" w:rsidR="00567F5C" w:rsidRPr="00BF64D5" w:rsidRDefault="00BA2CAC" w:rsidP="00B56BDF">
      <w:pPr>
        <w:pStyle w:val="BodyText"/>
        <w:rPr>
          <w:rFonts w:ascii="Calibri" w:eastAsia="Malgun Gothic" w:hAnsi="Calibri"/>
          <w:lang w:eastAsia="ko-KR"/>
        </w:rPr>
      </w:pPr>
      <w:r w:rsidRPr="00BA2CAC">
        <w:rPr>
          <w:rFonts w:ascii="Calibri" w:eastAsia="Malgun Gothic" w:hAnsi="Calibri"/>
          <w:lang w:eastAsia="ko-KR"/>
        </w:rPr>
        <w:t xml:space="preserve">To </w:t>
      </w:r>
      <w:r w:rsidR="00377419">
        <w:rPr>
          <w:rFonts w:ascii="Calibri" w:eastAsia="Malgun Gothic" w:hAnsi="Calibri" w:hint="eastAsia"/>
          <w:lang w:eastAsia="ko-KR"/>
        </w:rPr>
        <w:t xml:space="preserve">effectively </w:t>
      </w:r>
      <w:r w:rsidRPr="00BA2CAC">
        <w:rPr>
          <w:rFonts w:ascii="Calibri" w:eastAsia="Malgun Gothic" w:hAnsi="Calibri"/>
          <w:lang w:eastAsia="ko-KR"/>
        </w:rPr>
        <w:t xml:space="preserve">mitigate the risk of collisions between ships and overhead structures, it is imperative to calculate </w:t>
      </w:r>
      <w:r w:rsidR="009836B9">
        <w:rPr>
          <w:rFonts w:ascii="Calibri" w:eastAsia="Malgun Gothic" w:hAnsi="Calibri" w:hint="eastAsia"/>
          <w:lang w:eastAsia="ko-KR"/>
        </w:rPr>
        <w:t>D</w:t>
      </w:r>
      <w:r w:rsidRPr="00BA2CAC">
        <w:rPr>
          <w:rFonts w:ascii="Calibri" w:eastAsia="Malgun Gothic" w:hAnsi="Calibri"/>
          <w:lang w:eastAsia="ko-KR"/>
        </w:rPr>
        <w:t xml:space="preserve">ynamic </w:t>
      </w:r>
      <w:r w:rsidR="009836B9">
        <w:rPr>
          <w:rFonts w:ascii="Calibri" w:eastAsia="Malgun Gothic" w:hAnsi="Calibri" w:hint="eastAsia"/>
          <w:lang w:eastAsia="ko-KR"/>
        </w:rPr>
        <w:t>O</w:t>
      </w:r>
      <w:r w:rsidRPr="00BA2CAC">
        <w:rPr>
          <w:rFonts w:ascii="Calibri" w:eastAsia="Malgun Gothic" w:hAnsi="Calibri"/>
          <w:lang w:eastAsia="ko-KR"/>
        </w:rPr>
        <w:t>ver</w:t>
      </w:r>
      <w:r w:rsidR="009836B9">
        <w:rPr>
          <w:rFonts w:ascii="Calibri" w:eastAsia="Malgun Gothic" w:hAnsi="Calibri" w:hint="eastAsia"/>
          <w:lang w:eastAsia="ko-KR"/>
        </w:rPr>
        <w:t>H</w:t>
      </w:r>
      <w:r w:rsidRPr="00BA2CAC">
        <w:rPr>
          <w:rFonts w:ascii="Calibri" w:eastAsia="Malgun Gothic" w:hAnsi="Calibri"/>
          <w:lang w:eastAsia="ko-KR"/>
        </w:rPr>
        <w:t xml:space="preserve">ead </w:t>
      </w:r>
      <w:r w:rsidR="009836B9">
        <w:rPr>
          <w:rFonts w:ascii="Calibri" w:eastAsia="Malgun Gothic" w:hAnsi="Calibri" w:hint="eastAsia"/>
          <w:lang w:eastAsia="ko-KR"/>
        </w:rPr>
        <w:t>C</w:t>
      </w:r>
      <w:r w:rsidRPr="00BA2CAC">
        <w:rPr>
          <w:rFonts w:ascii="Calibri" w:eastAsia="Malgun Gothic" w:hAnsi="Calibri"/>
          <w:lang w:eastAsia="ko-KR"/>
        </w:rPr>
        <w:t>learance</w:t>
      </w:r>
      <w:r w:rsidR="009836B9">
        <w:rPr>
          <w:rFonts w:ascii="Calibri" w:eastAsia="Malgun Gothic" w:hAnsi="Calibri" w:hint="eastAsia"/>
          <w:lang w:eastAsia="ko-KR"/>
        </w:rPr>
        <w:t xml:space="preserve"> (DOHC)</w:t>
      </w:r>
      <w:r w:rsidRPr="00BA2CAC">
        <w:rPr>
          <w:rFonts w:ascii="Calibri" w:eastAsia="Malgun Gothic" w:hAnsi="Calibri"/>
          <w:lang w:eastAsia="ko-KR"/>
        </w:rPr>
        <w:t xml:space="preserve">. </w:t>
      </w:r>
      <w:r w:rsidR="00567F5C" w:rsidRPr="00591623">
        <w:rPr>
          <w:rFonts w:ascii="Calibri" w:eastAsia="Malgun Gothic" w:hAnsi="Calibri"/>
          <w:lang w:eastAsia="ko-KR"/>
        </w:rPr>
        <w:t>This calculation must include dynamic factors, specifically the characteristics of the vessel and the highest water level at the time, to ensure a thorough and accurate assessment of clearance for safe navigation.</w:t>
      </w:r>
    </w:p>
    <w:p w14:paraId="3C575A26" w14:textId="302421AB" w:rsidR="001C44A3" w:rsidRPr="00605E43" w:rsidRDefault="00BA2CAC" w:rsidP="00605E43">
      <w:pPr>
        <w:pStyle w:val="Heading2"/>
      </w:pPr>
      <w:r>
        <w:rPr>
          <w:rFonts w:eastAsia="Malgun Gothic" w:hint="eastAsia"/>
          <w:lang w:eastAsia="ko-KR"/>
        </w:rPr>
        <w:t>p</w:t>
      </w:r>
      <w:r w:rsidR="00BD4E6F" w:rsidRPr="00605E43">
        <w:t>urpose</w:t>
      </w:r>
      <w:r w:rsidR="004D1D85" w:rsidRPr="00605E43">
        <w:t xml:space="preserve"> of the document</w:t>
      </w:r>
      <w:r w:rsidR="009874F9">
        <w:t xml:space="preserve"> </w:t>
      </w:r>
    </w:p>
    <w:p w14:paraId="7E2A4642" w14:textId="1A2A2834" w:rsidR="00E55927" w:rsidRPr="00E309D9" w:rsidRDefault="001739AE" w:rsidP="00E55927">
      <w:pPr>
        <w:pStyle w:val="BodyText"/>
        <w:rPr>
          <w:rFonts w:ascii="Calibri" w:eastAsia="Malgun Gothic" w:hAnsi="Calibri"/>
          <w:lang w:eastAsia="ko-KR"/>
        </w:rPr>
      </w:pPr>
      <w:r w:rsidRPr="00BA2CAC">
        <w:rPr>
          <w:rFonts w:ascii="Calibri" w:eastAsia="Malgun Gothic" w:hAnsi="Calibri"/>
          <w:lang w:eastAsia="ko-KR"/>
        </w:rPr>
        <w:t xml:space="preserve">In response to these requirements, </w:t>
      </w:r>
      <w:r>
        <w:rPr>
          <w:rFonts w:ascii="Calibri" w:eastAsia="Malgun Gothic" w:hAnsi="Calibri" w:hint="eastAsia"/>
          <w:lang w:eastAsia="ko-KR"/>
        </w:rPr>
        <w:t>this paper proposes</w:t>
      </w:r>
      <w:r w:rsidRPr="00BA2CAC">
        <w:rPr>
          <w:rFonts w:ascii="Calibri" w:eastAsia="Malgun Gothic" w:hAnsi="Calibri"/>
          <w:lang w:eastAsia="ko-KR"/>
        </w:rPr>
        <w:t xml:space="preserve"> several amendments to </w:t>
      </w:r>
      <w:r>
        <w:rPr>
          <w:rFonts w:ascii="Calibri" w:eastAsia="Malgun Gothic" w:hAnsi="Calibri" w:hint="eastAsia"/>
          <w:lang w:eastAsia="ko-KR"/>
        </w:rPr>
        <w:t xml:space="preserve">the Guideline </w:t>
      </w:r>
      <w:r w:rsidRPr="00BA2CAC">
        <w:rPr>
          <w:rFonts w:ascii="Calibri" w:eastAsia="Malgun Gothic" w:hAnsi="Calibri"/>
          <w:lang w:eastAsia="ko-KR"/>
        </w:rPr>
        <w:t xml:space="preserve">G1172 </w:t>
      </w:r>
      <w:r>
        <w:rPr>
          <w:rFonts w:ascii="Calibri" w:eastAsia="Malgun Gothic" w:hAnsi="Calibri" w:hint="eastAsia"/>
          <w:lang w:eastAsia="ko-KR"/>
        </w:rPr>
        <w:t>on the</w:t>
      </w:r>
      <w:r w:rsidRPr="00BA2CAC">
        <w:rPr>
          <w:rFonts w:ascii="Calibri" w:eastAsia="Malgun Gothic" w:hAnsi="Calibri"/>
          <w:lang w:eastAsia="ko-KR"/>
        </w:rPr>
        <w:t xml:space="preserve"> </w:t>
      </w:r>
      <w:r>
        <w:rPr>
          <w:rFonts w:ascii="Calibri" w:eastAsia="Malgun Gothic" w:hAnsi="Calibri" w:hint="eastAsia"/>
          <w:lang w:eastAsia="ko-KR"/>
        </w:rPr>
        <w:t>M</w:t>
      </w:r>
      <w:r w:rsidRPr="00BA2CAC">
        <w:rPr>
          <w:rFonts w:ascii="Calibri" w:eastAsia="Malgun Gothic" w:hAnsi="Calibri"/>
          <w:lang w:eastAsia="ko-KR"/>
        </w:rPr>
        <w:t xml:space="preserve">arking of </w:t>
      </w:r>
      <w:r>
        <w:rPr>
          <w:rFonts w:ascii="Calibri" w:eastAsia="Malgun Gothic" w:hAnsi="Calibri" w:hint="eastAsia"/>
          <w:lang w:eastAsia="ko-KR"/>
        </w:rPr>
        <w:t>B</w:t>
      </w:r>
      <w:r w:rsidRPr="00BA2CAC">
        <w:rPr>
          <w:rFonts w:ascii="Calibri" w:eastAsia="Malgun Gothic" w:hAnsi="Calibri"/>
          <w:lang w:eastAsia="ko-KR"/>
        </w:rPr>
        <w:t xml:space="preserve">ridges and </w:t>
      </w:r>
      <w:r>
        <w:rPr>
          <w:rFonts w:ascii="Calibri" w:eastAsia="Malgun Gothic" w:hAnsi="Calibri" w:hint="eastAsia"/>
          <w:lang w:eastAsia="ko-KR"/>
        </w:rPr>
        <w:t>O</w:t>
      </w:r>
      <w:r w:rsidRPr="00BA2CAC">
        <w:rPr>
          <w:rFonts w:ascii="Calibri" w:eastAsia="Malgun Gothic" w:hAnsi="Calibri"/>
          <w:lang w:eastAsia="ko-KR"/>
        </w:rPr>
        <w:t xml:space="preserve">ther </w:t>
      </w:r>
      <w:r>
        <w:rPr>
          <w:rFonts w:ascii="Calibri" w:eastAsia="Malgun Gothic" w:hAnsi="Calibri" w:hint="eastAsia"/>
          <w:lang w:eastAsia="ko-KR"/>
        </w:rPr>
        <w:t>S</w:t>
      </w:r>
      <w:r w:rsidRPr="00BA2CAC">
        <w:rPr>
          <w:rFonts w:ascii="Calibri" w:eastAsia="Malgun Gothic" w:hAnsi="Calibri"/>
          <w:lang w:eastAsia="ko-KR"/>
        </w:rPr>
        <w:t xml:space="preserve">tructures </w:t>
      </w:r>
      <w:r>
        <w:rPr>
          <w:rFonts w:ascii="Calibri" w:eastAsia="Malgun Gothic" w:hAnsi="Calibri" w:hint="eastAsia"/>
          <w:lang w:eastAsia="ko-KR"/>
        </w:rPr>
        <w:t>O</w:t>
      </w:r>
      <w:r w:rsidRPr="00BA2CAC">
        <w:rPr>
          <w:rFonts w:ascii="Calibri" w:eastAsia="Malgun Gothic" w:hAnsi="Calibri"/>
          <w:lang w:eastAsia="ko-KR"/>
        </w:rPr>
        <w:t xml:space="preserve">ver </w:t>
      </w:r>
      <w:r>
        <w:rPr>
          <w:rFonts w:ascii="Calibri" w:eastAsia="Malgun Gothic" w:hAnsi="Calibri" w:hint="eastAsia"/>
          <w:lang w:eastAsia="ko-KR"/>
        </w:rPr>
        <w:t>N</w:t>
      </w:r>
      <w:r w:rsidRPr="00BA2CAC">
        <w:rPr>
          <w:rFonts w:ascii="Calibri" w:eastAsia="Malgun Gothic" w:hAnsi="Calibri"/>
          <w:lang w:eastAsia="ko-KR"/>
        </w:rPr>
        <w:t xml:space="preserve">avigable </w:t>
      </w:r>
      <w:r>
        <w:rPr>
          <w:rFonts w:ascii="Calibri" w:eastAsia="Malgun Gothic" w:hAnsi="Calibri" w:hint="eastAsia"/>
          <w:lang w:eastAsia="ko-KR"/>
        </w:rPr>
        <w:t>W</w:t>
      </w:r>
      <w:r w:rsidRPr="00BA2CAC">
        <w:rPr>
          <w:rFonts w:ascii="Calibri" w:eastAsia="Malgun Gothic" w:hAnsi="Calibri"/>
          <w:lang w:eastAsia="ko-KR"/>
        </w:rPr>
        <w:t>aters.</w:t>
      </w:r>
    </w:p>
    <w:p w14:paraId="36D645BE" w14:textId="77777777" w:rsidR="00B56BDF" w:rsidRPr="007A395D" w:rsidRDefault="00B56BDF" w:rsidP="00605E43">
      <w:pPr>
        <w:pStyle w:val="Heading2"/>
      </w:pPr>
      <w:r w:rsidRPr="007A395D">
        <w:t>Related documents</w:t>
      </w:r>
    </w:p>
    <w:p w14:paraId="53733F03" w14:textId="429A10E3" w:rsidR="00A446C9" w:rsidRPr="00237BAD" w:rsidRDefault="00E309D9" w:rsidP="004566EA">
      <w:pPr>
        <w:pStyle w:val="References"/>
        <w:numPr>
          <w:ilvl w:val="0"/>
          <w:numId w:val="17"/>
        </w:numPr>
        <w:tabs>
          <w:tab w:val="clear" w:pos="0"/>
          <w:tab w:val="left" w:pos="567"/>
        </w:tabs>
        <w:spacing w:line="240" w:lineRule="auto"/>
      </w:pPr>
      <w:r w:rsidRPr="00591623">
        <w:rPr>
          <w:rFonts w:ascii="Calibri" w:hAnsi="Calibri"/>
          <w:sz w:val="22"/>
          <w:szCs w:val="22"/>
        </w:rPr>
        <w:t xml:space="preserve">IALA </w:t>
      </w:r>
      <w:r w:rsidR="00166B7A">
        <w:rPr>
          <w:rFonts w:ascii="Calibri" w:eastAsia="Malgun Gothic" w:hAnsi="Calibri" w:hint="eastAsia"/>
          <w:sz w:val="22"/>
          <w:szCs w:val="22"/>
          <w:lang w:eastAsia="ko-KR"/>
        </w:rPr>
        <w:t xml:space="preserve">Guideline </w:t>
      </w:r>
      <w:r w:rsidR="004566EA" w:rsidRPr="00591623">
        <w:rPr>
          <w:rFonts w:ascii="Calibri" w:hAnsi="Calibri"/>
          <w:sz w:val="22"/>
          <w:szCs w:val="22"/>
          <w:lang w:eastAsia="de-DE"/>
        </w:rPr>
        <w:t>G1</w:t>
      </w:r>
      <w:r w:rsidR="004566EA" w:rsidRPr="00591623">
        <w:rPr>
          <w:rFonts w:ascii="Calibri" w:eastAsia="Malgun Gothic" w:hAnsi="Calibri"/>
          <w:sz w:val="22"/>
          <w:szCs w:val="22"/>
          <w:lang w:eastAsia="ko-KR"/>
        </w:rPr>
        <w:t>172</w:t>
      </w:r>
      <w:r w:rsidR="004566EA" w:rsidRPr="00591623">
        <w:rPr>
          <w:rFonts w:ascii="Calibri" w:hAnsi="Calibri"/>
          <w:sz w:val="22"/>
          <w:szCs w:val="22"/>
          <w:lang w:eastAsia="de-DE"/>
        </w:rPr>
        <w:t xml:space="preserve"> </w:t>
      </w:r>
      <w:r w:rsidR="004566EA" w:rsidRPr="00591623">
        <w:rPr>
          <w:rFonts w:ascii="Calibri" w:eastAsia="Malgun Gothic" w:hAnsi="Calibri"/>
          <w:sz w:val="22"/>
          <w:szCs w:val="22"/>
          <w:lang w:eastAsia="ko-KR"/>
        </w:rPr>
        <w:t xml:space="preserve">on the Marking of Bridges and Other Structures Over Navigable Waters </w:t>
      </w:r>
    </w:p>
    <w:p w14:paraId="1C14595D" w14:textId="77777777" w:rsidR="00237BAD" w:rsidRDefault="00237BAD" w:rsidP="00237BAD">
      <w:pPr>
        <w:pStyle w:val="Heading1"/>
      </w:pPr>
      <w:r>
        <w:rPr>
          <w:rFonts w:hint="eastAsia"/>
        </w:rPr>
        <w:t>Background</w:t>
      </w:r>
    </w:p>
    <w:p w14:paraId="73A088A2" w14:textId="2B86B5E0" w:rsidR="00FC3A83" w:rsidRDefault="00AD4628" w:rsidP="00383B43">
      <w:pPr>
        <w:pStyle w:val="BodyText"/>
        <w:rPr>
          <w:rFonts w:ascii="Calibri" w:eastAsia="Malgun Gothic" w:hAnsi="Calibri"/>
          <w:lang w:eastAsia="ko-KR"/>
        </w:rPr>
      </w:pPr>
      <w:r w:rsidRPr="00FC3A83">
        <w:rPr>
          <w:rFonts w:ascii="Calibri" w:eastAsia="Malgun Gothic" w:hAnsi="Calibri"/>
          <w:lang w:eastAsia="ko-KR"/>
        </w:rPr>
        <w:t xml:space="preserve">A research </w:t>
      </w:r>
      <w:r w:rsidRPr="00FC3A83">
        <w:rPr>
          <w:rFonts w:ascii="Calibri" w:eastAsia="Malgun Gothic" w:hAnsi="Calibri" w:hint="eastAsia"/>
          <w:lang w:eastAsia="ko-KR"/>
        </w:rPr>
        <w:t xml:space="preserve">project </w:t>
      </w:r>
      <w:r w:rsidRPr="00FC3A83">
        <w:rPr>
          <w:rFonts w:ascii="Calibri" w:eastAsia="Malgun Gothic" w:hAnsi="Calibri"/>
          <w:lang w:eastAsia="ko-KR"/>
        </w:rPr>
        <w:t xml:space="preserve">supported by the </w:t>
      </w:r>
      <w:r w:rsidR="00166B7A">
        <w:rPr>
          <w:rFonts w:ascii="Calibri" w:eastAsia="Malgun Gothic" w:hAnsi="Calibri" w:hint="eastAsia"/>
          <w:lang w:eastAsia="ko-KR"/>
        </w:rPr>
        <w:t xml:space="preserve">Korean </w:t>
      </w:r>
      <w:r w:rsidRPr="00FC3A83">
        <w:rPr>
          <w:rFonts w:ascii="Calibri" w:eastAsia="Malgun Gothic" w:hAnsi="Calibri"/>
          <w:lang w:eastAsia="ko-KR"/>
        </w:rPr>
        <w:t xml:space="preserve">government is currently being conducted in </w:t>
      </w:r>
      <w:r w:rsidR="00166B7A">
        <w:rPr>
          <w:rFonts w:ascii="Calibri" w:eastAsia="Malgun Gothic" w:hAnsi="Calibri" w:hint="eastAsia"/>
          <w:lang w:eastAsia="ko-KR"/>
        </w:rPr>
        <w:t xml:space="preserve">the Republic of </w:t>
      </w:r>
      <w:r w:rsidRPr="00FC3A83">
        <w:rPr>
          <w:rFonts w:ascii="Calibri" w:eastAsia="Malgun Gothic" w:hAnsi="Calibri"/>
          <w:lang w:eastAsia="ko-KR"/>
        </w:rPr>
        <w:t>Korea to develop hydrographic information</w:t>
      </w:r>
      <w:r w:rsidRPr="00FC3A83">
        <w:rPr>
          <w:rFonts w:ascii="Calibri" w:eastAsia="Malgun Gothic" w:hAnsi="Calibri" w:hint="eastAsia"/>
          <w:lang w:eastAsia="ko-KR"/>
        </w:rPr>
        <w:t xml:space="preserve"> </w:t>
      </w:r>
      <w:r w:rsidRPr="00FC3A83">
        <w:rPr>
          <w:rFonts w:ascii="Calibri" w:eastAsia="Malgun Gothic" w:hAnsi="Calibri"/>
          <w:lang w:eastAsia="ko-KR"/>
        </w:rPr>
        <w:t>standards</w:t>
      </w:r>
      <w:r w:rsidRPr="00FC3A83">
        <w:rPr>
          <w:rFonts w:ascii="Calibri" w:eastAsia="Malgun Gothic" w:hAnsi="Calibri" w:hint="eastAsia"/>
          <w:lang w:eastAsia="ko-KR"/>
        </w:rPr>
        <w:t xml:space="preserve"> for smart ships installed </w:t>
      </w:r>
      <w:r w:rsidRPr="00FC3A83">
        <w:rPr>
          <w:rFonts w:ascii="Calibri" w:eastAsia="Malgun Gothic" w:hAnsi="Calibri"/>
          <w:lang w:eastAsia="ko-KR"/>
        </w:rPr>
        <w:t xml:space="preserve">in </w:t>
      </w:r>
      <w:r w:rsidRPr="00FC3A83">
        <w:rPr>
          <w:rFonts w:ascii="Calibri" w:eastAsia="Malgun Gothic" w:hAnsi="Calibri" w:hint="eastAsia"/>
          <w:lang w:eastAsia="ko-KR"/>
        </w:rPr>
        <w:t xml:space="preserve">autonomous </w:t>
      </w:r>
      <w:r w:rsidRPr="00FC3A83">
        <w:rPr>
          <w:rFonts w:ascii="Calibri" w:eastAsia="Malgun Gothic" w:hAnsi="Calibri"/>
          <w:lang w:eastAsia="ko-KR"/>
        </w:rPr>
        <w:t>systems. This initiative aims to create new and enhanced hydrographic information models coinciding with the rollout of autonomous shipping. The project has made advancements in developing models for Dynamic Over</w:t>
      </w:r>
      <w:r w:rsidRPr="00FC3A83">
        <w:rPr>
          <w:rFonts w:ascii="Calibri" w:eastAsia="Malgun Gothic" w:hAnsi="Calibri" w:hint="eastAsia"/>
          <w:lang w:eastAsia="ko-KR"/>
        </w:rPr>
        <w:t>H</w:t>
      </w:r>
      <w:r w:rsidRPr="00FC3A83">
        <w:rPr>
          <w:rFonts w:ascii="Calibri" w:eastAsia="Malgun Gothic" w:hAnsi="Calibri"/>
          <w:lang w:eastAsia="ko-KR"/>
        </w:rPr>
        <w:t>ead Clearance (DOHC), maritime traffic information</w:t>
      </w:r>
      <w:r w:rsidR="00F2297D" w:rsidRPr="00F2297D">
        <w:rPr>
          <w:rFonts w:ascii="Calibri" w:eastAsia="Malgun Gothic" w:hAnsi="Calibri" w:hint="eastAsia"/>
          <w:lang w:eastAsia="ko-KR"/>
        </w:rPr>
        <w:t xml:space="preserve"> </w:t>
      </w:r>
      <w:r w:rsidRPr="00FC3A83">
        <w:rPr>
          <w:rFonts w:ascii="Calibri" w:eastAsia="Malgun Gothic" w:hAnsi="Calibri"/>
          <w:lang w:eastAsia="ko-KR"/>
        </w:rPr>
        <w:t xml:space="preserve">based on the analysis of the S-100 hydrographic information model requirements. </w:t>
      </w:r>
    </w:p>
    <w:p w14:paraId="3C057AA2" w14:textId="4175C69F" w:rsidR="001048EC" w:rsidRPr="001048EC" w:rsidRDefault="00F2297D" w:rsidP="00383B43">
      <w:pPr>
        <w:pStyle w:val="BodyText"/>
        <w:rPr>
          <w:rFonts w:ascii="Calibri" w:eastAsia="Malgun Gothic" w:hAnsi="Calibri"/>
          <w:lang w:eastAsia="ko-KR"/>
        </w:rPr>
      </w:pPr>
      <w:r w:rsidRPr="00F2297D">
        <w:rPr>
          <w:rFonts w:ascii="Calibri" w:eastAsia="Malgun Gothic" w:hAnsi="Calibri"/>
          <w:lang w:eastAsia="ko-KR"/>
        </w:rPr>
        <w:t>This research has underscored the need for diverse services to address the requirements of both current vessels and the advent of autonomous shipping. A significant discovery is the critical role of dynamic data in ensuring maritime safety. Consequently, the necessity for new services facilitating bridge transits, which consider such dynamic data, has been established. Accordingly, we are submitting input data to propose revisions that incorporate these critical findings.</w:t>
      </w:r>
    </w:p>
    <w:p w14:paraId="7BD71357" w14:textId="69FC0AF2" w:rsidR="00237BAD" w:rsidRDefault="00AD4628" w:rsidP="00383B43">
      <w:pPr>
        <w:pStyle w:val="BodyText"/>
        <w:rPr>
          <w:rFonts w:ascii="Calibri" w:eastAsia="Malgun Gothic" w:hAnsi="Calibri"/>
          <w:lang w:eastAsia="ko-KR"/>
        </w:rPr>
      </w:pPr>
      <w:r w:rsidRPr="00FC3A83">
        <w:rPr>
          <w:rFonts w:ascii="Calibri" w:eastAsia="Malgun Gothic" w:hAnsi="Calibri"/>
          <w:lang w:eastAsia="ko-KR"/>
        </w:rPr>
        <w:lastRenderedPageBreak/>
        <w:t xml:space="preserve">This </w:t>
      </w:r>
      <w:r w:rsidR="00166B7A">
        <w:rPr>
          <w:rFonts w:ascii="Calibri" w:eastAsia="Malgun Gothic" w:hAnsi="Calibri" w:hint="eastAsia"/>
          <w:lang w:eastAsia="ko-KR"/>
        </w:rPr>
        <w:t>paper</w:t>
      </w:r>
      <w:r w:rsidRPr="00FC3A83">
        <w:rPr>
          <w:rFonts w:ascii="Calibri" w:eastAsia="Malgun Gothic" w:hAnsi="Calibri"/>
          <w:lang w:eastAsia="ko-KR"/>
        </w:rPr>
        <w:t xml:space="preserve"> will specifically address the DOHC component</w:t>
      </w:r>
      <w:r w:rsidR="00166B7A">
        <w:rPr>
          <w:rFonts w:ascii="Calibri" w:eastAsia="Malgun Gothic" w:hAnsi="Calibri" w:hint="eastAsia"/>
          <w:lang w:eastAsia="ko-KR"/>
        </w:rPr>
        <w:t xml:space="preserve"> of the project</w:t>
      </w:r>
      <w:r w:rsidRPr="00FC3A83">
        <w:rPr>
          <w:rFonts w:ascii="Calibri" w:eastAsia="Malgun Gothic" w:hAnsi="Calibri"/>
          <w:lang w:eastAsia="ko-KR"/>
        </w:rPr>
        <w:t>, highlighting the critical need for dynamic calculations that factor in both the dimensions of the vessel and tidal changes to accurately assess the clearance height available under bridges and other navigational obstacles for both crewed and autonomous vessels.</w:t>
      </w:r>
      <w:r w:rsidR="00FC3A83">
        <w:rPr>
          <w:rFonts w:ascii="Calibri" w:eastAsia="Malgun Gothic" w:hAnsi="Calibri" w:hint="eastAsia"/>
          <w:lang w:eastAsia="ko-KR"/>
        </w:rPr>
        <w:t xml:space="preserve"> </w:t>
      </w:r>
      <w:r w:rsidR="00354987" w:rsidRPr="00354987">
        <w:rPr>
          <w:rFonts w:ascii="Calibri" w:eastAsia="Malgun Gothic" w:hAnsi="Calibri"/>
          <w:lang w:eastAsia="ko-KR"/>
        </w:rPr>
        <w:t>This calculation must take into account the vessel's specifications dynamically and include adjustments for tidal changes.</w:t>
      </w:r>
      <w:r w:rsidR="002F4AE6">
        <w:rPr>
          <w:rFonts w:ascii="Calibri" w:eastAsia="Malgun Gothic" w:hAnsi="Calibri" w:hint="eastAsia"/>
          <w:lang w:eastAsia="ko-KR"/>
        </w:rPr>
        <w:t xml:space="preserve"> </w:t>
      </w:r>
      <w:r w:rsidR="002F4AE6" w:rsidRPr="002F4AE6">
        <w:rPr>
          <w:rFonts w:ascii="Calibri" w:eastAsia="Malgun Gothic" w:hAnsi="Calibri"/>
          <w:lang w:eastAsia="ko-KR"/>
        </w:rPr>
        <w:t xml:space="preserve">Based on the outcomes of </w:t>
      </w:r>
      <w:r w:rsidR="00947090">
        <w:rPr>
          <w:rFonts w:ascii="Calibri" w:eastAsia="Malgun Gothic" w:hAnsi="Calibri" w:hint="eastAsia"/>
          <w:lang w:eastAsia="ko-KR"/>
        </w:rPr>
        <w:t>DOHC</w:t>
      </w:r>
      <w:r w:rsidR="002F4AE6" w:rsidRPr="002F4AE6">
        <w:rPr>
          <w:rFonts w:ascii="Calibri" w:eastAsia="Malgun Gothic" w:hAnsi="Calibri"/>
          <w:lang w:eastAsia="ko-KR"/>
        </w:rPr>
        <w:t xml:space="preserve"> calculations, information categorizing the navigability of bridges and other obstacles into three levels should be provided. This categorization will enable both crewed and autonomous vessels to use this information, thereby preventing potential collisions.</w:t>
      </w:r>
    </w:p>
    <w:p w14:paraId="339A1E76" w14:textId="1EE97802" w:rsidR="0042270A" w:rsidRPr="0042270A" w:rsidRDefault="0042270A" w:rsidP="00383B43">
      <w:pPr>
        <w:pStyle w:val="BodyText"/>
        <w:rPr>
          <w:rFonts w:ascii="Calibri" w:eastAsia="Malgun Gothic" w:hAnsi="Calibri"/>
          <w:lang w:eastAsia="ko-KR"/>
        </w:rPr>
      </w:pPr>
      <w:r w:rsidRPr="00591623">
        <w:rPr>
          <w:rFonts w:ascii="Calibri" w:eastAsia="Malgun Gothic" w:hAnsi="Calibri"/>
          <w:lang w:eastAsia="ko-KR"/>
        </w:rPr>
        <w:t xml:space="preserve">Guideline G1172 provides a framework for marking bridges and other structures, with a focus on static information. The importance of coastal states supplying ships with accurate and timely dynamic information has been underscored, facilitating a safer navigation process by enabling ships to allocate attention to additional navigational concerns when traversing bridges. In light of this, the paper </w:t>
      </w:r>
      <w:r w:rsidR="005143CD">
        <w:rPr>
          <w:rFonts w:ascii="Calibri" w:eastAsia="Malgun Gothic" w:hAnsi="Calibri" w:hint="eastAsia"/>
          <w:lang w:eastAsia="ko-KR"/>
        </w:rPr>
        <w:t>proposes</w:t>
      </w:r>
      <w:r w:rsidRPr="00591623">
        <w:rPr>
          <w:rFonts w:ascii="Calibri" w:eastAsia="Malgun Gothic" w:hAnsi="Calibri"/>
          <w:lang w:eastAsia="ko-KR"/>
        </w:rPr>
        <w:t xml:space="preserve"> minor modifications to G1172, aimed at improving the sharing of dynamic information. These proposed revisions are designed to bridge the gap between current practices and the evolving needs of </w:t>
      </w:r>
      <w:r w:rsidR="005143CD">
        <w:rPr>
          <w:rFonts w:ascii="Calibri" w:eastAsia="Malgun Gothic" w:hAnsi="Calibri" w:hint="eastAsia"/>
          <w:lang w:eastAsia="ko-KR"/>
        </w:rPr>
        <w:t xml:space="preserve">the safety of </w:t>
      </w:r>
      <w:r w:rsidRPr="00591623">
        <w:rPr>
          <w:rFonts w:ascii="Calibri" w:eastAsia="Malgun Gothic" w:hAnsi="Calibri"/>
          <w:lang w:eastAsia="ko-KR"/>
        </w:rPr>
        <w:t>navigation</w:t>
      </w:r>
      <w:r w:rsidR="005143CD">
        <w:rPr>
          <w:rFonts w:ascii="Calibri" w:eastAsia="Malgun Gothic" w:hAnsi="Calibri" w:hint="eastAsia"/>
          <w:lang w:eastAsia="ko-KR"/>
        </w:rPr>
        <w:t>.</w:t>
      </w:r>
    </w:p>
    <w:p w14:paraId="041E9135" w14:textId="77777777" w:rsidR="00A446C9" w:rsidRPr="007A395D" w:rsidRDefault="00A446C9" w:rsidP="00605E43">
      <w:pPr>
        <w:pStyle w:val="Heading1"/>
      </w:pPr>
      <w:r w:rsidRPr="007A395D">
        <w:t>Discussion</w:t>
      </w:r>
    </w:p>
    <w:p w14:paraId="0BCF18D2" w14:textId="07C11FA7" w:rsidR="008B24FD" w:rsidRDefault="00241BF5" w:rsidP="008B24FD">
      <w:pPr>
        <w:pStyle w:val="Heading2"/>
        <w:rPr>
          <w:rFonts w:eastAsia="Malgun Gothic"/>
          <w:lang w:eastAsia="ko-KR"/>
        </w:rPr>
      </w:pPr>
      <w:r>
        <w:rPr>
          <w:rFonts w:eastAsia="Malgun Gothic" w:hint="eastAsia"/>
          <w:lang w:eastAsia="ko-KR"/>
        </w:rPr>
        <w:t>cALCULATION</w:t>
      </w:r>
      <w:r w:rsidR="00CA0926">
        <w:rPr>
          <w:rFonts w:eastAsia="Malgun Gothic" w:hint="eastAsia"/>
          <w:lang w:eastAsia="ko-KR"/>
        </w:rPr>
        <w:t xml:space="preserve"> OF DYNAMIC OVERHEAD CLEARANCE</w:t>
      </w:r>
    </w:p>
    <w:p w14:paraId="3A024E36" w14:textId="13ACADB2" w:rsidR="00F2297D" w:rsidRPr="00591623" w:rsidRDefault="00262F8B" w:rsidP="00CA0926">
      <w:pPr>
        <w:pStyle w:val="BodyText"/>
        <w:rPr>
          <w:rFonts w:ascii="Calibri" w:eastAsia="Malgun Gothic" w:hAnsi="Calibri"/>
          <w:lang w:eastAsia="ko-KR"/>
        </w:rPr>
      </w:pPr>
      <w:r w:rsidRPr="00591623">
        <w:rPr>
          <w:rFonts w:ascii="Calibri" w:eastAsia="Malgun Gothic" w:hAnsi="Calibri"/>
          <w:lang w:eastAsia="ko-KR"/>
        </w:rPr>
        <w:t>DOHC</w:t>
      </w:r>
      <w:r w:rsidR="009836B9" w:rsidRPr="00591623">
        <w:rPr>
          <w:rFonts w:ascii="Calibri" w:eastAsia="Malgun Gothic" w:hAnsi="Calibri"/>
          <w:lang w:eastAsia="ko-KR"/>
        </w:rPr>
        <w:t xml:space="preserve"> is determined using three variables: </w:t>
      </w:r>
      <w:r w:rsidR="00DD7389" w:rsidRPr="00591623">
        <w:rPr>
          <w:rFonts w:ascii="Calibri" w:eastAsia="Malgun Gothic" w:hAnsi="Calibri"/>
          <w:lang w:eastAsia="ko-KR"/>
        </w:rPr>
        <w:t xml:space="preserve">Overall height of the bridge, Real-time water level, and Air draft. </w:t>
      </w:r>
      <w:r w:rsidR="00B4046D" w:rsidRPr="00591623">
        <w:rPr>
          <w:rFonts w:ascii="Calibri" w:eastAsia="Malgun Gothic" w:hAnsi="Calibri"/>
          <w:lang w:eastAsia="ko-KR"/>
        </w:rPr>
        <w:t>DOHC is</w:t>
      </w:r>
      <w:r w:rsidR="00DD7389" w:rsidRPr="00591623">
        <w:rPr>
          <w:rFonts w:ascii="Calibri" w:eastAsia="Malgun Gothic" w:hAnsi="Calibri"/>
          <w:lang w:eastAsia="ko-KR"/>
        </w:rPr>
        <w:t xml:space="preserve"> </w:t>
      </w:r>
      <w:r w:rsidR="00DB4C29" w:rsidRPr="00591623">
        <w:rPr>
          <w:rFonts w:ascii="Calibri" w:eastAsia="Malgun Gothic" w:hAnsi="Calibri"/>
          <w:lang w:eastAsia="ko-KR"/>
        </w:rPr>
        <w:t xml:space="preserve">calculated by subtracting Real-time water level and Air draft from Overall height of the bridge. </w:t>
      </w:r>
      <w:r w:rsidR="00DD7389" w:rsidRPr="00591623">
        <w:rPr>
          <w:rFonts w:ascii="Calibri" w:eastAsia="Malgun Gothic" w:hAnsi="Calibri"/>
          <w:lang w:eastAsia="ko-KR"/>
        </w:rPr>
        <w:t xml:space="preserve">Overall height of the bridge is the height from the seabed to the bottom of the bridge. Thus, it is calculated by adding Vertical Datum for Charted Vertical Clearance (CVC) to CVC as Equation 2. </w:t>
      </w:r>
      <w:r w:rsidR="00F2297D" w:rsidRPr="00591623">
        <w:rPr>
          <w:rFonts w:ascii="Calibri" w:eastAsia="Malgun Gothic" w:hAnsi="Calibri"/>
          <w:lang w:eastAsia="ko-KR"/>
        </w:rPr>
        <w:t>CVC is the height between verticl datum for CVC and the bottom of the brdige. Vertical Datum for CVC is differently defined by each contry. For example, USA and Canada use different Vertial Datum for CVC as Mean High Water(MHW) and High Astronomical Tide(HAT) respectively as shown in Figure 1.</w:t>
      </w:r>
    </w:p>
    <w:p w14:paraId="5B9CC306" w14:textId="295B6C75" w:rsidR="00F2297D" w:rsidRDefault="00591623" w:rsidP="00F2297D">
      <w:pPr>
        <w:pStyle w:val="BodyText"/>
        <w:jc w:val="center"/>
        <w:rPr>
          <w:rFonts w:ascii="Segoe UI" w:eastAsia="Malgun Gothic" w:hAnsi="Segoe UI" w:cs="Segoe UI"/>
          <w:color w:val="0D0D0D"/>
          <w:shd w:val="clear" w:color="auto" w:fill="FFFFFF"/>
          <w:lang w:eastAsia="ko-KR"/>
        </w:rPr>
      </w:pPr>
      <w:r w:rsidRPr="00591623">
        <w:rPr>
          <w:rFonts w:hint="eastAsia"/>
          <w:noProof/>
        </w:rPr>
        <w:drawing>
          <wp:inline distT="0" distB="0" distL="0" distR="0" wp14:anchorId="2F024149" wp14:editId="49932B2C">
            <wp:extent cx="5999820" cy="1710055"/>
            <wp:effectExtent l="0" t="0" r="1270" b="4445"/>
            <wp:docPr id="10530350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1627" cy="1710570"/>
                    </a:xfrm>
                    <a:prstGeom prst="rect">
                      <a:avLst/>
                    </a:prstGeom>
                    <a:noFill/>
                    <a:ln>
                      <a:noFill/>
                    </a:ln>
                  </pic:spPr>
                </pic:pic>
              </a:graphicData>
            </a:graphic>
          </wp:inline>
        </w:drawing>
      </w:r>
    </w:p>
    <w:p w14:paraId="1EC79685" w14:textId="76803DDE" w:rsidR="00F2297D" w:rsidRPr="00262F8B" w:rsidRDefault="00F2297D" w:rsidP="00F2297D">
      <w:pPr>
        <w:pStyle w:val="BodyText"/>
        <w:jc w:val="center"/>
        <w:rPr>
          <w:rFonts w:eastAsia="Malgun Gothic"/>
          <w:lang w:eastAsia="ko-KR"/>
        </w:rPr>
      </w:pPr>
      <w:r>
        <w:rPr>
          <w:rFonts w:eastAsia="Malgun Gothic" w:hint="eastAsia"/>
          <w:lang w:eastAsia="ko-KR"/>
        </w:rPr>
        <w:t xml:space="preserve">Figure 1. </w:t>
      </w:r>
      <w:r w:rsidR="00A55313">
        <w:rPr>
          <w:rFonts w:eastAsia="Malgun Gothic" w:hint="eastAsia"/>
          <w:lang w:eastAsia="ko-KR"/>
        </w:rPr>
        <w:t xml:space="preserve">Examples of </w:t>
      </w:r>
      <w:r w:rsidR="00037645">
        <w:rPr>
          <w:rFonts w:eastAsia="Malgun Gothic" w:hint="eastAsia"/>
          <w:lang w:eastAsia="ko-KR"/>
        </w:rPr>
        <w:t xml:space="preserve">different ways of calculating the Vertical Datum </w:t>
      </w:r>
      <w:r>
        <w:rPr>
          <w:rFonts w:eastAsia="Malgun Gothic" w:hint="eastAsia"/>
          <w:lang w:eastAsia="ko-KR"/>
        </w:rPr>
        <w:t>for CVC</w:t>
      </w:r>
    </w:p>
    <w:p w14:paraId="641E196C" w14:textId="6F9588B1" w:rsidR="00CA0926" w:rsidRPr="00591623" w:rsidRDefault="00DD7389" w:rsidP="00CA0926">
      <w:pPr>
        <w:pStyle w:val="BodyText"/>
        <w:rPr>
          <w:rFonts w:ascii="Calibri" w:eastAsia="Malgun Gothic" w:hAnsi="Calibri"/>
          <w:lang w:eastAsia="ko-KR"/>
        </w:rPr>
      </w:pPr>
      <w:r w:rsidRPr="00591623">
        <w:rPr>
          <w:rFonts w:ascii="Calibri" w:eastAsia="Malgun Gothic" w:hAnsi="Calibri"/>
          <w:lang w:eastAsia="ko-KR"/>
        </w:rPr>
        <w:t xml:space="preserve">Real-time water level is the depth from the seabed to sea level in real-time. </w:t>
      </w:r>
      <w:r w:rsidR="00947090" w:rsidRPr="00591623">
        <w:rPr>
          <w:rFonts w:ascii="Calibri" w:eastAsia="Malgun Gothic" w:hAnsi="Calibri"/>
          <w:lang w:eastAsia="ko-KR"/>
        </w:rPr>
        <w:t>Air draft is calculated by subtracting the ship's draft from its overall height</w:t>
      </w:r>
      <w:r w:rsidRPr="00591623">
        <w:rPr>
          <w:rFonts w:ascii="Calibri" w:eastAsia="Malgun Gothic" w:hAnsi="Calibri"/>
          <w:lang w:eastAsia="ko-KR"/>
        </w:rPr>
        <w:t xml:space="preserve"> as Equation 3</w:t>
      </w:r>
      <w:r w:rsidR="00947090" w:rsidRPr="00591623">
        <w:rPr>
          <w:rFonts w:ascii="Calibri" w:eastAsia="Malgun Gothic" w:hAnsi="Calibri"/>
          <w:lang w:eastAsia="ko-KR"/>
        </w:rPr>
        <w:t>.</w:t>
      </w:r>
      <w:r w:rsidR="00262F8B" w:rsidRPr="00591623">
        <w:rPr>
          <w:rFonts w:ascii="Calibri" w:eastAsia="Malgun Gothic" w:hAnsi="Calibri"/>
          <w:lang w:eastAsia="ko-KR"/>
        </w:rPr>
        <w:t xml:space="preserve"> Figure </w:t>
      </w:r>
      <w:r w:rsidR="00F2297D" w:rsidRPr="00591623">
        <w:rPr>
          <w:rFonts w:ascii="Calibri" w:eastAsia="Malgun Gothic" w:hAnsi="Calibri"/>
          <w:lang w:eastAsia="ko-KR"/>
        </w:rPr>
        <w:t>2</w:t>
      </w:r>
      <w:r w:rsidR="00262F8B" w:rsidRPr="00591623">
        <w:rPr>
          <w:rFonts w:ascii="Calibri" w:eastAsia="Malgun Gothic" w:hAnsi="Calibri"/>
          <w:lang w:eastAsia="ko-KR"/>
        </w:rPr>
        <w:t xml:space="preserve"> explains the variables of </w:t>
      </w:r>
      <w:r w:rsidRPr="00591623">
        <w:rPr>
          <w:rFonts w:ascii="Calibri" w:eastAsia="Malgun Gothic" w:hAnsi="Calibri"/>
          <w:lang w:eastAsia="ko-KR"/>
        </w:rPr>
        <w:t xml:space="preserve">the </w:t>
      </w:r>
      <w:r w:rsidR="00262F8B" w:rsidRPr="00591623">
        <w:rPr>
          <w:rFonts w:ascii="Calibri" w:eastAsia="Malgun Gothic" w:hAnsi="Calibri"/>
          <w:lang w:eastAsia="ko-KR"/>
        </w:rPr>
        <w:t>equation</w:t>
      </w:r>
      <w:r w:rsidRPr="00591623">
        <w:rPr>
          <w:rFonts w:ascii="Calibri" w:eastAsia="Malgun Gothic" w:hAnsi="Calibri"/>
          <w:lang w:eastAsia="ko-KR"/>
        </w:rPr>
        <w:t>s</w:t>
      </w:r>
    </w:p>
    <w:p w14:paraId="6BE26B8E" w14:textId="77777777" w:rsidR="00DD7389" w:rsidRPr="005B6878" w:rsidRDefault="00DD7389" w:rsidP="00CA0926">
      <w:pPr>
        <w:pStyle w:val="BodyText"/>
        <w:rPr>
          <w:rFonts w:ascii="Segoe UI" w:eastAsia="Malgun Gothic" w:hAnsi="Segoe UI" w:cs="Segoe UI"/>
          <w:color w:val="0D0D0D"/>
          <w:shd w:val="clear" w:color="auto" w:fill="FFFFFF"/>
          <w:lang w:val="fr-FR" w:eastAsia="ko-KR"/>
        </w:rPr>
      </w:pPr>
    </w:p>
    <w:p w14:paraId="1D67D267" w14:textId="0E7791CB" w:rsidR="00262F8B" w:rsidRDefault="00DD7389" w:rsidP="00262F8B">
      <w:pPr>
        <w:pStyle w:val="BodyText"/>
        <w:jc w:val="center"/>
        <w:rPr>
          <w:rFonts w:eastAsia="Malgun Gothic"/>
          <w:lang w:eastAsia="ko-KR"/>
        </w:rPr>
      </w:pPr>
      <w:r w:rsidRPr="00DD7389">
        <w:rPr>
          <w:noProof/>
          <w:lang w:val="en-US" w:eastAsia="ko-KR"/>
        </w:rPr>
        <w:lastRenderedPageBreak/>
        <w:drawing>
          <wp:inline distT="0" distB="0" distL="0" distR="0" wp14:anchorId="70717D88" wp14:editId="79F1EF2F">
            <wp:extent cx="6000037" cy="2254216"/>
            <wp:effectExtent l="0" t="0" r="0" b="0"/>
            <wp:docPr id="13603401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1075" cy="2262120"/>
                    </a:xfrm>
                    <a:prstGeom prst="rect">
                      <a:avLst/>
                    </a:prstGeom>
                    <a:noFill/>
                    <a:ln>
                      <a:noFill/>
                    </a:ln>
                  </pic:spPr>
                </pic:pic>
              </a:graphicData>
            </a:graphic>
          </wp:inline>
        </w:drawing>
      </w:r>
    </w:p>
    <w:p w14:paraId="7E9A826A" w14:textId="48A83130" w:rsidR="00262F8B" w:rsidRDefault="00262F8B" w:rsidP="00262F8B">
      <w:pPr>
        <w:pStyle w:val="BodyText"/>
        <w:jc w:val="center"/>
        <w:rPr>
          <w:rFonts w:eastAsia="Malgun Gothic"/>
          <w:lang w:eastAsia="ko-KR"/>
        </w:rPr>
      </w:pPr>
      <w:r>
        <w:rPr>
          <w:rFonts w:eastAsia="Malgun Gothic" w:hint="eastAsia"/>
          <w:lang w:eastAsia="ko-KR"/>
        </w:rPr>
        <w:t xml:space="preserve">Figure </w:t>
      </w:r>
      <w:r w:rsidR="00F2297D">
        <w:rPr>
          <w:rFonts w:eastAsia="Malgun Gothic" w:hint="eastAsia"/>
          <w:lang w:eastAsia="ko-KR"/>
        </w:rPr>
        <w:t>2</w:t>
      </w:r>
      <w:r>
        <w:rPr>
          <w:rFonts w:eastAsia="Malgun Gothic" w:hint="eastAsia"/>
          <w:lang w:eastAsia="ko-KR"/>
        </w:rPr>
        <w:t>. Concept of the calculation of DOHC</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1411"/>
      </w:tblGrid>
      <w:tr w:rsidR="00F2297D" w14:paraId="12315DB5" w14:textId="77777777" w:rsidTr="00BD28E3">
        <w:tc>
          <w:tcPr>
            <w:tcW w:w="8217" w:type="dxa"/>
          </w:tcPr>
          <w:p w14:paraId="348339F9" w14:textId="77777777" w:rsidR="00F2297D" w:rsidRPr="00E41294" w:rsidRDefault="00F2297D" w:rsidP="00BD28E3">
            <w:pPr>
              <w:pStyle w:val="BodyText"/>
              <w:rPr>
                <w:rFonts w:eastAsia="Malgun Gothic"/>
                <w:lang w:eastAsia="ko-KR"/>
              </w:rPr>
            </w:pPr>
            <m:oMathPara>
              <m:oMathParaPr>
                <m:jc m:val="center"/>
              </m:oMathParaPr>
              <m:oMath>
                <m:r>
                  <w:rPr>
                    <w:rFonts w:ascii="Cambria Math" w:eastAsia="Malgun Gothic" w:hAnsi="Cambria Math"/>
                    <w:lang w:eastAsia="ko-KR"/>
                  </w:rPr>
                  <m:t>DOHC=Overall hegiht of the bridge-Real</m:t>
                </m:r>
                <m:r>
                  <w:rPr>
                    <w:rFonts w:ascii="Cambria Math" w:eastAsia="Malgun Gothic" w:hAnsi="Cambria Math"/>
                    <w:w w:val="50"/>
                    <w:lang w:eastAsia="ko-KR"/>
                  </w:rPr>
                  <m:t>-</m:t>
                </m:r>
                <m:r>
                  <w:rPr>
                    <w:rFonts w:ascii="Cambria Math" w:eastAsia="Malgun Gothic" w:hAnsi="Cambria Math"/>
                    <w:lang w:eastAsia="ko-KR"/>
                  </w:rPr>
                  <m:t>time water level-Air draft</m:t>
                </m:r>
              </m:oMath>
            </m:oMathPara>
          </w:p>
        </w:tc>
        <w:tc>
          <w:tcPr>
            <w:tcW w:w="1411" w:type="dxa"/>
          </w:tcPr>
          <w:p w14:paraId="2953E2D2" w14:textId="77777777" w:rsidR="00F2297D" w:rsidRDefault="00F2297D" w:rsidP="00BD28E3">
            <w:pPr>
              <w:pStyle w:val="BodyText"/>
              <w:jc w:val="right"/>
              <w:rPr>
                <w:rFonts w:ascii="Segoe UI" w:eastAsia="Malgun Gothic" w:hAnsi="Segoe UI" w:cs="Segoe UI"/>
                <w:color w:val="0D0D0D"/>
                <w:shd w:val="clear" w:color="auto" w:fill="FFFFFF"/>
                <w:lang w:eastAsia="ko-KR"/>
              </w:rPr>
            </w:pPr>
            <w:r>
              <w:rPr>
                <w:rFonts w:ascii="Segoe UI" w:eastAsia="Malgun Gothic" w:hAnsi="Segoe UI" w:cs="Segoe UI" w:hint="eastAsia"/>
                <w:color w:val="0D0D0D"/>
                <w:shd w:val="clear" w:color="auto" w:fill="FFFFFF"/>
                <w:lang w:eastAsia="ko-KR"/>
              </w:rPr>
              <w:t>(1)</w:t>
            </w:r>
          </w:p>
        </w:tc>
      </w:tr>
      <w:tr w:rsidR="00F2297D" w14:paraId="3DEED136" w14:textId="77777777" w:rsidTr="00BD28E3">
        <w:tc>
          <w:tcPr>
            <w:tcW w:w="8217" w:type="dxa"/>
          </w:tcPr>
          <w:p w14:paraId="0AE4A88F" w14:textId="77777777" w:rsidR="00F2297D" w:rsidRPr="00E41294" w:rsidRDefault="00F2297D" w:rsidP="00BD28E3">
            <w:pPr>
              <w:pStyle w:val="BodyText"/>
              <w:rPr>
                <w:rFonts w:ascii="Segoe UI" w:eastAsia="Malgun Gothic" w:hAnsi="Segoe UI" w:cs="Segoe UI"/>
                <w:color w:val="0D0D0D"/>
                <w:shd w:val="clear" w:color="auto" w:fill="FFFFFF"/>
                <w:lang w:eastAsia="ko-KR"/>
              </w:rPr>
            </w:pPr>
            <m:oMathPara>
              <m:oMathParaPr>
                <m:jc m:val="center"/>
              </m:oMathParaPr>
              <m:oMath>
                <m:r>
                  <w:rPr>
                    <w:rFonts w:ascii="Cambria Math" w:eastAsia="Malgun Gothic" w:hAnsi="Cambria Math"/>
                    <w:lang w:eastAsia="ko-KR"/>
                  </w:rPr>
                  <m:t>Overall hegiht of the bridge=CVC+Vertical Datum for CVC</m:t>
                </m:r>
              </m:oMath>
            </m:oMathPara>
          </w:p>
        </w:tc>
        <w:tc>
          <w:tcPr>
            <w:tcW w:w="1411" w:type="dxa"/>
          </w:tcPr>
          <w:p w14:paraId="01232FD6" w14:textId="77777777" w:rsidR="00F2297D" w:rsidRDefault="00F2297D" w:rsidP="00BD28E3">
            <w:pPr>
              <w:pStyle w:val="BodyText"/>
              <w:jc w:val="right"/>
              <w:rPr>
                <w:rFonts w:ascii="Segoe UI" w:eastAsia="Malgun Gothic" w:hAnsi="Segoe UI" w:cs="Segoe UI"/>
                <w:color w:val="0D0D0D"/>
                <w:shd w:val="clear" w:color="auto" w:fill="FFFFFF"/>
                <w:lang w:eastAsia="ko-KR"/>
              </w:rPr>
            </w:pPr>
            <w:r>
              <w:rPr>
                <w:rFonts w:ascii="Segoe UI" w:eastAsia="Malgun Gothic" w:hAnsi="Segoe UI" w:cs="Segoe UI" w:hint="eastAsia"/>
                <w:color w:val="0D0D0D"/>
                <w:shd w:val="clear" w:color="auto" w:fill="FFFFFF"/>
                <w:lang w:eastAsia="ko-KR"/>
              </w:rPr>
              <w:t>(2)</w:t>
            </w:r>
          </w:p>
        </w:tc>
      </w:tr>
      <w:tr w:rsidR="00F2297D" w14:paraId="084525E3" w14:textId="77777777" w:rsidTr="00BD28E3">
        <w:tc>
          <w:tcPr>
            <w:tcW w:w="8217" w:type="dxa"/>
          </w:tcPr>
          <w:p w14:paraId="0DDCEA1D" w14:textId="77777777" w:rsidR="00F2297D" w:rsidRPr="00E41294" w:rsidRDefault="00F2297D" w:rsidP="00BD28E3">
            <w:pPr>
              <w:pStyle w:val="BodyText"/>
              <w:rPr>
                <w:rFonts w:ascii="Segoe UI" w:eastAsia="Malgun Gothic" w:hAnsi="Segoe UI" w:cs="Segoe UI"/>
                <w:color w:val="0D0D0D"/>
                <w:shd w:val="clear" w:color="auto" w:fill="FFFFFF"/>
                <w:lang w:eastAsia="ko-KR"/>
              </w:rPr>
            </w:pPr>
            <m:oMathPara>
              <m:oMathParaPr>
                <m:jc m:val="center"/>
              </m:oMathParaPr>
              <m:oMath>
                <m:r>
                  <w:rPr>
                    <w:rFonts w:ascii="Cambria Math" w:eastAsia="Malgun Gothic" w:hAnsi="Cambria Math"/>
                    <w:lang w:eastAsia="ko-KR"/>
                  </w:rPr>
                  <m:t>Air draft=Overall hegiht of ship-Draft</m:t>
                </m:r>
              </m:oMath>
            </m:oMathPara>
          </w:p>
        </w:tc>
        <w:tc>
          <w:tcPr>
            <w:tcW w:w="1411" w:type="dxa"/>
          </w:tcPr>
          <w:p w14:paraId="6F0E0791" w14:textId="77777777" w:rsidR="00F2297D" w:rsidRDefault="00F2297D" w:rsidP="00BD28E3">
            <w:pPr>
              <w:pStyle w:val="BodyText"/>
              <w:jc w:val="right"/>
              <w:rPr>
                <w:rFonts w:ascii="Segoe UI" w:eastAsia="Malgun Gothic" w:hAnsi="Segoe UI" w:cs="Segoe UI"/>
                <w:color w:val="0D0D0D"/>
                <w:shd w:val="clear" w:color="auto" w:fill="FFFFFF"/>
                <w:lang w:eastAsia="ko-KR"/>
              </w:rPr>
            </w:pPr>
            <w:r>
              <w:rPr>
                <w:rFonts w:ascii="Segoe UI" w:eastAsia="Malgun Gothic" w:hAnsi="Segoe UI" w:cs="Segoe UI" w:hint="eastAsia"/>
                <w:color w:val="0D0D0D"/>
                <w:shd w:val="clear" w:color="auto" w:fill="FFFFFF"/>
                <w:lang w:eastAsia="ko-KR"/>
              </w:rPr>
              <w:t>(3)</w:t>
            </w:r>
          </w:p>
        </w:tc>
      </w:tr>
    </w:tbl>
    <w:p w14:paraId="2FE7E7A7" w14:textId="77777777" w:rsidR="00CA0926" w:rsidRDefault="00CA0926" w:rsidP="00CA0926">
      <w:pPr>
        <w:pStyle w:val="Heading2"/>
        <w:rPr>
          <w:rFonts w:eastAsia="Malgun Gothic"/>
          <w:lang w:eastAsia="ko-KR"/>
        </w:rPr>
      </w:pPr>
      <w:r>
        <w:rPr>
          <w:rFonts w:eastAsia="Malgun Gothic" w:hint="eastAsia"/>
          <w:lang w:eastAsia="ko-KR"/>
        </w:rPr>
        <w:t>ADD THE MARKING OF DYNAMIC OVERHEAD CLEARANCE</w:t>
      </w:r>
    </w:p>
    <w:p w14:paraId="17388F23" w14:textId="4FCC8EC5" w:rsidR="00CA0926" w:rsidRPr="005F452A" w:rsidRDefault="00CE3101" w:rsidP="00CA0926">
      <w:pPr>
        <w:pStyle w:val="BodyText"/>
        <w:rPr>
          <w:rFonts w:ascii="Calibri" w:eastAsia="Malgun Gothic" w:hAnsi="Calibri"/>
          <w:lang w:eastAsia="ko-KR"/>
        </w:rPr>
      </w:pPr>
      <w:r w:rsidRPr="005F452A">
        <w:rPr>
          <w:rFonts w:ascii="Calibri" w:eastAsia="Malgun Gothic" w:hAnsi="Calibri"/>
          <w:lang w:eastAsia="ko-KR"/>
        </w:rPr>
        <w:t xml:space="preserve">The results from </w:t>
      </w:r>
      <w:r w:rsidRPr="005F452A">
        <w:rPr>
          <w:rFonts w:ascii="Calibri" w:eastAsia="Malgun Gothic" w:hAnsi="Calibri" w:hint="eastAsia"/>
          <w:lang w:eastAsia="ko-KR"/>
        </w:rPr>
        <w:t>DOHC</w:t>
      </w:r>
      <w:r w:rsidRPr="005F452A">
        <w:rPr>
          <w:rFonts w:ascii="Calibri" w:eastAsia="Malgun Gothic" w:hAnsi="Calibri"/>
          <w:lang w:eastAsia="ko-KR"/>
        </w:rPr>
        <w:t xml:space="preserve"> calculations are used to </w:t>
      </w:r>
      <w:r w:rsidRPr="005F452A">
        <w:rPr>
          <w:rFonts w:ascii="Calibri" w:eastAsia="Malgun Gothic" w:hAnsi="Calibri" w:hint="eastAsia"/>
          <w:lang w:eastAsia="ko-KR"/>
        </w:rPr>
        <w:t>mark</w:t>
      </w:r>
      <w:r w:rsidRPr="005F452A">
        <w:rPr>
          <w:rFonts w:ascii="Calibri" w:eastAsia="Malgun Gothic" w:hAnsi="Calibri"/>
          <w:lang w:eastAsia="ko-KR"/>
        </w:rPr>
        <w:t xml:space="preserve"> the navigability of bridges and other obstacles through a three-tier system: safe, warning, and danger</w:t>
      </w:r>
      <w:r w:rsidR="00792699" w:rsidRPr="005F452A">
        <w:rPr>
          <w:rFonts w:ascii="Calibri" w:eastAsia="Malgun Gothic" w:hAnsi="Calibri" w:hint="eastAsia"/>
          <w:lang w:eastAsia="ko-KR"/>
        </w:rPr>
        <w:t xml:space="preserve"> on the electoric chart</w:t>
      </w:r>
      <w:r w:rsidRPr="005F452A">
        <w:rPr>
          <w:rFonts w:ascii="Calibri" w:eastAsia="Malgun Gothic" w:hAnsi="Calibri"/>
          <w:lang w:eastAsia="ko-KR"/>
        </w:rPr>
        <w:t>.</w:t>
      </w:r>
      <w:r w:rsidRPr="005F452A">
        <w:rPr>
          <w:rFonts w:ascii="Calibri" w:eastAsia="Malgun Gothic" w:hAnsi="Calibri" w:hint="eastAsia"/>
          <w:lang w:eastAsia="ko-KR"/>
        </w:rPr>
        <w:t xml:space="preserve"> Figure </w:t>
      </w:r>
      <w:r w:rsidR="00F1387F" w:rsidRPr="005F452A">
        <w:rPr>
          <w:rFonts w:ascii="Calibri" w:eastAsia="Malgun Gothic" w:hAnsi="Calibri" w:hint="eastAsia"/>
          <w:lang w:eastAsia="ko-KR"/>
        </w:rPr>
        <w:t>3</w:t>
      </w:r>
      <w:r w:rsidRPr="005F452A">
        <w:rPr>
          <w:rFonts w:ascii="Calibri" w:eastAsia="Malgun Gothic" w:hAnsi="Calibri" w:hint="eastAsia"/>
          <w:lang w:eastAsia="ko-KR"/>
        </w:rPr>
        <w:t xml:space="preserve"> shows symbols for marking the three-tier system</w:t>
      </w:r>
      <w:r w:rsidR="005F452A" w:rsidRPr="005F452A">
        <w:rPr>
          <w:rFonts w:ascii="Calibri" w:eastAsia="Malgun Gothic" w:hAnsi="Calibri" w:hint="eastAsia"/>
          <w:lang w:eastAsia="ko-KR"/>
        </w:rPr>
        <w:t xml:space="preserve"> to describe on ENC</w:t>
      </w:r>
      <w:r w:rsidRPr="005F452A">
        <w:rPr>
          <w:rFonts w:ascii="Calibri" w:eastAsia="Malgun Gothic" w:hAnsi="Calibri" w:hint="eastAsia"/>
          <w:lang w:eastAsia="ko-KR"/>
        </w:rPr>
        <w:t xml:space="preserve">. </w:t>
      </w:r>
      <w:r w:rsidRPr="005F452A">
        <w:rPr>
          <w:rFonts w:ascii="Calibri" w:eastAsia="Malgun Gothic" w:hAnsi="Calibri"/>
          <w:lang w:eastAsia="ko-KR"/>
        </w:rPr>
        <w:t xml:space="preserve">The calculated DOHC is displayed between arrow symbols, and the navigability status is indicated by color: green for safe, yellow for </w:t>
      </w:r>
      <w:r w:rsidR="001B12A1" w:rsidRPr="005F452A">
        <w:rPr>
          <w:rFonts w:ascii="Calibri" w:eastAsia="Malgun Gothic" w:hAnsi="Calibri" w:hint="eastAsia"/>
          <w:lang w:eastAsia="ko-KR"/>
        </w:rPr>
        <w:t>marginal warning</w:t>
      </w:r>
      <w:r w:rsidRPr="005F452A">
        <w:rPr>
          <w:rFonts w:ascii="Calibri" w:eastAsia="Malgun Gothic" w:hAnsi="Calibri"/>
          <w:lang w:eastAsia="ko-KR"/>
        </w:rPr>
        <w:t>, and red for danger</w:t>
      </w:r>
      <w:r w:rsidR="005F452A" w:rsidRPr="005F452A">
        <w:rPr>
          <w:rFonts w:ascii="Calibri" w:eastAsia="Malgun Gothic" w:hAnsi="Calibri" w:hint="eastAsia"/>
          <w:lang w:eastAsia="ko-KR"/>
        </w:rPr>
        <w:t xml:space="preserve"> on ENC</w:t>
      </w:r>
      <w:r w:rsidRPr="005F452A">
        <w:rPr>
          <w:rFonts w:ascii="Calibri" w:eastAsia="Malgun Gothic" w:hAnsi="Calibri"/>
          <w:lang w:eastAsia="ko-KR"/>
        </w:rPr>
        <w:t>.</w:t>
      </w:r>
    </w:p>
    <w:p w14:paraId="38D6C1CA" w14:textId="347A55A0" w:rsidR="00317343" w:rsidRDefault="00317343" w:rsidP="00317343">
      <w:pPr>
        <w:pStyle w:val="BodyText"/>
        <w:tabs>
          <w:tab w:val="left" w:pos="6704"/>
        </w:tabs>
        <w:ind w:firstLineChars="50" w:firstLine="110"/>
        <w:rPr>
          <w:rFonts w:ascii="Segoe UI" w:eastAsia="Malgun Gothic" w:hAnsi="Segoe UI" w:cs="Segoe UI"/>
          <w:color w:val="0D0D0D"/>
          <w:shd w:val="clear" w:color="auto" w:fill="FFFFFF"/>
          <w:lang w:eastAsia="ko-KR"/>
        </w:rPr>
      </w:pPr>
      <w:r w:rsidRPr="00317343">
        <w:rPr>
          <w:rFonts w:hint="eastAsia"/>
          <w:noProof/>
          <w:lang w:val="en-US" w:eastAsia="ko-KR"/>
        </w:rPr>
        <w:drawing>
          <wp:inline distT="0" distB="0" distL="0" distR="0" wp14:anchorId="3433249F" wp14:editId="52FD76E0">
            <wp:extent cx="1395264" cy="1365662"/>
            <wp:effectExtent l="0" t="0" r="0" b="6350"/>
            <wp:docPr id="7276613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5355" cy="1375539"/>
                    </a:xfrm>
                    <a:prstGeom prst="rect">
                      <a:avLst/>
                    </a:prstGeom>
                    <a:noFill/>
                    <a:ln>
                      <a:noFill/>
                    </a:ln>
                  </pic:spPr>
                </pic:pic>
              </a:graphicData>
            </a:graphic>
          </wp:inline>
        </w:drawing>
      </w:r>
      <w:r>
        <w:rPr>
          <w:rFonts w:ascii="Segoe UI" w:eastAsia="Malgun Gothic" w:hAnsi="Segoe UI" w:cs="Segoe UI" w:hint="eastAsia"/>
          <w:color w:val="0D0D0D"/>
          <w:shd w:val="clear" w:color="auto" w:fill="FFFFFF"/>
          <w:lang w:eastAsia="ko-KR"/>
        </w:rPr>
        <w:t xml:space="preserve"> </w:t>
      </w:r>
      <w:r w:rsidRPr="00317343">
        <w:rPr>
          <w:rFonts w:ascii="Segoe UI" w:eastAsia="Malgun Gothic" w:hAnsi="Segoe UI" w:cs="Segoe UI"/>
          <w:noProof/>
          <w:color w:val="0D0D0D"/>
          <w:shd w:val="clear" w:color="auto" w:fill="FFFFFF"/>
          <w:lang w:val="en-US" w:eastAsia="ko-KR"/>
        </w:rPr>
        <w:drawing>
          <wp:inline distT="0" distB="0" distL="0" distR="0" wp14:anchorId="4AC7BF4C" wp14:editId="58DCB81D">
            <wp:extent cx="1525771" cy="1300348"/>
            <wp:effectExtent l="0" t="0" r="0" b="0"/>
            <wp:docPr id="1149885930" name="그림 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885930" name="그림 3" descr="A screenshot of a video game&#10;&#10;Description automatically generated"/>
                    <pic:cNvPicPr>
                      <a:picLocks noChangeAspect="1"/>
                    </pic:cNvPicPr>
                  </pic:nvPicPr>
                  <pic:blipFill rotWithShape="1">
                    <a:blip r:embed="rId14"/>
                    <a:srcRect r="10977"/>
                    <a:stretch/>
                  </pic:blipFill>
                  <pic:spPr bwMode="auto">
                    <a:xfrm>
                      <a:off x="0" y="0"/>
                      <a:ext cx="1529021" cy="1303118"/>
                    </a:xfrm>
                    <a:prstGeom prst="rect">
                      <a:avLst/>
                    </a:prstGeom>
                    <a:ln>
                      <a:noFill/>
                    </a:ln>
                    <a:extLst>
                      <a:ext uri="{53640926-AAD7-44D8-BBD7-CCE9431645EC}">
                        <a14:shadowObscured xmlns:a14="http://schemas.microsoft.com/office/drawing/2010/main"/>
                      </a:ext>
                    </a:extLst>
                  </pic:spPr>
                </pic:pic>
              </a:graphicData>
            </a:graphic>
          </wp:inline>
        </w:drawing>
      </w:r>
      <w:r>
        <w:rPr>
          <w:rFonts w:ascii="Segoe UI" w:eastAsia="Malgun Gothic" w:hAnsi="Segoe UI" w:cs="Segoe UI" w:hint="eastAsia"/>
          <w:color w:val="0D0D0D"/>
          <w:shd w:val="clear" w:color="auto" w:fill="FFFFFF"/>
          <w:lang w:eastAsia="ko-KR"/>
        </w:rPr>
        <w:t xml:space="preserve"> </w:t>
      </w:r>
      <w:r w:rsidRPr="00317343">
        <w:rPr>
          <w:rFonts w:ascii="Segoe UI" w:eastAsia="Malgun Gothic" w:hAnsi="Segoe UI" w:cs="Segoe UI"/>
          <w:noProof/>
          <w:color w:val="0D0D0D"/>
          <w:shd w:val="clear" w:color="auto" w:fill="FFFFFF"/>
          <w:lang w:val="en-US" w:eastAsia="ko-KR"/>
        </w:rPr>
        <w:drawing>
          <wp:inline distT="0" distB="0" distL="0" distR="0" wp14:anchorId="146AA195" wp14:editId="5C60B94F">
            <wp:extent cx="1502228" cy="1286049"/>
            <wp:effectExtent l="0" t="0" r="3175" b="0"/>
            <wp:docPr id="7" name="그림 6" descr="A yellow line with a black and white circle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6" descr="A yellow line with a black and white circle on it&#10;&#10;Description automatically generated"/>
                    <pic:cNvPicPr>
                      <a:picLocks noChangeAspect="1"/>
                    </pic:cNvPicPr>
                  </pic:nvPicPr>
                  <pic:blipFill rotWithShape="1">
                    <a:blip r:embed="rId15"/>
                    <a:srcRect l="10244" t="20394" r="8098" b="21184"/>
                    <a:stretch/>
                  </pic:blipFill>
                  <pic:spPr bwMode="auto">
                    <a:xfrm>
                      <a:off x="0" y="0"/>
                      <a:ext cx="1504631" cy="1288106"/>
                    </a:xfrm>
                    <a:prstGeom prst="rect">
                      <a:avLst/>
                    </a:prstGeom>
                    <a:ln>
                      <a:noFill/>
                    </a:ln>
                    <a:extLst>
                      <a:ext uri="{53640926-AAD7-44D8-BBD7-CCE9431645EC}">
                        <a14:shadowObscured xmlns:a14="http://schemas.microsoft.com/office/drawing/2010/main"/>
                      </a:ext>
                    </a:extLst>
                  </pic:spPr>
                </pic:pic>
              </a:graphicData>
            </a:graphic>
          </wp:inline>
        </w:drawing>
      </w:r>
      <w:r>
        <w:rPr>
          <w:rFonts w:ascii="Segoe UI" w:eastAsia="Malgun Gothic" w:hAnsi="Segoe UI" w:cs="Segoe UI" w:hint="eastAsia"/>
          <w:color w:val="0D0D0D"/>
          <w:shd w:val="clear" w:color="auto" w:fill="FFFFFF"/>
          <w:lang w:eastAsia="ko-KR"/>
        </w:rPr>
        <w:t xml:space="preserve"> </w:t>
      </w:r>
      <w:r w:rsidRPr="00317343">
        <w:rPr>
          <w:rFonts w:eastAsia="Malgun Gothic"/>
          <w:noProof/>
          <w:lang w:val="en-US" w:eastAsia="ko-KR"/>
        </w:rPr>
        <w:drawing>
          <wp:inline distT="0" distB="0" distL="0" distR="0" wp14:anchorId="2292E184" wp14:editId="0A839962">
            <wp:extent cx="1468856" cy="1282082"/>
            <wp:effectExtent l="0" t="0" r="0" b="0"/>
            <wp:docPr id="2129715728" name="그림 6" descr="A blue and red background with a r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15728" name="그림 6" descr="A blue and red background with a red line&#10;&#10;Description automatically generated"/>
                    <pic:cNvPicPr>
                      <a:picLocks noChangeAspect="1"/>
                    </pic:cNvPicPr>
                  </pic:nvPicPr>
                  <pic:blipFill rotWithShape="1">
                    <a:blip r:embed="rId16"/>
                    <a:srcRect l="9971" t="7889" r="9350" b="23024"/>
                    <a:stretch/>
                  </pic:blipFill>
                  <pic:spPr bwMode="auto">
                    <a:xfrm>
                      <a:off x="0" y="0"/>
                      <a:ext cx="1482186" cy="1293717"/>
                    </a:xfrm>
                    <a:prstGeom prst="rect">
                      <a:avLst/>
                    </a:prstGeom>
                    <a:ln>
                      <a:noFill/>
                    </a:ln>
                    <a:extLst>
                      <a:ext uri="{53640926-AAD7-44D8-BBD7-CCE9431645EC}">
                        <a14:shadowObscured xmlns:a14="http://schemas.microsoft.com/office/drawing/2010/main"/>
                      </a:ext>
                    </a:extLst>
                  </pic:spPr>
                </pic:pic>
              </a:graphicData>
            </a:graphic>
          </wp:inline>
        </w:drawing>
      </w:r>
    </w:p>
    <w:p w14:paraId="2F824A69" w14:textId="59849FD1" w:rsidR="00317343" w:rsidRPr="00262F8B" w:rsidRDefault="00317343" w:rsidP="00317343">
      <w:pPr>
        <w:pStyle w:val="BodyText"/>
        <w:jc w:val="center"/>
        <w:rPr>
          <w:rFonts w:eastAsia="Malgun Gothic"/>
          <w:lang w:eastAsia="ko-KR"/>
        </w:rPr>
      </w:pPr>
      <w:r>
        <w:rPr>
          <w:rFonts w:eastAsia="Malgun Gothic" w:hint="eastAsia"/>
          <w:lang w:eastAsia="ko-KR"/>
        </w:rPr>
        <w:t xml:space="preserve">Figure </w:t>
      </w:r>
      <w:r w:rsidR="00F1387F">
        <w:rPr>
          <w:rFonts w:eastAsia="Malgun Gothic" w:hint="eastAsia"/>
          <w:lang w:eastAsia="ko-KR"/>
        </w:rPr>
        <w:t>3</w:t>
      </w:r>
      <w:r>
        <w:rPr>
          <w:rFonts w:eastAsia="Malgun Gothic" w:hint="eastAsia"/>
          <w:lang w:eastAsia="ko-KR"/>
        </w:rPr>
        <w:t xml:space="preserve">. </w:t>
      </w:r>
      <w:r w:rsidR="000035CC">
        <w:rPr>
          <w:rFonts w:eastAsia="Malgun Gothic" w:hint="eastAsia"/>
          <w:lang w:eastAsia="ko-KR"/>
        </w:rPr>
        <w:t>MARKING OF DYNAMIC OVERHEAD CLEARANCE</w:t>
      </w:r>
    </w:p>
    <w:p w14:paraId="22F7F287" w14:textId="77777777" w:rsidR="008B24FD" w:rsidRDefault="008B24FD" w:rsidP="008B24FD">
      <w:pPr>
        <w:pStyle w:val="Heading1"/>
        <w:rPr>
          <w:rFonts w:eastAsia="SimSun"/>
          <w:lang w:val="en-US" w:eastAsia="zh-CN"/>
        </w:rPr>
      </w:pPr>
      <w:r>
        <w:rPr>
          <w:rFonts w:eastAsia="SimSun" w:hint="eastAsia"/>
          <w:lang w:val="en-US" w:eastAsia="zh-CN"/>
        </w:rPr>
        <w:t>proposal</w:t>
      </w:r>
    </w:p>
    <w:p w14:paraId="1D1FEE66" w14:textId="30D27472" w:rsidR="008B24FD" w:rsidRDefault="008B24FD" w:rsidP="008B24FD">
      <w:pPr>
        <w:pStyle w:val="BodyText"/>
        <w:rPr>
          <w:rFonts w:ascii="Calibri" w:eastAsia="SimSun" w:hAnsi="Calibri"/>
          <w:lang w:val="en-US" w:eastAsia="zh-CN"/>
        </w:rPr>
      </w:pPr>
      <w:r>
        <w:rPr>
          <w:rFonts w:ascii="Calibri" w:eastAsia="SimSun" w:hAnsi="Calibri" w:hint="eastAsia"/>
          <w:lang w:val="en-US" w:eastAsia="zh-CN"/>
        </w:rPr>
        <w:t xml:space="preserve">It is recommended that the ARM adopt the aforementioned content, which including the appendices, as </w:t>
      </w:r>
      <w:r>
        <w:rPr>
          <w:rFonts w:ascii="Calibri" w:eastAsia="SimSun" w:hAnsi="Calibri"/>
          <w:lang w:val="en-US" w:eastAsia="zh-CN"/>
        </w:rPr>
        <w:t>base</w:t>
      </w:r>
      <w:r>
        <w:rPr>
          <w:rFonts w:ascii="Calibri" w:eastAsia="SimSun" w:hAnsi="Calibri" w:hint="eastAsia"/>
          <w:lang w:val="en-US" w:eastAsia="zh-CN"/>
        </w:rPr>
        <w:t xml:space="preserve"> document for updating G1</w:t>
      </w:r>
      <w:r w:rsidR="00CD3301">
        <w:rPr>
          <w:rFonts w:ascii="Calibri" w:eastAsia="Malgun Gothic" w:hAnsi="Calibri" w:hint="eastAsia"/>
          <w:lang w:val="en-US" w:eastAsia="ko-KR"/>
        </w:rPr>
        <w:t>1</w:t>
      </w:r>
      <w:r>
        <w:rPr>
          <w:rFonts w:ascii="Calibri" w:eastAsia="SimSun" w:hAnsi="Calibri" w:hint="eastAsia"/>
          <w:lang w:val="en-US" w:eastAsia="zh-CN"/>
        </w:rPr>
        <w:t>7</w:t>
      </w:r>
      <w:r w:rsidR="00CD3301">
        <w:rPr>
          <w:rFonts w:ascii="Calibri" w:eastAsia="Malgun Gothic" w:hAnsi="Calibri" w:hint="eastAsia"/>
          <w:lang w:val="en-US" w:eastAsia="ko-KR"/>
        </w:rPr>
        <w:t>2</w:t>
      </w:r>
      <w:r>
        <w:rPr>
          <w:rFonts w:ascii="Calibri" w:eastAsia="SimSun" w:hAnsi="Calibri" w:hint="eastAsia"/>
          <w:lang w:val="en-US" w:eastAsia="zh-CN"/>
        </w:rPr>
        <w:t>.</w:t>
      </w:r>
    </w:p>
    <w:p w14:paraId="7A8D2F27" w14:textId="77777777" w:rsidR="00A446C9" w:rsidRPr="007A395D" w:rsidRDefault="00A446C9" w:rsidP="00605E43">
      <w:pPr>
        <w:pStyle w:val="Heading1"/>
      </w:pPr>
      <w:r w:rsidRPr="007A395D">
        <w:t>Action requested of the Committee</w:t>
      </w:r>
    </w:p>
    <w:p w14:paraId="16AE6650" w14:textId="5033FE9F" w:rsidR="004D1D85" w:rsidRDefault="00914737" w:rsidP="008B24FD">
      <w:pPr>
        <w:pStyle w:val="List1"/>
        <w:numPr>
          <w:ilvl w:val="0"/>
          <w:numId w:val="0"/>
        </w:numPr>
        <w:rPr>
          <w:rFonts w:ascii="Calibri" w:eastAsia="Malgun Gothic" w:hAnsi="Calibri"/>
          <w:lang w:val="en-US" w:eastAsia="ko-KR"/>
        </w:rPr>
      </w:pPr>
      <w:r>
        <w:rPr>
          <w:rFonts w:ascii="Calibri" w:hAnsi="Calibri" w:hint="eastAsia"/>
        </w:rPr>
        <w:t>The Committee is invited to consider the proposal</w:t>
      </w:r>
      <w:r w:rsidR="005143CD">
        <w:rPr>
          <w:rFonts w:ascii="Calibri" w:eastAsia="Malgun Gothic" w:hAnsi="Calibri" w:hint="eastAsia"/>
          <w:lang w:eastAsia="ko-KR"/>
        </w:rPr>
        <w:t xml:space="preserve"> of amending G1172</w:t>
      </w:r>
      <w:r>
        <w:rPr>
          <w:rFonts w:ascii="Calibri" w:hAnsi="Calibri" w:hint="eastAsia"/>
        </w:rPr>
        <w:t>, and take action as appropriate</w:t>
      </w:r>
      <w:r>
        <w:rPr>
          <w:rFonts w:ascii="Calibri" w:eastAsia="SimSun" w:hAnsi="Calibri" w:hint="eastAsia"/>
          <w:lang w:val="en-US" w:eastAsia="zh-CN"/>
        </w:rPr>
        <w:t>.</w:t>
      </w:r>
    </w:p>
    <w:p w14:paraId="31E37DD9" w14:textId="77777777" w:rsidR="005143CD" w:rsidRPr="00591623" w:rsidRDefault="005143CD" w:rsidP="008B24FD">
      <w:pPr>
        <w:pStyle w:val="List1"/>
        <w:numPr>
          <w:ilvl w:val="0"/>
          <w:numId w:val="0"/>
        </w:numPr>
        <w:rPr>
          <w:rFonts w:ascii="Calibri" w:eastAsia="Malgun Gothic" w:hAnsi="Calibri"/>
          <w:lang w:val="en-US" w:eastAsia="ko-KR"/>
        </w:rPr>
      </w:pPr>
    </w:p>
    <w:p w14:paraId="4BB6FDB6" w14:textId="77777777" w:rsidR="008A73A0" w:rsidRDefault="008A73A0" w:rsidP="006E4730">
      <w:pPr>
        <w:pStyle w:val="Heading1"/>
        <w:numPr>
          <w:ilvl w:val="0"/>
          <w:numId w:val="0"/>
        </w:numPr>
        <w:rPr>
          <w:rFonts w:eastAsia="Malgun Gothic"/>
          <w:color w:val="4472C4"/>
          <w:lang w:val="en-US" w:eastAsia="ko-KR"/>
          <w14:textFill>
            <w14:solidFill>
              <w14:srgbClr w14:val="4472C4">
                <w14:lumMod w14:val="65000"/>
                <w14:lumOff w14:val="35000"/>
              </w14:srgbClr>
            </w14:solidFill>
          </w14:textFill>
        </w:rPr>
      </w:pPr>
      <w:bookmarkStart w:id="1" w:name="_Toc24463"/>
      <w:bookmarkStart w:id="2" w:name="_Toc95819399"/>
    </w:p>
    <w:p w14:paraId="68CBD71A" w14:textId="09290C5A" w:rsidR="006E4730" w:rsidRPr="00591623" w:rsidRDefault="006E4730" w:rsidP="006E4730">
      <w:pPr>
        <w:pStyle w:val="Heading1"/>
        <w:numPr>
          <w:ilvl w:val="0"/>
          <w:numId w:val="0"/>
        </w:numPr>
        <w:rPr>
          <w:rFonts w:eastAsia="Malgun Gothic"/>
          <w:color w:val="4472C4"/>
          <w:lang w:val="en-US" w:eastAsia="ko-KR"/>
          <w14:textFill>
            <w14:solidFill>
              <w14:srgbClr w14:val="4472C4">
                <w14:lumMod w14:val="65000"/>
                <w14:lumOff w14:val="35000"/>
              </w14:srgbClr>
            </w14:solidFill>
          </w14:textFill>
        </w:rPr>
      </w:pPr>
      <w:r>
        <w:rPr>
          <w:rFonts w:hint="eastAsia"/>
          <w:color w:val="4472C4"/>
          <w:lang w:val="en-US" w:eastAsia="zh-CN"/>
          <w14:textFill>
            <w14:solidFill>
              <w14:srgbClr w14:val="4472C4">
                <w14:lumMod w14:val="65000"/>
                <w14:lumOff w14:val="35000"/>
              </w14:srgbClr>
            </w14:solidFill>
          </w14:textFill>
        </w:rPr>
        <w:t xml:space="preserve">Annex 1  </w:t>
      </w:r>
      <w:r w:rsidR="008A73A0">
        <w:rPr>
          <w:rFonts w:eastAsia="Malgun Gothic" w:hint="eastAsia"/>
          <w:color w:val="4472C4"/>
          <w:lang w:val="en-US" w:eastAsia="ko-KR"/>
          <w14:textFill>
            <w14:solidFill>
              <w14:srgbClr w14:val="4472C4">
                <w14:lumMod w14:val="65000"/>
                <w14:lumOff w14:val="35000"/>
              </w14:srgbClr>
            </w14:solidFill>
          </w14:textFill>
        </w:rPr>
        <w:t>Amendment proposal to G1172: inclusion of a new chapter</w:t>
      </w:r>
      <w:r w:rsidR="00DC5C9D">
        <w:rPr>
          <w:rFonts w:eastAsia="Malgun Gothic" w:hint="eastAsia"/>
          <w:color w:val="4472C4"/>
          <w:lang w:val="en-US" w:eastAsia="ko-KR"/>
          <w14:textFill>
            <w14:solidFill>
              <w14:srgbClr w14:val="4472C4">
                <w14:lumMod w14:val="65000"/>
                <w14:lumOff w14:val="35000"/>
              </w14:srgbClr>
            </w14:solidFill>
          </w14:textFill>
        </w:rPr>
        <w:t xml:space="preserve"> 6.3</w:t>
      </w:r>
    </w:p>
    <w:bookmarkEnd w:id="1"/>
    <w:bookmarkEnd w:id="2"/>
    <w:p w14:paraId="16995BD3" w14:textId="458F0F45" w:rsidR="00F13828" w:rsidRDefault="00DC5C9D" w:rsidP="009D71C3">
      <w:pPr>
        <w:pStyle w:val="BodyText"/>
        <w:rPr>
          <w:rFonts w:ascii="Calibri" w:eastAsia="Malgun Gothic" w:hAnsi="Calibri"/>
          <w:lang w:val="en-US" w:eastAsia="ko-KR"/>
        </w:rPr>
      </w:pPr>
      <w:r>
        <w:rPr>
          <w:rFonts w:ascii="Calibri" w:eastAsia="Malgun Gothic" w:hAnsi="Calibri"/>
          <w:lang w:val="en-US" w:eastAsia="ko-KR"/>
        </w:rPr>
        <w:t>………………</w:t>
      </w:r>
      <w:r>
        <w:rPr>
          <w:rFonts w:ascii="Calibri" w:eastAsia="Malgun Gothic" w:hAnsi="Calibri" w:hint="eastAsia"/>
          <w:lang w:val="en-US" w:eastAsia="ko-KR"/>
        </w:rPr>
        <w:t>..</w:t>
      </w:r>
    </w:p>
    <w:p w14:paraId="0AE28535" w14:textId="77777777" w:rsidR="0065223C" w:rsidRPr="00C230C6" w:rsidRDefault="0065223C" w:rsidP="0065223C">
      <w:pPr>
        <w:pStyle w:val="Heading1"/>
      </w:pPr>
      <w:bookmarkStart w:id="3" w:name="_Toc118747442"/>
      <w:bookmarkStart w:id="4" w:name="_Toc59433226"/>
      <w:bookmarkStart w:id="5" w:name="_Toc62558400"/>
      <w:r w:rsidRPr="00C230C6">
        <w:t>Supplementary Marking</w:t>
      </w:r>
      <w:bookmarkEnd w:id="3"/>
    </w:p>
    <w:p w14:paraId="4F92C03F" w14:textId="031A1117" w:rsidR="008A73A0" w:rsidRPr="00591623" w:rsidRDefault="0065223C" w:rsidP="0065223C">
      <w:pPr>
        <w:pStyle w:val="BodyText"/>
        <w:rPr>
          <w:rFonts w:eastAsia="Malgun Gothic"/>
          <w:lang w:eastAsia="ko-KR"/>
        </w:rPr>
      </w:pPr>
      <w:r w:rsidRPr="00C230C6">
        <w:t>The systems described in this section are intended to amplify the lighting and marking described in section 4.</w:t>
      </w:r>
    </w:p>
    <w:p w14:paraId="37D499D8" w14:textId="3DC404AF" w:rsidR="008A73A0" w:rsidRPr="00591623" w:rsidRDefault="0065223C" w:rsidP="008A73A0">
      <w:pPr>
        <w:pStyle w:val="Heading2"/>
        <w:spacing w:before="0" w:after="0" w:line="216" w:lineRule="atLeast"/>
        <w:ind w:right="0"/>
        <w:rPr>
          <w:rFonts w:eastAsia="Malgun Gothic"/>
          <w:lang w:eastAsia="ko-KR"/>
        </w:rPr>
      </w:pPr>
      <w:bookmarkStart w:id="6" w:name="_Toc118747443"/>
      <w:r w:rsidRPr="00C230C6">
        <w:t>Sound signals</w:t>
      </w:r>
      <w:bookmarkEnd w:id="6"/>
    </w:p>
    <w:p w14:paraId="13204A84" w14:textId="77777777" w:rsidR="0065223C" w:rsidRPr="00C230C6" w:rsidRDefault="0065223C" w:rsidP="0065223C">
      <w:pPr>
        <w:pStyle w:val="BodyText"/>
        <w:rPr>
          <w:lang w:eastAsia="de-DE"/>
        </w:rPr>
      </w:pPr>
      <w:r w:rsidRPr="00C230C6">
        <w:rPr>
          <w:lang w:eastAsia="de-DE"/>
        </w:rPr>
        <w:t>One or more sound signals may be used to warn the navigator of the presence of a bridge. Any type of sound signal may be used for this purpose.</w:t>
      </w:r>
    </w:p>
    <w:p w14:paraId="58D760E0" w14:textId="77777777" w:rsidR="0065223C" w:rsidRPr="00C230C6" w:rsidRDefault="0065223C" w:rsidP="0065223C">
      <w:pPr>
        <w:pStyle w:val="Heading2"/>
        <w:spacing w:before="0" w:after="0" w:line="216" w:lineRule="atLeast"/>
        <w:ind w:right="0"/>
      </w:pPr>
      <w:bookmarkStart w:id="7" w:name="_Toc118747444"/>
      <w:r w:rsidRPr="00C230C6">
        <w:t>AIS AtoN</w:t>
      </w:r>
      <w:bookmarkEnd w:id="7"/>
    </w:p>
    <w:p w14:paraId="42A02536" w14:textId="77777777" w:rsidR="0065223C" w:rsidRPr="00C230C6" w:rsidRDefault="0065223C" w:rsidP="0065223C">
      <w:pPr>
        <w:pStyle w:val="BodyText"/>
        <w:rPr>
          <w:lang w:eastAsia="de-DE"/>
        </w:rPr>
      </w:pPr>
      <w:r w:rsidRPr="00C230C6">
        <w:rPr>
          <w:lang w:eastAsia="de-DE"/>
        </w:rPr>
        <w:t>AIS AtoN may be used to mark a bridge or other structure in accordance with related recommendations or guidelines.</w:t>
      </w:r>
    </w:p>
    <w:p w14:paraId="14C06814" w14:textId="77777777" w:rsidR="0065223C" w:rsidRPr="00C230C6" w:rsidRDefault="0065223C" w:rsidP="0065223C">
      <w:pPr>
        <w:pStyle w:val="BodyText"/>
        <w:rPr>
          <w:lang w:eastAsia="de-DE"/>
        </w:rPr>
      </w:pPr>
      <w:r w:rsidRPr="00C230C6">
        <w:rPr>
          <w:lang w:eastAsia="de-DE"/>
        </w:rPr>
        <w:t>AIS AtoN may be used to mark piers, “best point(s) of passage”, or the navigable channel beneath a span.</w:t>
      </w:r>
    </w:p>
    <w:p w14:paraId="34658A7A" w14:textId="77777777" w:rsidR="0065223C" w:rsidRPr="00C230C6" w:rsidRDefault="0065223C" w:rsidP="0065223C">
      <w:pPr>
        <w:pStyle w:val="BodyText"/>
        <w:rPr>
          <w:lang w:eastAsia="de-DE"/>
        </w:rPr>
      </w:pPr>
      <w:r w:rsidRPr="00C230C6">
        <w:rPr>
          <w:lang w:eastAsia="de-DE"/>
        </w:rPr>
        <w:t xml:space="preserve">AIS AtoN may support the use of additional sensors such as air draft gauging, current meters, and current status of movable bridges. </w:t>
      </w:r>
    </w:p>
    <w:p w14:paraId="367E418A" w14:textId="77777777" w:rsidR="0065223C" w:rsidRPr="00C230C6" w:rsidRDefault="0065223C" w:rsidP="0065223C">
      <w:pPr>
        <w:pStyle w:val="BodyText"/>
        <w:rPr>
          <w:lang w:eastAsia="de-DE"/>
        </w:rPr>
      </w:pPr>
      <w:r w:rsidRPr="00C230C6">
        <w:rPr>
          <w:lang w:eastAsia="de-DE"/>
        </w:rPr>
        <w:t>AIS AtoN may also support the provision of maritime safety information (MSI) for the operation of the bridge and relevant navigable channel.</w:t>
      </w:r>
    </w:p>
    <w:p w14:paraId="24A50F18" w14:textId="77777777" w:rsidR="0065223C" w:rsidRPr="00C230C6" w:rsidRDefault="0065223C" w:rsidP="0065223C">
      <w:pPr>
        <w:pStyle w:val="BodyText"/>
        <w:rPr>
          <w:lang w:eastAsia="de-DE"/>
        </w:rPr>
      </w:pPr>
      <w:r w:rsidRPr="00C230C6">
        <w:rPr>
          <w:lang w:eastAsia="de-DE"/>
        </w:rPr>
        <w:t>Further technical information on the use of AIS AtoN can be found in other IALA documentation.</w:t>
      </w:r>
    </w:p>
    <w:p w14:paraId="1CA4D907" w14:textId="719FCE6F" w:rsidR="008A73A0" w:rsidRPr="00A43879" w:rsidRDefault="008A73A0" w:rsidP="0065223C">
      <w:pPr>
        <w:pStyle w:val="Heading2"/>
        <w:spacing w:before="0" w:after="0" w:line="216" w:lineRule="atLeast"/>
        <w:ind w:right="0"/>
        <w:rPr>
          <w:rFonts w:eastAsia="Malgun Gothic"/>
          <w:lang w:eastAsia="ko-KR"/>
        </w:rPr>
      </w:pPr>
      <w:bookmarkStart w:id="8" w:name="_Toc118747445"/>
      <w:r w:rsidRPr="00A43879">
        <w:rPr>
          <w:rFonts w:eastAsia="Malgun Gothic"/>
          <w:lang w:eastAsia="ko-KR"/>
        </w:rPr>
        <w:t>Dynamic OverHead Clearance (DOHC)</w:t>
      </w:r>
    </w:p>
    <w:p w14:paraId="7360713E" w14:textId="1AB29161" w:rsidR="008A73A0" w:rsidRPr="00591623" w:rsidRDefault="008A73A0" w:rsidP="00591623">
      <w:pPr>
        <w:pStyle w:val="BodyText"/>
        <w:rPr>
          <w:rFonts w:eastAsia="Malgun Gothic"/>
          <w:lang w:val="en-US" w:eastAsia="ko-KR"/>
        </w:rPr>
      </w:pPr>
      <w:r w:rsidRPr="00A43879">
        <w:rPr>
          <w:rFonts w:ascii="Calibri" w:eastAsia="SimSun" w:hAnsi="Calibri"/>
          <w:lang w:val="en-US" w:eastAsia="zh-CN"/>
        </w:rPr>
        <w:t>As the requirment of the calculation of D</w:t>
      </w:r>
      <w:r w:rsidR="003934F1" w:rsidRPr="00A43879">
        <w:rPr>
          <w:rFonts w:ascii="Calibri" w:eastAsia="Malgun Gothic" w:hAnsi="Calibri" w:hint="eastAsia"/>
          <w:lang w:val="en-US" w:eastAsia="ko-KR"/>
        </w:rPr>
        <w:t xml:space="preserve">ynamic </w:t>
      </w:r>
      <w:r w:rsidRPr="00A43879">
        <w:rPr>
          <w:rFonts w:ascii="Calibri" w:eastAsia="SimSun" w:hAnsi="Calibri"/>
          <w:lang w:val="en-US" w:eastAsia="zh-CN"/>
        </w:rPr>
        <w:t>O</w:t>
      </w:r>
      <w:r w:rsidR="003934F1" w:rsidRPr="00A43879">
        <w:rPr>
          <w:rFonts w:ascii="Calibri" w:eastAsia="Malgun Gothic" w:hAnsi="Calibri" w:hint="eastAsia"/>
          <w:lang w:val="en-US" w:eastAsia="ko-KR"/>
        </w:rPr>
        <w:t>ver</w:t>
      </w:r>
      <w:r w:rsidRPr="00A43879">
        <w:rPr>
          <w:rFonts w:ascii="Calibri" w:eastAsia="SimSun" w:hAnsi="Calibri"/>
          <w:lang w:val="en-US" w:eastAsia="zh-CN"/>
        </w:rPr>
        <w:t>H</w:t>
      </w:r>
      <w:r w:rsidR="003934F1" w:rsidRPr="00A43879">
        <w:rPr>
          <w:rFonts w:ascii="Calibri" w:eastAsia="Malgun Gothic" w:hAnsi="Calibri" w:hint="eastAsia"/>
          <w:lang w:val="en-US" w:eastAsia="ko-KR"/>
        </w:rPr>
        <w:t xml:space="preserve">ead </w:t>
      </w:r>
      <w:r w:rsidRPr="00A43879">
        <w:rPr>
          <w:rFonts w:ascii="Calibri" w:eastAsia="SimSun" w:hAnsi="Calibri"/>
          <w:lang w:val="en-US" w:eastAsia="zh-CN"/>
        </w:rPr>
        <w:t>C</w:t>
      </w:r>
      <w:r w:rsidR="003934F1" w:rsidRPr="00A43879">
        <w:rPr>
          <w:rFonts w:ascii="Calibri" w:eastAsia="Malgun Gothic" w:hAnsi="Calibri" w:hint="eastAsia"/>
          <w:lang w:val="en-US" w:eastAsia="ko-KR"/>
        </w:rPr>
        <w:t>learance (DOHC)</w:t>
      </w:r>
      <w:r w:rsidRPr="00A43879">
        <w:rPr>
          <w:rFonts w:ascii="Calibri" w:eastAsia="SimSun" w:hAnsi="Calibri"/>
          <w:lang w:val="en-US" w:eastAsia="zh-CN"/>
        </w:rPr>
        <w:t xml:space="preserve"> to avoid the risk of the collision between ships and bridges or other obstacles, marking to describe the navigability through a three-tier system: safe, warning, and danger on ENC is reruired. Additonally, The calculated DOHC is displayed between arrow symbols, and the navigability status is indicated by color: green for safe, yellow for marginal warning, and red for danger on ENC.</w:t>
      </w:r>
    </w:p>
    <w:p w14:paraId="6B40DBE4" w14:textId="509FC712" w:rsidR="0065223C" w:rsidRPr="00C230C6" w:rsidRDefault="0065223C" w:rsidP="0065223C">
      <w:pPr>
        <w:pStyle w:val="Heading2"/>
        <w:spacing w:before="0" w:after="0" w:line="216" w:lineRule="atLeast"/>
        <w:ind w:right="0"/>
      </w:pPr>
      <w:r w:rsidRPr="00C230C6">
        <w:t>Radar marking</w:t>
      </w:r>
      <w:bookmarkEnd w:id="4"/>
      <w:bookmarkEnd w:id="5"/>
      <w:bookmarkEnd w:id="8"/>
    </w:p>
    <w:p w14:paraId="74790154" w14:textId="77777777" w:rsidR="0065223C" w:rsidRPr="00C230C6" w:rsidRDefault="0065223C" w:rsidP="0065223C">
      <w:pPr>
        <w:pStyle w:val="BodyText"/>
        <w:rPr>
          <w:lang w:eastAsia="de-DE"/>
        </w:rPr>
      </w:pPr>
      <w:r w:rsidRPr="00C230C6">
        <w:rPr>
          <w:lang w:eastAsia="de-DE"/>
        </w:rPr>
        <w:t>Limitations of radar often require additional signals to identify the bridge piers and navigable channel.</w:t>
      </w:r>
    </w:p>
    <w:p w14:paraId="6134E51B" w14:textId="77777777" w:rsidR="0065223C" w:rsidRPr="00C230C6" w:rsidRDefault="0065223C" w:rsidP="0065223C">
      <w:pPr>
        <w:pStyle w:val="Heading3"/>
        <w:spacing w:before="0" w:line="216" w:lineRule="atLeast"/>
        <w:ind w:right="0"/>
      </w:pPr>
      <w:bookmarkStart w:id="9" w:name="_Toc306970757"/>
      <w:bookmarkStart w:id="10" w:name="_Toc59433227"/>
      <w:bookmarkStart w:id="11" w:name="_Toc62558401"/>
      <w:bookmarkStart w:id="12" w:name="_Toc118747446"/>
      <w:r w:rsidRPr="00C230C6">
        <w:t>Radar reflectors</w:t>
      </w:r>
      <w:bookmarkEnd w:id="9"/>
      <w:bookmarkEnd w:id="10"/>
      <w:bookmarkEnd w:id="11"/>
      <w:bookmarkEnd w:id="12"/>
    </w:p>
    <w:p w14:paraId="454624BC" w14:textId="77777777" w:rsidR="0065223C" w:rsidRPr="00C230C6" w:rsidRDefault="0065223C" w:rsidP="0065223C">
      <w:pPr>
        <w:pStyle w:val="BodyText"/>
        <w:rPr>
          <w:lang w:eastAsia="de-DE"/>
        </w:rPr>
      </w:pPr>
      <w:r w:rsidRPr="00C230C6">
        <w:rPr>
          <w:lang w:eastAsia="de-DE"/>
        </w:rPr>
        <w:t>Radar recognition of the bridge piers or channel boundaries may be made possible by radar reflectors located either on dolphins, buoys or poles fixed to the bridge structure. To ensure that the reflectors can be clearly distinguished from the bridge structure, practical trials should be carried out.</w:t>
      </w:r>
    </w:p>
    <w:p w14:paraId="2EFC17AA" w14:textId="77777777" w:rsidR="0065223C" w:rsidRPr="00C230C6" w:rsidRDefault="0065223C" w:rsidP="0065223C">
      <w:pPr>
        <w:pStyle w:val="Heading3"/>
        <w:spacing w:before="0" w:line="216" w:lineRule="atLeast"/>
        <w:ind w:right="0"/>
      </w:pPr>
      <w:bookmarkStart w:id="13" w:name="_Toc306970758"/>
      <w:bookmarkStart w:id="14" w:name="_Toc59433228"/>
      <w:bookmarkStart w:id="15" w:name="_Toc62558402"/>
      <w:bookmarkStart w:id="16" w:name="_Toc118747447"/>
      <w:r w:rsidRPr="00C230C6">
        <w:t>Racons</w:t>
      </w:r>
      <w:bookmarkEnd w:id="13"/>
      <w:bookmarkEnd w:id="14"/>
      <w:bookmarkEnd w:id="15"/>
      <w:bookmarkEnd w:id="16"/>
    </w:p>
    <w:p w14:paraId="0B809A1C" w14:textId="14549D4B" w:rsidR="0065223C" w:rsidRPr="00591623" w:rsidRDefault="00DC5C9D" w:rsidP="009D71C3">
      <w:pPr>
        <w:pStyle w:val="BodyText"/>
        <w:rPr>
          <w:rFonts w:ascii="Calibri" w:eastAsia="Malgun Gothic" w:hAnsi="Calibri"/>
          <w:lang w:val="en-US" w:eastAsia="ko-KR"/>
        </w:rPr>
      </w:pPr>
      <w:r>
        <w:rPr>
          <w:rFonts w:ascii="Calibri" w:eastAsia="Malgun Gothic" w:hAnsi="Calibri"/>
          <w:lang w:val="en-US" w:eastAsia="ko-KR"/>
        </w:rPr>
        <w:t>…………………</w:t>
      </w:r>
      <w:r>
        <w:rPr>
          <w:rFonts w:ascii="Calibri" w:eastAsia="Malgun Gothic" w:hAnsi="Calibri" w:hint="eastAsia"/>
          <w:lang w:val="en-US" w:eastAsia="ko-KR"/>
        </w:rPr>
        <w:t>.</w:t>
      </w:r>
    </w:p>
    <w:sectPr w:rsidR="0065223C" w:rsidRPr="00591623" w:rsidSect="005C6C50">
      <w:headerReference w:type="default" r:id="rId17"/>
      <w:footerReference w:type="default" r:id="rId18"/>
      <w:headerReference w:type="first" r:id="rId19"/>
      <w:footerReference w:type="firs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813A9" w14:textId="77777777" w:rsidR="005C6C50" w:rsidRDefault="005C6C50" w:rsidP="00362CD9">
      <w:r>
        <w:separator/>
      </w:r>
    </w:p>
  </w:endnote>
  <w:endnote w:type="continuationSeparator" w:id="0">
    <w:p w14:paraId="4E54A8CA" w14:textId="77777777" w:rsidR="005C6C50" w:rsidRDefault="005C6C5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E0000AFF" w:usb1="00007843" w:usb2="00000001" w:usb3="00000000" w:csb0="400001BF" w:csb1="DFF7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Che">
    <w:altName w:val="바탕체"/>
    <w:charset w:val="81"/>
    <w:family w:val="roman"/>
    <w:pitch w:val="fixed"/>
    <w:sig w:usb0="B00002AF" w:usb1="69D77CFB" w:usb2="00000030" w:usb3="00000000" w:csb0="0008009F" w:csb1="00000000"/>
  </w:font>
  <w:font w:name="Malgun Gothic">
    <w:altName w:val="맑은 고딕"/>
    <w:panose1 w:val="020B0503020000020004"/>
    <w:charset w:val="81"/>
    <w:family w:val="modern"/>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05D056C2" w:rsidR="004533B7" w:rsidRPr="00C907DF" w:rsidRDefault="00D858E3" w:rsidP="004533B7">
    <w:pPr>
      <w:pStyle w:val="Footerportrait"/>
    </w:pPr>
    <w:r w:rsidRPr="00591623">
      <w:rPr>
        <w:b w:val="0"/>
        <w:bCs/>
      </w:rPr>
      <w:fldChar w:fldCharType="begin"/>
    </w:r>
    <w:r w:rsidRPr="00591623">
      <w:rPr>
        <w:b w:val="0"/>
        <w:bCs/>
      </w:rPr>
      <w:instrText xml:space="preserve"> STYLEREF  Title  \* MERGEFORMAT </w:instrText>
    </w:r>
    <w:r w:rsidRPr="00591623">
      <w:rPr>
        <w:b w:val="0"/>
        <w:bCs/>
      </w:rPr>
      <w:fldChar w:fldCharType="separate"/>
    </w:r>
    <w:r w:rsidR="00F112CD" w:rsidRPr="00F112CD">
      <w:rPr>
        <w:rFonts w:eastAsia="Batang"/>
        <w:b w:val="0"/>
        <w:bCs/>
        <w:lang w:eastAsia="ko-KR"/>
      </w:rPr>
      <w:t>Proposal to amend Guideline G1172</w:t>
    </w:r>
    <w:r w:rsidR="00F112CD">
      <w:rPr>
        <w:b w:val="0"/>
        <w:bCs/>
      </w:rPr>
      <w:t xml:space="preserve"> on the Marking of Bridges and Other Structures Over Navigable Waters</w:t>
    </w:r>
    <w:r w:rsidRPr="00591623">
      <w:rPr>
        <w:b w:val="0"/>
        <w:bCs/>
      </w:rP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056EAF">
      <w:rPr>
        <w:rStyle w:val="PageNumber"/>
        <w:szCs w:val="15"/>
      </w:rPr>
      <w:t>2</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3864518C" w:rsidR="00637047" w:rsidRPr="00C907DF" w:rsidRDefault="00F112CD" w:rsidP="00637047">
    <w:pPr>
      <w:pStyle w:val="Footerportrait"/>
    </w:pPr>
    <w:r>
      <w:fldChar w:fldCharType="begin"/>
    </w:r>
    <w:r>
      <w:instrText xml:space="preserve"> STYLEREF  Title  \* MERGEFORMAT </w:instrText>
    </w:r>
    <w:r>
      <w:fldChar w:fldCharType="separate"/>
    </w:r>
    <w:r w:rsidR="00914737">
      <w:t>Proposals revision of Guideline G1172</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6ECA8" w14:textId="77777777" w:rsidR="005C6C50" w:rsidRDefault="005C6C50" w:rsidP="00362CD9">
      <w:r>
        <w:separator/>
      </w:r>
    </w:p>
  </w:footnote>
  <w:footnote w:type="continuationSeparator" w:id="0">
    <w:p w14:paraId="5ADD748B" w14:textId="77777777" w:rsidR="005C6C50" w:rsidRDefault="005C6C50" w:rsidP="00362CD9">
      <w:r>
        <w:continuationSeparator/>
      </w:r>
    </w:p>
  </w:footnote>
  <w:footnote w:id="1">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4D2E4C"/>
    <w:multiLevelType w:val="hybridMultilevel"/>
    <w:tmpl w:val="133E963A"/>
    <w:lvl w:ilvl="0" w:tplc="6DAA7A58">
      <w:start w:val="3"/>
      <w:numFmt w:val="bullet"/>
      <w:lvlText w:val="-"/>
      <w:lvlJc w:val="left"/>
      <w:pPr>
        <w:ind w:left="760" w:hanging="360"/>
      </w:pPr>
      <w:rPr>
        <w:rFonts w:ascii="BatangChe" w:eastAsia="BatangChe" w:hAnsi="BatangChe" w:cs="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4"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7" w15:restartNumberingAfterBreak="0">
    <w:nsid w:val="72B01C28"/>
    <w:multiLevelType w:val="hybridMultilevel"/>
    <w:tmpl w:val="97FAD0D4"/>
    <w:lvl w:ilvl="0" w:tplc="537E8E38">
      <w:start w:val="1"/>
      <w:numFmt w:val="bullet"/>
      <w:lvlText w:val=""/>
      <w:lvlJc w:val="left"/>
      <w:pPr>
        <w:ind w:left="720" w:hanging="360"/>
      </w:pPr>
      <w:rPr>
        <w:rFonts w:ascii="Wingdings" w:eastAsia="Malgun Gothic" w:hAnsi="Wingdings"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46600470">
    <w:abstractNumId w:val="7"/>
  </w:num>
  <w:num w:numId="2" w16cid:durableId="1395079599">
    <w:abstractNumId w:val="2"/>
  </w:num>
  <w:num w:numId="3" w16cid:durableId="956378217">
    <w:abstractNumId w:val="18"/>
  </w:num>
  <w:num w:numId="4" w16cid:durableId="2081751820">
    <w:abstractNumId w:val="42"/>
  </w:num>
  <w:num w:numId="5" w16cid:durableId="1206328270">
    <w:abstractNumId w:val="31"/>
  </w:num>
  <w:num w:numId="6" w16cid:durableId="2100828235">
    <w:abstractNumId w:val="11"/>
  </w:num>
  <w:num w:numId="7" w16cid:durableId="121920480">
    <w:abstractNumId w:val="45"/>
  </w:num>
  <w:num w:numId="8" w16cid:durableId="259534481">
    <w:abstractNumId w:val="26"/>
  </w:num>
  <w:num w:numId="9" w16cid:durableId="650672169">
    <w:abstractNumId w:val="20"/>
  </w:num>
  <w:num w:numId="10" w16cid:durableId="1316300927">
    <w:abstractNumId w:val="36"/>
  </w:num>
  <w:num w:numId="11" w16cid:durableId="643857635">
    <w:abstractNumId w:val="35"/>
  </w:num>
  <w:num w:numId="12" w16cid:durableId="1641809411">
    <w:abstractNumId w:val="30"/>
  </w:num>
  <w:num w:numId="13" w16cid:durableId="608244338">
    <w:abstractNumId w:val="43"/>
  </w:num>
  <w:num w:numId="14" w16cid:durableId="1420449432">
    <w:abstractNumId w:val="16"/>
  </w:num>
  <w:num w:numId="15" w16cid:durableId="1218978518">
    <w:abstractNumId w:val="50"/>
  </w:num>
  <w:num w:numId="16" w16cid:durableId="821889049">
    <w:abstractNumId w:val="29"/>
  </w:num>
  <w:num w:numId="17" w16cid:durableId="140929186">
    <w:abstractNumId w:val="17"/>
  </w:num>
  <w:num w:numId="18" w16cid:durableId="1344624903">
    <w:abstractNumId w:val="39"/>
  </w:num>
  <w:num w:numId="19" w16cid:durableId="607350193">
    <w:abstractNumId w:val="29"/>
  </w:num>
  <w:num w:numId="20" w16cid:durableId="255675405">
    <w:abstractNumId w:val="29"/>
  </w:num>
  <w:num w:numId="21" w16cid:durableId="1673559639">
    <w:abstractNumId w:val="29"/>
  </w:num>
  <w:num w:numId="22" w16cid:durableId="271398298">
    <w:abstractNumId w:val="29"/>
  </w:num>
  <w:num w:numId="23" w16cid:durableId="736172945">
    <w:abstractNumId w:val="40"/>
  </w:num>
  <w:num w:numId="24" w16cid:durableId="1905871953">
    <w:abstractNumId w:val="10"/>
  </w:num>
  <w:num w:numId="25" w16cid:durableId="2062513000">
    <w:abstractNumId w:val="10"/>
  </w:num>
  <w:num w:numId="26" w16cid:durableId="1022391131">
    <w:abstractNumId w:val="10"/>
  </w:num>
  <w:num w:numId="27" w16cid:durableId="614865787">
    <w:abstractNumId w:val="22"/>
  </w:num>
  <w:num w:numId="28" w16cid:durableId="702099256">
    <w:abstractNumId w:val="22"/>
  </w:num>
  <w:num w:numId="29" w16cid:durableId="1378777230">
    <w:abstractNumId w:val="22"/>
  </w:num>
  <w:num w:numId="30" w16cid:durableId="510532614">
    <w:abstractNumId w:val="22"/>
  </w:num>
  <w:num w:numId="31" w16cid:durableId="371928892">
    <w:abstractNumId w:val="22"/>
  </w:num>
  <w:num w:numId="32" w16cid:durableId="1776826840">
    <w:abstractNumId w:val="22"/>
  </w:num>
  <w:num w:numId="33" w16cid:durableId="650210329">
    <w:abstractNumId w:val="37"/>
  </w:num>
  <w:num w:numId="34" w16cid:durableId="409159692">
    <w:abstractNumId w:val="37"/>
  </w:num>
  <w:num w:numId="35" w16cid:durableId="621498995">
    <w:abstractNumId w:val="37"/>
  </w:num>
  <w:num w:numId="36" w16cid:durableId="439688360">
    <w:abstractNumId w:val="27"/>
  </w:num>
  <w:num w:numId="37" w16cid:durableId="969163010">
    <w:abstractNumId w:val="16"/>
  </w:num>
  <w:num w:numId="38" w16cid:durableId="117534476">
    <w:abstractNumId w:val="30"/>
  </w:num>
  <w:num w:numId="39" w16cid:durableId="387581756">
    <w:abstractNumId w:val="29"/>
  </w:num>
  <w:num w:numId="40" w16cid:durableId="2174005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95706126">
    <w:abstractNumId w:val="9"/>
  </w:num>
  <w:num w:numId="42" w16cid:durableId="9408412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3317802">
    <w:abstractNumId w:val="9"/>
  </w:num>
  <w:num w:numId="44" w16cid:durableId="441726938">
    <w:abstractNumId w:val="28"/>
  </w:num>
  <w:num w:numId="45" w16cid:durableId="448399981">
    <w:abstractNumId w:val="32"/>
  </w:num>
  <w:num w:numId="46" w16cid:durableId="466510580">
    <w:abstractNumId w:val="51"/>
  </w:num>
  <w:num w:numId="47" w16cid:durableId="1361277427">
    <w:abstractNumId w:val="13"/>
  </w:num>
  <w:num w:numId="48" w16cid:durableId="8529999">
    <w:abstractNumId w:val="21"/>
  </w:num>
  <w:num w:numId="49" w16cid:durableId="273708264">
    <w:abstractNumId w:val="14"/>
  </w:num>
  <w:num w:numId="50" w16cid:durableId="1910921054">
    <w:abstractNumId w:val="12"/>
  </w:num>
  <w:num w:numId="51" w16cid:durableId="1047024499">
    <w:abstractNumId w:val="19"/>
  </w:num>
  <w:num w:numId="52" w16cid:durableId="1184831247">
    <w:abstractNumId w:val="44"/>
  </w:num>
  <w:num w:numId="53" w16cid:durableId="1725984780">
    <w:abstractNumId w:val="48"/>
  </w:num>
  <w:num w:numId="54" w16cid:durableId="1649551338">
    <w:abstractNumId w:val="15"/>
  </w:num>
  <w:num w:numId="55" w16cid:durableId="782965349">
    <w:abstractNumId w:val="49"/>
  </w:num>
  <w:num w:numId="56" w16cid:durableId="1910460942">
    <w:abstractNumId w:val="41"/>
  </w:num>
  <w:num w:numId="57" w16cid:durableId="2078092313">
    <w:abstractNumId w:val="25"/>
  </w:num>
  <w:num w:numId="58" w16cid:durableId="1943609743">
    <w:abstractNumId w:val="8"/>
  </w:num>
  <w:num w:numId="59" w16cid:durableId="1168517143">
    <w:abstractNumId w:val="6"/>
  </w:num>
  <w:num w:numId="60" w16cid:durableId="29495682">
    <w:abstractNumId w:val="5"/>
  </w:num>
  <w:num w:numId="61" w16cid:durableId="1131821798">
    <w:abstractNumId w:val="4"/>
  </w:num>
  <w:num w:numId="62" w16cid:durableId="1980530072">
    <w:abstractNumId w:val="3"/>
  </w:num>
  <w:num w:numId="63" w16cid:durableId="1260022142">
    <w:abstractNumId w:val="1"/>
  </w:num>
  <w:num w:numId="64" w16cid:durableId="992413238">
    <w:abstractNumId w:val="0"/>
  </w:num>
  <w:num w:numId="65" w16cid:durableId="810247978">
    <w:abstractNumId w:val="38"/>
  </w:num>
  <w:num w:numId="66" w16cid:durableId="222105963">
    <w:abstractNumId w:val="46"/>
  </w:num>
  <w:num w:numId="67" w16cid:durableId="1315135741">
    <w:abstractNumId w:val="24"/>
  </w:num>
  <w:num w:numId="68" w16cid:durableId="15489514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46010055">
    <w:abstractNumId w:val="23"/>
  </w:num>
  <w:num w:numId="70" w16cid:durableId="7753727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922247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08067413">
    <w:abstractNumId w:val="33"/>
  </w:num>
  <w:num w:numId="73" w16cid:durableId="8647538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50224817">
    <w:abstractNumId w:val="34"/>
  </w:num>
  <w:num w:numId="75" w16cid:durableId="314916228">
    <w:abstractNumId w:val="4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bordersDoNotSurroundHeader/>
  <w:bordersDoNotSurroundFooter/>
  <w:hideSpellingErrors/>
  <w:hideGrammaticalErrors/>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wNagGlbnEHLQAAAA=="/>
  </w:docVars>
  <w:rsids>
    <w:rsidRoot w:val="00FE5674"/>
    <w:rsid w:val="000005D3"/>
    <w:rsid w:val="000035CC"/>
    <w:rsid w:val="000049D8"/>
    <w:rsid w:val="00036B9E"/>
    <w:rsid w:val="00037645"/>
    <w:rsid w:val="00037DF4"/>
    <w:rsid w:val="0004700E"/>
    <w:rsid w:val="00056EAF"/>
    <w:rsid w:val="00057FCA"/>
    <w:rsid w:val="00070C13"/>
    <w:rsid w:val="000715C9"/>
    <w:rsid w:val="00084F33"/>
    <w:rsid w:val="00090E15"/>
    <w:rsid w:val="000A77A7"/>
    <w:rsid w:val="000B1707"/>
    <w:rsid w:val="000C1B3E"/>
    <w:rsid w:val="000C349E"/>
    <w:rsid w:val="001048EC"/>
    <w:rsid w:val="00110203"/>
    <w:rsid w:val="00110AE7"/>
    <w:rsid w:val="001241C8"/>
    <w:rsid w:val="00166B7A"/>
    <w:rsid w:val="001739AE"/>
    <w:rsid w:val="00177F4D"/>
    <w:rsid w:val="00180DDA"/>
    <w:rsid w:val="001B12A1"/>
    <w:rsid w:val="001B2A2D"/>
    <w:rsid w:val="001B737D"/>
    <w:rsid w:val="001C44A3"/>
    <w:rsid w:val="001C77BB"/>
    <w:rsid w:val="001E0E15"/>
    <w:rsid w:val="001F528A"/>
    <w:rsid w:val="001F704E"/>
    <w:rsid w:val="00201722"/>
    <w:rsid w:val="002125B0"/>
    <w:rsid w:val="00221E08"/>
    <w:rsid w:val="00237BAD"/>
    <w:rsid w:val="00237D7C"/>
    <w:rsid w:val="00241BF5"/>
    <w:rsid w:val="00243228"/>
    <w:rsid w:val="00251483"/>
    <w:rsid w:val="00255CAA"/>
    <w:rsid w:val="0025741F"/>
    <w:rsid w:val="00262F8B"/>
    <w:rsid w:val="00264305"/>
    <w:rsid w:val="002754F5"/>
    <w:rsid w:val="00286FEF"/>
    <w:rsid w:val="002A0346"/>
    <w:rsid w:val="002A0929"/>
    <w:rsid w:val="002A4487"/>
    <w:rsid w:val="002B49E9"/>
    <w:rsid w:val="002C632E"/>
    <w:rsid w:val="002C7BB8"/>
    <w:rsid w:val="002D1710"/>
    <w:rsid w:val="002D3E8B"/>
    <w:rsid w:val="002D4575"/>
    <w:rsid w:val="002D5C0C"/>
    <w:rsid w:val="002E03D1"/>
    <w:rsid w:val="002E6B74"/>
    <w:rsid w:val="002E6FCA"/>
    <w:rsid w:val="002F4AE6"/>
    <w:rsid w:val="00317343"/>
    <w:rsid w:val="00334424"/>
    <w:rsid w:val="003351C4"/>
    <w:rsid w:val="00342736"/>
    <w:rsid w:val="0035243F"/>
    <w:rsid w:val="00354987"/>
    <w:rsid w:val="00356B1A"/>
    <w:rsid w:val="00356CD0"/>
    <w:rsid w:val="003571CC"/>
    <w:rsid w:val="00362CD9"/>
    <w:rsid w:val="003761CA"/>
    <w:rsid w:val="00377419"/>
    <w:rsid w:val="0038049E"/>
    <w:rsid w:val="00380DAF"/>
    <w:rsid w:val="00383B43"/>
    <w:rsid w:val="003934F1"/>
    <w:rsid w:val="003972CE"/>
    <w:rsid w:val="003B2635"/>
    <w:rsid w:val="003B28F5"/>
    <w:rsid w:val="003B7B7D"/>
    <w:rsid w:val="003C54CB"/>
    <w:rsid w:val="003C7A2A"/>
    <w:rsid w:val="003D25A2"/>
    <w:rsid w:val="003D2DC1"/>
    <w:rsid w:val="003D69D0"/>
    <w:rsid w:val="003F0BC5"/>
    <w:rsid w:val="003F2918"/>
    <w:rsid w:val="003F430E"/>
    <w:rsid w:val="0041088C"/>
    <w:rsid w:val="0041230E"/>
    <w:rsid w:val="00413BE2"/>
    <w:rsid w:val="00420A38"/>
    <w:rsid w:val="00422001"/>
    <w:rsid w:val="0042270A"/>
    <w:rsid w:val="00426DB3"/>
    <w:rsid w:val="00431B19"/>
    <w:rsid w:val="00436274"/>
    <w:rsid w:val="004533B7"/>
    <w:rsid w:val="004566EA"/>
    <w:rsid w:val="00462828"/>
    <w:rsid w:val="004661AD"/>
    <w:rsid w:val="004968FF"/>
    <w:rsid w:val="004C4EAE"/>
    <w:rsid w:val="004D1D85"/>
    <w:rsid w:val="004D3C3A"/>
    <w:rsid w:val="004E1CD1"/>
    <w:rsid w:val="004F7616"/>
    <w:rsid w:val="0050690E"/>
    <w:rsid w:val="005107EB"/>
    <w:rsid w:val="005143CD"/>
    <w:rsid w:val="00521345"/>
    <w:rsid w:val="00526DF0"/>
    <w:rsid w:val="00545CC4"/>
    <w:rsid w:val="00551FFF"/>
    <w:rsid w:val="0055447B"/>
    <w:rsid w:val="005607A2"/>
    <w:rsid w:val="00567F5C"/>
    <w:rsid w:val="0057198B"/>
    <w:rsid w:val="00573CFE"/>
    <w:rsid w:val="0058641F"/>
    <w:rsid w:val="00591623"/>
    <w:rsid w:val="00591CA0"/>
    <w:rsid w:val="005969F2"/>
    <w:rsid w:val="00597FAE"/>
    <w:rsid w:val="005B32A3"/>
    <w:rsid w:val="005B6878"/>
    <w:rsid w:val="005C0D44"/>
    <w:rsid w:val="005C566C"/>
    <w:rsid w:val="005C6C50"/>
    <w:rsid w:val="005C6F79"/>
    <w:rsid w:val="005C7E69"/>
    <w:rsid w:val="005E262D"/>
    <w:rsid w:val="005F23D3"/>
    <w:rsid w:val="005F452A"/>
    <w:rsid w:val="005F7E20"/>
    <w:rsid w:val="00605E43"/>
    <w:rsid w:val="006153BB"/>
    <w:rsid w:val="00616D78"/>
    <w:rsid w:val="00635ADD"/>
    <w:rsid w:val="00637047"/>
    <w:rsid w:val="00645432"/>
    <w:rsid w:val="0065223C"/>
    <w:rsid w:val="00652E13"/>
    <w:rsid w:val="006652C3"/>
    <w:rsid w:val="0068562F"/>
    <w:rsid w:val="00691FD0"/>
    <w:rsid w:val="00692148"/>
    <w:rsid w:val="006A1A1E"/>
    <w:rsid w:val="006C5948"/>
    <w:rsid w:val="006E2121"/>
    <w:rsid w:val="006E4730"/>
    <w:rsid w:val="006E7DF4"/>
    <w:rsid w:val="006F2745"/>
    <w:rsid w:val="006F2A74"/>
    <w:rsid w:val="007118F5"/>
    <w:rsid w:val="00712AA4"/>
    <w:rsid w:val="007146C4"/>
    <w:rsid w:val="00721AA1"/>
    <w:rsid w:val="00723A36"/>
    <w:rsid w:val="00724B67"/>
    <w:rsid w:val="007547F8"/>
    <w:rsid w:val="00765622"/>
    <w:rsid w:val="00770B6C"/>
    <w:rsid w:val="00774730"/>
    <w:rsid w:val="00783FEA"/>
    <w:rsid w:val="00792699"/>
    <w:rsid w:val="007926DC"/>
    <w:rsid w:val="007967B9"/>
    <w:rsid w:val="007A395D"/>
    <w:rsid w:val="007C0664"/>
    <w:rsid w:val="007C346C"/>
    <w:rsid w:val="007D63E3"/>
    <w:rsid w:val="00800D54"/>
    <w:rsid w:val="0080294B"/>
    <w:rsid w:val="00802EF4"/>
    <w:rsid w:val="0082480E"/>
    <w:rsid w:val="00850293"/>
    <w:rsid w:val="00851373"/>
    <w:rsid w:val="00851BA6"/>
    <w:rsid w:val="0085654D"/>
    <w:rsid w:val="00860996"/>
    <w:rsid w:val="00861160"/>
    <w:rsid w:val="00861801"/>
    <w:rsid w:val="0086654F"/>
    <w:rsid w:val="008702A8"/>
    <w:rsid w:val="0087239B"/>
    <w:rsid w:val="00892083"/>
    <w:rsid w:val="00892CA4"/>
    <w:rsid w:val="008A356F"/>
    <w:rsid w:val="008A3ECA"/>
    <w:rsid w:val="008A4653"/>
    <w:rsid w:val="008A4717"/>
    <w:rsid w:val="008A50CC"/>
    <w:rsid w:val="008A73A0"/>
    <w:rsid w:val="008B24FD"/>
    <w:rsid w:val="008D1694"/>
    <w:rsid w:val="008D79CB"/>
    <w:rsid w:val="008E28CC"/>
    <w:rsid w:val="008F07BC"/>
    <w:rsid w:val="00904066"/>
    <w:rsid w:val="00914737"/>
    <w:rsid w:val="00914D24"/>
    <w:rsid w:val="0092692B"/>
    <w:rsid w:val="00943E9C"/>
    <w:rsid w:val="00945590"/>
    <w:rsid w:val="00947090"/>
    <w:rsid w:val="00953F4D"/>
    <w:rsid w:val="00960BB8"/>
    <w:rsid w:val="00964F5C"/>
    <w:rsid w:val="00973B57"/>
    <w:rsid w:val="009831C0"/>
    <w:rsid w:val="009836B9"/>
    <w:rsid w:val="009874F9"/>
    <w:rsid w:val="0099161D"/>
    <w:rsid w:val="009C32AA"/>
    <w:rsid w:val="009C5F41"/>
    <w:rsid w:val="009D71C3"/>
    <w:rsid w:val="009F3BC9"/>
    <w:rsid w:val="00A01B17"/>
    <w:rsid w:val="00A0389B"/>
    <w:rsid w:val="00A06F4F"/>
    <w:rsid w:val="00A1159A"/>
    <w:rsid w:val="00A17751"/>
    <w:rsid w:val="00A26017"/>
    <w:rsid w:val="00A323E7"/>
    <w:rsid w:val="00A43879"/>
    <w:rsid w:val="00A446C9"/>
    <w:rsid w:val="00A55313"/>
    <w:rsid w:val="00A56C33"/>
    <w:rsid w:val="00A635D6"/>
    <w:rsid w:val="00A7015F"/>
    <w:rsid w:val="00A72757"/>
    <w:rsid w:val="00A800A9"/>
    <w:rsid w:val="00A8553A"/>
    <w:rsid w:val="00A93615"/>
    <w:rsid w:val="00A93AED"/>
    <w:rsid w:val="00AA0769"/>
    <w:rsid w:val="00AB3BC6"/>
    <w:rsid w:val="00AD4628"/>
    <w:rsid w:val="00AE1319"/>
    <w:rsid w:val="00AE34BB"/>
    <w:rsid w:val="00B0084A"/>
    <w:rsid w:val="00B0302F"/>
    <w:rsid w:val="00B0520E"/>
    <w:rsid w:val="00B125FC"/>
    <w:rsid w:val="00B226F2"/>
    <w:rsid w:val="00B274DF"/>
    <w:rsid w:val="00B351F6"/>
    <w:rsid w:val="00B36406"/>
    <w:rsid w:val="00B4046D"/>
    <w:rsid w:val="00B56BDF"/>
    <w:rsid w:val="00B65812"/>
    <w:rsid w:val="00B661C7"/>
    <w:rsid w:val="00B80530"/>
    <w:rsid w:val="00B83563"/>
    <w:rsid w:val="00B84A39"/>
    <w:rsid w:val="00B85CD6"/>
    <w:rsid w:val="00B90A27"/>
    <w:rsid w:val="00B93C77"/>
    <w:rsid w:val="00B9554D"/>
    <w:rsid w:val="00BA0815"/>
    <w:rsid w:val="00BA2CAC"/>
    <w:rsid w:val="00BA4DA9"/>
    <w:rsid w:val="00BB2B9F"/>
    <w:rsid w:val="00BB7D9E"/>
    <w:rsid w:val="00BC2334"/>
    <w:rsid w:val="00BD3CB8"/>
    <w:rsid w:val="00BD4E6F"/>
    <w:rsid w:val="00BE700D"/>
    <w:rsid w:val="00BF32F0"/>
    <w:rsid w:val="00BF4DCE"/>
    <w:rsid w:val="00BF64D5"/>
    <w:rsid w:val="00C02DDD"/>
    <w:rsid w:val="00C05CE5"/>
    <w:rsid w:val="00C24B74"/>
    <w:rsid w:val="00C33DFD"/>
    <w:rsid w:val="00C52A4D"/>
    <w:rsid w:val="00C53A58"/>
    <w:rsid w:val="00C6171E"/>
    <w:rsid w:val="00C659B1"/>
    <w:rsid w:val="00C75C32"/>
    <w:rsid w:val="00C865DF"/>
    <w:rsid w:val="00CA0926"/>
    <w:rsid w:val="00CA6F2C"/>
    <w:rsid w:val="00CB5729"/>
    <w:rsid w:val="00CC79CE"/>
    <w:rsid w:val="00CD3301"/>
    <w:rsid w:val="00CE3101"/>
    <w:rsid w:val="00CF1871"/>
    <w:rsid w:val="00D019CE"/>
    <w:rsid w:val="00D1133E"/>
    <w:rsid w:val="00D17A34"/>
    <w:rsid w:val="00D26628"/>
    <w:rsid w:val="00D332B3"/>
    <w:rsid w:val="00D423E5"/>
    <w:rsid w:val="00D442DB"/>
    <w:rsid w:val="00D55207"/>
    <w:rsid w:val="00D60825"/>
    <w:rsid w:val="00D81801"/>
    <w:rsid w:val="00D858E3"/>
    <w:rsid w:val="00D92B45"/>
    <w:rsid w:val="00D93A5D"/>
    <w:rsid w:val="00D95962"/>
    <w:rsid w:val="00DA249F"/>
    <w:rsid w:val="00DB4C29"/>
    <w:rsid w:val="00DC389B"/>
    <w:rsid w:val="00DC5C9D"/>
    <w:rsid w:val="00DD7389"/>
    <w:rsid w:val="00DE2FEE"/>
    <w:rsid w:val="00E00BE9"/>
    <w:rsid w:val="00E04761"/>
    <w:rsid w:val="00E22A11"/>
    <w:rsid w:val="00E309D9"/>
    <w:rsid w:val="00E31E5C"/>
    <w:rsid w:val="00E3380A"/>
    <w:rsid w:val="00E347E2"/>
    <w:rsid w:val="00E41294"/>
    <w:rsid w:val="00E44DD2"/>
    <w:rsid w:val="00E47429"/>
    <w:rsid w:val="00E558C3"/>
    <w:rsid w:val="00E55927"/>
    <w:rsid w:val="00E912A6"/>
    <w:rsid w:val="00EA4844"/>
    <w:rsid w:val="00EA4D9C"/>
    <w:rsid w:val="00EA5A97"/>
    <w:rsid w:val="00EA6A75"/>
    <w:rsid w:val="00EB75EE"/>
    <w:rsid w:val="00EE3CEC"/>
    <w:rsid w:val="00EE4C1D"/>
    <w:rsid w:val="00EF3685"/>
    <w:rsid w:val="00F04350"/>
    <w:rsid w:val="00F112CD"/>
    <w:rsid w:val="00F133DB"/>
    <w:rsid w:val="00F13828"/>
    <w:rsid w:val="00F1387F"/>
    <w:rsid w:val="00F159EB"/>
    <w:rsid w:val="00F2297D"/>
    <w:rsid w:val="00F253E5"/>
    <w:rsid w:val="00F25BF4"/>
    <w:rsid w:val="00F267DB"/>
    <w:rsid w:val="00F46F6F"/>
    <w:rsid w:val="00F60608"/>
    <w:rsid w:val="00F62217"/>
    <w:rsid w:val="00F71ACC"/>
    <w:rsid w:val="00FB17A9"/>
    <w:rsid w:val="00FB527C"/>
    <w:rsid w:val="00FB6F75"/>
    <w:rsid w:val="00FC0EB3"/>
    <w:rsid w:val="00FC3A83"/>
    <w:rsid w:val="00FD675E"/>
    <w:rsid w:val="00FE5674"/>
    <w:rsid w:val="00FF523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qFormat/>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4F06169-688A-46D8-84F8-2E9FAC4B4579}">
  <ds:schemaRefs>
    <ds:schemaRef ds:uri="http://schemas.openxmlformats.org/officeDocument/2006/bibliography"/>
  </ds:schemaRefs>
</ds:datastoreItem>
</file>

<file path=customXml/itemProps2.xml><?xml version="1.0" encoding="utf-8"?>
<ds:datastoreItem xmlns:ds="http://schemas.openxmlformats.org/officeDocument/2006/customXml" ds:itemID="{03DE3B76-C274-464D-974B-4B1204267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Pages>
  <Words>1185</Words>
  <Characters>6657</Characters>
  <Application>Microsoft Office Word</Application>
  <DocSecurity>0</DocSecurity>
  <Lines>55</Lines>
  <Paragraphs>15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55</cp:revision>
  <dcterms:created xsi:type="dcterms:W3CDTF">2024-04-05T14:20:00Z</dcterms:created>
  <dcterms:modified xsi:type="dcterms:W3CDTF">2024-04-09T13:13:00Z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GrammarlyDocumentId">
    <vt:lpwstr>cce0455f1652242b1a90acc82630987a3e12b39b9b97d6dcdb2dfae8917b9f5d</vt:lpwstr>
  </property>
  <property fmtid="{D5CDD505-2E9C-101B-9397-08002B2CF9AE}" pid="4" name="MediaServiceImageTags">
    <vt:lpwstr/>
  </property>
</Properties>
</file>