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3B1EDBA9"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 xml:space="preserve">: </w:t>
      </w:r>
      <w:r w:rsidRPr="00A72757">
        <w:rPr>
          <w:rStyle w:val="FootnoteReference"/>
          <w:rFonts w:ascii="Calibri" w:hAnsi="Calibri"/>
          <w:b/>
          <w:bCs/>
          <w:color w:val="00558C"/>
          <w:sz w:val="24"/>
          <w:szCs w:val="24"/>
        </w:rPr>
        <w:footnoteReference w:id="1"/>
      </w:r>
      <w:r w:rsidR="000049D8" w:rsidRPr="00A72757">
        <w:rPr>
          <w:rFonts w:ascii="Calibri" w:hAnsi="Calibri"/>
          <w:b/>
          <w:bCs/>
          <w:color w:val="00558C"/>
          <w:sz w:val="24"/>
          <w:szCs w:val="24"/>
        </w:rPr>
        <w:t xml:space="preserve">  </w:t>
      </w:r>
      <w:r w:rsidR="00627591">
        <w:rPr>
          <w:rFonts w:ascii="Calibri" w:hAnsi="Calibri"/>
          <w:color w:val="00558C"/>
          <w:sz w:val="24"/>
          <w:szCs w:val="24"/>
        </w:rPr>
        <w:t>ARM18</w:t>
      </w:r>
      <w:r w:rsidRPr="00A72757">
        <w:rPr>
          <w:rFonts w:ascii="Calibri" w:hAnsi="Calibri"/>
          <w:color w:val="00558C"/>
          <w:sz w:val="24"/>
          <w:szCs w:val="24"/>
        </w:rPr>
        <w:t>-</w:t>
      </w:r>
      <w:r w:rsidR="00627591">
        <w:rPr>
          <w:rFonts w:ascii="Calibri" w:hAnsi="Calibri"/>
          <w:color w:val="00558C"/>
          <w:sz w:val="24"/>
          <w:szCs w:val="24"/>
        </w:rPr>
        <w:t>9.1.1</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2A8381B1" w:rsidR="0080294B" w:rsidRPr="00B0084A" w:rsidRDefault="00000000"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1"/>
            <w14:checkedState w14:val="2612" w14:font="MS Gothic"/>
            <w14:uncheckedState w14:val="2610" w14:font="MS Gothic"/>
          </w14:checkbox>
        </w:sdtPr>
        <w:sdtContent>
          <w:r w:rsidR="00E65D3F">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Content>
          <w:r w:rsidR="00BE700D">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Content>
          <w:r w:rsidR="00110203">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0"/>
            <w14:checkedState w14:val="2612" w14:font="MS Gothic"/>
            <w14:uncheckedState w14:val="2610" w14:font="MS Gothic"/>
          </w14:checkbox>
        </w:sdtPr>
        <w:sdtContent>
          <w:r w:rsidR="00110203">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64CB8075" w:rsidR="0080294B" w:rsidRPr="00166985" w:rsidRDefault="00000000" w:rsidP="00037DF4">
      <w:pPr>
        <w:pStyle w:val="BodyText"/>
        <w:tabs>
          <w:tab w:val="left" w:pos="1843"/>
        </w:tabs>
        <w:rPr>
          <w:rFonts w:ascii="Calibri" w:hAnsi="Calibri"/>
          <w:lang w:val="sv-SE"/>
        </w:rPr>
      </w:pPr>
      <w:sdt>
        <w:sdtPr>
          <w:rPr>
            <w:rFonts w:ascii="Calibri" w:hAnsi="Calibri" w:cs="Arial"/>
            <w:b/>
            <w:lang w:val="sv-SE"/>
          </w:rPr>
          <w:id w:val="1358232040"/>
          <w14:checkbox>
            <w14:checked w14:val="0"/>
            <w14:checkedState w14:val="2612" w14:font="MS Gothic"/>
            <w14:uncheckedState w14:val="2610" w14:font="MS Gothic"/>
          </w14:checkbox>
        </w:sdtPr>
        <w:sdtContent>
          <w:r w:rsidR="00221E08" w:rsidRPr="00166985">
            <w:rPr>
              <w:rFonts w:ascii="MS Gothic" w:eastAsia="MS Gothic" w:hAnsi="MS Gothic" w:cs="Arial" w:hint="eastAsia"/>
              <w:b/>
              <w:lang w:val="sv-SE"/>
            </w:rPr>
            <w:t>☐</w:t>
          </w:r>
        </w:sdtContent>
      </w:sdt>
      <w:r w:rsidR="0080294B" w:rsidRPr="00166985">
        <w:rPr>
          <w:rFonts w:ascii="Calibri" w:hAnsi="Calibri" w:cs="Arial"/>
          <w:lang w:val="sv-SE"/>
        </w:rPr>
        <w:t xml:space="preserve"> ENAV</w:t>
      </w:r>
      <w:r w:rsidR="0080294B" w:rsidRPr="00166985">
        <w:rPr>
          <w:rFonts w:ascii="Calibri" w:hAnsi="Calibri" w:cs="Arial"/>
          <w:b/>
          <w:lang w:val="sv-SE"/>
        </w:rPr>
        <w:tab/>
      </w:r>
      <w:sdt>
        <w:sdtPr>
          <w:rPr>
            <w:rFonts w:ascii="Calibri" w:hAnsi="Calibri" w:cs="Arial"/>
            <w:b/>
            <w:lang w:val="sv-SE"/>
          </w:rPr>
          <w:id w:val="1574472571"/>
          <w14:checkbox>
            <w14:checked w14:val="0"/>
            <w14:checkedState w14:val="2612" w14:font="MS Gothic"/>
            <w14:uncheckedState w14:val="2610" w14:font="MS Gothic"/>
          </w14:checkbox>
        </w:sdtPr>
        <w:sdtContent>
          <w:r w:rsidR="00221E08" w:rsidRPr="00166985">
            <w:rPr>
              <w:rFonts w:ascii="MS Gothic" w:eastAsia="MS Gothic" w:hAnsi="MS Gothic" w:cs="Arial" w:hint="eastAsia"/>
              <w:b/>
              <w:lang w:val="sv-SE"/>
            </w:rPr>
            <w:t>☐</w:t>
          </w:r>
        </w:sdtContent>
      </w:sdt>
      <w:r w:rsidR="0080294B" w:rsidRPr="00166985">
        <w:rPr>
          <w:rFonts w:ascii="Calibri" w:hAnsi="Calibri" w:cs="Arial"/>
          <w:lang w:val="sv-SE"/>
        </w:rPr>
        <w:t xml:space="preserve"> </w:t>
      </w:r>
      <w:r w:rsidR="003D2DC1" w:rsidRPr="00166985">
        <w:rPr>
          <w:rFonts w:ascii="Calibri" w:hAnsi="Calibri" w:cs="Arial"/>
          <w:lang w:val="sv-SE"/>
        </w:rPr>
        <w:t>VTS</w:t>
      </w:r>
      <w:r w:rsidR="0080294B" w:rsidRPr="00166985">
        <w:rPr>
          <w:rFonts w:ascii="Calibri" w:hAnsi="Calibri" w:cs="Arial"/>
          <w:lang w:val="sv-SE"/>
        </w:rPr>
        <w:tab/>
      </w:r>
      <w:r w:rsidR="0080294B" w:rsidRPr="00166985">
        <w:rPr>
          <w:rFonts w:ascii="Calibri" w:hAnsi="Calibri" w:cs="Arial"/>
          <w:lang w:val="sv-SE"/>
        </w:rPr>
        <w:tab/>
      </w:r>
      <w:r w:rsidR="0080294B" w:rsidRPr="00166985">
        <w:rPr>
          <w:rFonts w:ascii="Calibri" w:hAnsi="Calibri" w:cs="Arial"/>
          <w:lang w:val="sv-SE"/>
        </w:rPr>
        <w:tab/>
      </w:r>
      <w:r w:rsidR="0080294B" w:rsidRPr="00166985">
        <w:rPr>
          <w:rFonts w:ascii="Calibri" w:hAnsi="Calibri" w:cs="Arial"/>
          <w:lang w:val="sv-SE"/>
        </w:rPr>
        <w:tab/>
      </w:r>
      <w:r w:rsidR="0080294B" w:rsidRPr="00166985">
        <w:rPr>
          <w:rFonts w:ascii="Calibri" w:hAnsi="Calibri" w:cs="Arial"/>
          <w:lang w:val="sv-SE"/>
        </w:rPr>
        <w:tab/>
      </w:r>
      <w:sdt>
        <w:sdtPr>
          <w:rPr>
            <w:rFonts w:ascii="Calibri" w:hAnsi="Calibri" w:cs="Arial"/>
            <w:b/>
            <w:lang w:val="sv-SE"/>
          </w:rPr>
          <w:id w:val="1701977003"/>
          <w14:checkbox>
            <w14:checked w14:val="1"/>
            <w14:checkedState w14:val="2612" w14:font="MS Gothic"/>
            <w14:uncheckedState w14:val="2610" w14:font="MS Gothic"/>
          </w14:checkbox>
        </w:sdtPr>
        <w:sdtContent>
          <w:r w:rsidR="00E65D3F" w:rsidRPr="00166985">
            <w:rPr>
              <w:rFonts w:ascii="MS Gothic" w:eastAsia="MS Gothic" w:hAnsi="MS Gothic" w:cs="Arial" w:hint="eastAsia"/>
              <w:b/>
              <w:lang w:val="sv-SE"/>
            </w:rPr>
            <w:t>☒</w:t>
          </w:r>
        </w:sdtContent>
      </w:sdt>
      <w:r w:rsidR="00110203" w:rsidRPr="00166985">
        <w:rPr>
          <w:rFonts w:ascii="Calibri" w:hAnsi="Calibri" w:cs="Arial"/>
          <w:lang w:val="sv-SE"/>
        </w:rPr>
        <w:t xml:space="preserve"> </w:t>
      </w:r>
      <w:r w:rsidR="0080294B" w:rsidRPr="00166985">
        <w:rPr>
          <w:rFonts w:ascii="Calibri" w:hAnsi="Calibri" w:cs="Arial"/>
          <w:lang w:val="sv-SE"/>
        </w:rPr>
        <w:t>Information</w:t>
      </w:r>
    </w:p>
    <w:p w14:paraId="3E1C02C4" w14:textId="77777777" w:rsidR="0080294B" w:rsidRPr="00166985" w:rsidRDefault="0080294B" w:rsidP="00FE5674">
      <w:pPr>
        <w:pStyle w:val="BodyText"/>
        <w:tabs>
          <w:tab w:val="left" w:pos="2835"/>
        </w:tabs>
        <w:rPr>
          <w:rFonts w:ascii="Calibri" w:hAnsi="Calibri"/>
          <w:lang w:val="sv-SE"/>
        </w:rPr>
      </w:pPr>
    </w:p>
    <w:p w14:paraId="4DD25FD9" w14:textId="72144501" w:rsidR="00A446C9" w:rsidRPr="00166985" w:rsidRDefault="00A446C9" w:rsidP="00FE5674">
      <w:pPr>
        <w:pStyle w:val="BodyText"/>
        <w:tabs>
          <w:tab w:val="left" w:pos="2835"/>
        </w:tabs>
        <w:rPr>
          <w:rFonts w:ascii="Calibri" w:hAnsi="Calibri"/>
          <w:lang w:val="sv-SE"/>
        </w:rPr>
      </w:pPr>
      <w:r w:rsidRPr="00166985">
        <w:rPr>
          <w:rFonts w:ascii="Calibri" w:hAnsi="Calibri"/>
          <w:b/>
          <w:bCs/>
          <w:color w:val="00558C"/>
          <w:sz w:val="24"/>
          <w:szCs w:val="24"/>
          <w:lang w:val="sv-SE"/>
        </w:rPr>
        <w:t>Agenda item</w:t>
      </w:r>
      <w:r w:rsidR="00037DF4" w:rsidRPr="00166985">
        <w:rPr>
          <w:rFonts w:ascii="Calibri" w:hAnsi="Calibri"/>
          <w:lang w:val="sv-SE"/>
        </w:rPr>
        <w:t xml:space="preserve"> </w:t>
      </w:r>
      <w:r w:rsidR="00037DF4" w:rsidRPr="007A395D">
        <w:rPr>
          <w:rStyle w:val="FootnoteReference"/>
          <w:rFonts w:ascii="Calibri" w:hAnsi="Calibri"/>
          <w:sz w:val="22"/>
        </w:rPr>
        <w:footnoteReference w:id="2"/>
      </w:r>
      <w:r w:rsidR="001C44A3" w:rsidRPr="00166985">
        <w:rPr>
          <w:rFonts w:ascii="Calibri" w:hAnsi="Calibri"/>
          <w:lang w:val="sv-SE"/>
        </w:rPr>
        <w:tab/>
      </w:r>
      <w:r w:rsidR="0080294B" w:rsidRPr="00166985">
        <w:rPr>
          <w:rFonts w:ascii="Calibri" w:hAnsi="Calibri"/>
          <w:lang w:val="sv-SE"/>
        </w:rPr>
        <w:tab/>
      </w:r>
      <w:r w:rsidR="0080294B" w:rsidRPr="00166985">
        <w:rPr>
          <w:rFonts w:ascii="Calibri" w:hAnsi="Calibri"/>
          <w:lang w:val="sv-SE"/>
        </w:rPr>
        <w:tab/>
        <w:t>n.n</w:t>
      </w:r>
    </w:p>
    <w:p w14:paraId="1AB3E246" w14:textId="1D381A7D" w:rsidR="00A446C9" w:rsidRPr="007A395D" w:rsidRDefault="0080294B" w:rsidP="00FE5674">
      <w:pPr>
        <w:pStyle w:val="BodyText"/>
        <w:tabs>
          <w:tab w:val="left" w:pos="2835"/>
        </w:tabs>
        <w:rPr>
          <w:rFonts w:ascii="Calibri" w:hAnsi="Calibri"/>
        </w:rPr>
      </w:pPr>
      <w:r w:rsidRPr="00C02DDD">
        <w:rPr>
          <w:rFonts w:ascii="Calibri" w:hAnsi="Calibri"/>
          <w:b/>
          <w:bCs/>
          <w:color w:val="00558C"/>
          <w:sz w:val="24"/>
          <w:szCs w:val="24"/>
        </w:rPr>
        <w:t xml:space="preserve">Technical </w:t>
      </w:r>
      <w:r w:rsidR="00B0084A" w:rsidRPr="00C02DDD">
        <w:rPr>
          <w:rFonts w:ascii="Calibri" w:hAnsi="Calibri"/>
          <w:b/>
          <w:bCs/>
          <w:color w:val="00558C"/>
          <w:sz w:val="24"/>
          <w:szCs w:val="24"/>
        </w:rPr>
        <w:t>d</w:t>
      </w:r>
      <w:r w:rsidRPr="00C02DDD">
        <w:rPr>
          <w:rFonts w:ascii="Calibri" w:hAnsi="Calibri"/>
          <w:b/>
          <w:bCs/>
          <w:color w:val="00558C"/>
          <w:sz w:val="24"/>
          <w:szCs w:val="24"/>
        </w:rPr>
        <w:t xml:space="preserve">omain/ </w:t>
      </w:r>
      <w:r w:rsidR="00A446C9" w:rsidRPr="00C02DDD">
        <w:rPr>
          <w:rFonts w:ascii="Calibri" w:hAnsi="Calibri"/>
          <w:b/>
          <w:bCs/>
          <w:color w:val="00558C"/>
          <w:sz w:val="24"/>
          <w:szCs w:val="24"/>
        </w:rPr>
        <w:t xml:space="preserve">Task </w:t>
      </w:r>
      <w:r w:rsidR="00B0084A" w:rsidRPr="00C02DDD">
        <w:rPr>
          <w:rFonts w:ascii="Calibri" w:hAnsi="Calibri"/>
          <w:b/>
          <w:bCs/>
          <w:color w:val="00558C"/>
          <w:sz w:val="24"/>
          <w:szCs w:val="24"/>
        </w:rPr>
        <w:t>n</w:t>
      </w:r>
      <w:r w:rsidR="00A446C9" w:rsidRPr="00C02DDD">
        <w:rPr>
          <w:rFonts w:ascii="Calibri" w:hAnsi="Calibri"/>
          <w:b/>
          <w:bCs/>
          <w:color w:val="00558C"/>
          <w:sz w:val="24"/>
          <w:szCs w:val="24"/>
        </w:rPr>
        <w:t>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E65D3F">
        <w:rPr>
          <w:rFonts w:ascii="Calibri" w:hAnsi="Calibri"/>
        </w:rPr>
        <w:t>Working Group 3</w:t>
      </w:r>
    </w:p>
    <w:p w14:paraId="01FC5420" w14:textId="3122A39C" w:rsidR="00362CD9" w:rsidRPr="007A395D" w:rsidRDefault="00362CD9" w:rsidP="00FE5674">
      <w:pPr>
        <w:pStyle w:val="BodyText"/>
        <w:tabs>
          <w:tab w:val="left" w:pos="2835"/>
        </w:tabs>
        <w:rPr>
          <w:rFonts w:ascii="Calibri" w:hAnsi="Calibri"/>
          <w:color w:val="FF0000"/>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r>
      <w:r w:rsidR="00E65D3F">
        <w:rPr>
          <w:rFonts w:ascii="Calibri" w:hAnsi="Calibri"/>
        </w:rPr>
        <w:t xml:space="preserve">Valtteri Laine and Floris </w:t>
      </w:r>
      <w:proofErr w:type="spellStart"/>
      <w:r w:rsidR="00E65D3F">
        <w:rPr>
          <w:rFonts w:ascii="Calibri" w:hAnsi="Calibri"/>
        </w:rPr>
        <w:t>Goerlandt</w:t>
      </w:r>
      <w:proofErr w:type="spellEnd"/>
    </w:p>
    <w:p w14:paraId="60BCC120" w14:textId="39D2D195" w:rsidR="0080294B" w:rsidRPr="00E65D3F" w:rsidRDefault="00774730" w:rsidP="00C02DDD">
      <w:pPr>
        <w:pStyle w:val="BodyText"/>
        <w:tabs>
          <w:tab w:val="left" w:pos="7860"/>
        </w:tabs>
        <w:rPr>
          <w:rFonts w:ascii="MyriadPro-SemiboldSemiCn" w:eastAsia="Calibri" w:hAnsi="MyriadPro-SemiboldSemiCn" w:cs="MyriadPro-SemiboldSemiCn"/>
          <w:b/>
          <w:bCs/>
          <w:caps/>
          <w:color w:val="00558C"/>
          <w:kern w:val="28"/>
          <w:sz w:val="26"/>
          <w:szCs w:val="26"/>
          <w:lang w:val="en-US" w:eastAsia="en-GB"/>
        </w:rPr>
      </w:pPr>
      <w:r>
        <w:rPr>
          <w:rFonts w:ascii="Calibri" w:hAnsi="Calibri"/>
        </w:rPr>
        <w:tab/>
      </w:r>
    </w:p>
    <w:p w14:paraId="4834080C" w14:textId="48973806" w:rsidR="00A446C9" w:rsidRPr="00E65D3F" w:rsidRDefault="00E65D3F" w:rsidP="00E65D3F">
      <w:pPr>
        <w:autoSpaceDE w:val="0"/>
        <w:autoSpaceDN w:val="0"/>
        <w:adjustRightInd w:val="0"/>
        <w:spacing w:line="240" w:lineRule="auto"/>
        <w:jc w:val="center"/>
        <w:rPr>
          <w:rFonts w:ascii="MyriadPro-SemiboldSemiCn" w:eastAsia="Calibri" w:hAnsi="MyriadPro-SemiboldSemiCn" w:cs="MyriadPro-SemiboldSemiCn"/>
          <w:b/>
          <w:bCs/>
          <w:caps/>
          <w:color w:val="00558C"/>
          <w:kern w:val="28"/>
          <w:sz w:val="26"/>
          <w:szCs w:val="26"/>
          <w:lang w:val="en-US" w:eastAsia="en-GB"/>
        </w:rPr>
      </w:pPr>
      <w:bookmarkStart w:id="1" w:name="_Hlk163076588"/>
      <w:r w:rsidRPr="00E65D3F">
        <w:rPr>
          <w:rFonts w:ascii="MyriadPro-SemiboldSemiCn" w:eastAsia="Calibri" w:hAnsi="MyriadPro-SemiboldSemiCn" w:cs="MyriadPro-SemiboldSemiCn"/>
          <w:b/>
          <w:bCs/>
          <w:caps/>
          <w:color w:val="00558C"/>
          <w:kern w:val="28"/>
          <w:sz w:val="26"/>
          <w:szCs w:val="26"/>
          <w:lang w:val="en-US" w:eastAsia="en-GB"/>
        </w:rPr>
        <w:t>Risk maturity model for the maritime authorities</w:t>
      </w:r>
    </w:p>
    <w:bookmarkEnd w:id="1"/>
    <w:p w14:paraId="2CC2DB54" w14:textId="30A17AC3" w:rsidR="009874F9" w:rsidRPr="009874F9" w:rsidRDefault="00A446C9" w:rsidP="009874F9">
      <w:pPr>
        <w:pStyle w:val="Heading1"/>
      </w:pPr>
      <w:r w:rsidRPr="00B661C7">
        <w:t>Summary</w:t>
      </w:r>
    </w:p>
    <w:p w14:paraId="3461CE6D" w14:textId="77777777" w:rsidR="00DD5E77" w:rsidRDefault="00E65D3F" w:rsidP="00E65D3F">
      <w:pPr>
        <w:pStyle w:val="BodyText"/>
        <w:rPr>
          <w:rFonts w:ascii="Calibri" w:hAnsi="Calibri"/>
        </w:rPr>
      </w:pPr>
      <w:r w:rsidRPr="00E65D3F">
        <w:rPr>
          <w:rFonts w:ascii="Calibri" w:hAnsi="Calibri"/>
        </w:rPr>
        <w:t>Maritime authorities have the administrative responsibility for the safety and security</w:t>
      </w:r>
      <w:r>
        <w:rPr>
          <w:rFonts w:ascii="Calibri" w:hAnsi="Calibri"/>
        </w:rPr>
        <w:t xml:space="preserve"> </w:t>
      </w:r>
      <w:r w:rsidRPr="00E65D3F">
        <w:rPr>
          <w:rFonts w:ascii="Calibri" w:hAnsi="Calibri"/>
        </w:rPr>
        <w:t>of shipping and the prevention of marine and atmospheric pollution caused by</w:t>
      </w:r>
      <w:r>
        <w:rPr>
          <w:rFonts w:ascii="Calibri" w:hAnsi="Calibri"/>
        </w:rPr>
        <w:t xml:space="preserve"> </w:t>
      </w:r>
      <w:r w:rsidRPr="00E65D3F">
        <w:rPr>
          <w:rFonts w:ascii="Calibri" w:hAnsi="Calibri"/>
        </w:rPr>
        <w:t>ships. This responsibility involves various tasks that can be supported through effective</w:t>
      </w:r>
      <w:r>
        <w:rPr>
          <w:rFonts w:ascii="Calibri" w:hAnsi="Calibri"/>
        </w:rPr>
        <w:t xml:space="preserve"> </w:t>
      </w:r>
      <w:r w:rsidRPr="00E65D3F">
        <w:rPr>
          <w:rFonts w:ascii="Calibri" w:hAnsi="Calibri"/>
        </w:rPr>
        <w:t>risk management, but currently, there are no models available to evaluate its</w:t>
      </w:r>
      <w:r>
        <w:rPr>
          <w:rFonts w:ascii="Calibri" w:hAnsi="Calibri"/>
        </w:rPr>
        <w:t xml:space="preserve"> </w:t>
      </w:r>
      <w:r w:rsidRPr="00E65D3F">
        <w:rPr>
          <w:rFonts w:ascii="Calibri" w:hAnsi="Calibri"/>
        </w:rPr>
        <w:t>level of maturity in maritime administrations.</w:t>
      </w:r>
    </w:p>
    <w:p w14:paraId="0580E9FE" w14:textId="213E2A31" w:rsidR="00E65D3F" w:rsidRDefault="00E65D3F" w:rsidP="00E65D3F">
      <w:pPr>
        <w:pStyle w:val="BodyText"/>
        <w:rPr>
          <w:rFonts w:ascii="Calibri" w:hAnsi="Calibri"/>
        </w:rPr>
      </w:pPr>
      <w:r w:rsidRPr="00E65D3F">
        <w:rPr>
          <w:rFonts w:ascii="Calibri" w:hAnsi="Calibri"/>
        </w:rPr>
        <w:t xml:space="preserve"> </w:t>
      </w:r>
      <w:r w:rsidR="005E31B9">
        <w:rPr>
          <w:rFonts w:ascii="Calibri" w:hAnsi="Calibri"/>
        </w:rPr>
        <w:t xml:space="preserve">While the responsibility for Aids to Navigation, Vessel Traffic Services, and </w:t>
      </w:r>
      <w:r w:rsidR="00ED3726">
        <w:rPr>
          <w:rFonts w:ascii="Calibri" w:hAnsi="Calibri"/>
        </w:rPr>
        <w:t xml:space="preserve">other </w:t>
      </w:r>
      <w:r w:rsidR="005E31B9">
        <w:rPr>
          <w:rFonts w:ascii="Calibri" w:hAnsi="Calibri"/>
        </w:rPr>
        <w:t xml:space="preserve">related navigational safety services is implemented differently in different states, having tools for </w:t>
      </w:r>
      <w:proofErr w:type="spellStart"/>
      <w:r w:rsidR="005E31B9">
        <w:rPr>
          <w:rFonts w:ascii="Calibri" w:hAnsi="Calibri"/>
        </w:rPr>
        <w:t>AtoN</w:t>
      </w:r>
      <w:proofErr w:type="spellEnd"/>
      <w:r w:rsidR="005E31B9">
        <w:rPr>
          <w:rFonts w:ascii="Calibri" w:hAnsi="Calibri"/>
        </w:rPr>
        <w:t xml:space="preserve"> authorities to evaluate their risk management performance would </w:t>
      </w:r>
      <w:r w:rsidR="00D4743D">
        <w:rPr>
          <w:rFonts w:ascii="Calibri" w:hAnsi="Calibri"/>
        </w:rPr>
        <w:t>strengthen the alignment of IALA’s guidance on risk management (especially G1018) with the concepts and frameworks presented in the widely used ISO</w:t>
      </w:r>
      <w:r w:rsidR="00ED3726">
        <w:rPr>
          <w:rFonts w:ascii="Calibri" w:hAnsi="Calibri"/>
        </w:rPr>
        <w:t xml:space="preserve"> </w:t>
      </w:r>
      <w:r w:rsidR="00D4743D">
        <w:rPr>
          <w:rFonts w:ascii="Calibri" w:hAnsi="Calibri"/>
        </w:rPr>
        <w:t xml:space="preserve">31000:2018 </w:t>
      </w:r>
      <w:r w:rsidR="00B947D6">
        <w:rPr>
          <w:rFonts w:ascii="Calibri" w:hAnsi="Calibri"/>
        </w:rPr>
        <w:t>international standard on which this IALA guideline to a large degree builds</w:t>
      </w:r>
      <w:r w:rsidR="00ED3726">
        <w:rPr>
          <w:rFonts w:ascii="Calibri" w:hAnsi="Calibri"/>
        </w:rPr>
        <w:t xml:space="preserve"> upon</w:t>
      </w:r>
      <w:r w:rsidR="00B947D6">
        <w:rPr>
          <w:rFonts w:ascii="Calibri" w:hAnsi="Calibri"/>
        </w:rPr>
        <w:t>.</w:t>
      </w:r>
    </w:p>
    <w:p w14:paraId="544C0D41" w14:textId="189211E2" w:rsidR="001D0432" w:rsidRDefault="00E65D3F" w:rsidP="00E65D3F">
      <w:pPr>
        <w:pStyle w:val="BodyText"/>
        <w:rPr>
          <w:rFonts w:ascii="Calibri" w:hAnsi="Calibri"/>
        </w:rPr>
      </w:pPr>
      <w:r w:rsidRPr="00E65D3F">
        <w:rPr>
          <w:rFonts w:ascii="Calibri" w:hAnsi="Calibri"/>
        </w:rPr>
        <w:t>To fill this gap and respond to the</w:t>
      </w:r>
      <w:r>
        <w:rPr>
          <w:rFonts w:ascii="Calibri" w:hAnsi="Calibri"/>
        </w:rPr>
        <w:t xml:space="preserve"> </w:t>
      </w:r>
      <w:r w:rsidRPr="00E65D3F">
        <w:rPr>
          <w:rFonts w:ascii="Calibri" w:hAnsi="Calibri"/>
        </w:rPr>
        <w:t xml:space="preserve">needs identified by </w:t>
      </w:r>
      <w:r w:rsidR="00CE46F9">
        <w:rPr>
          <w:rFonts w:ascii="Calibri" w:hAnsi="Calibri"/>
        </w:rPr>
        <w:t xml:space="preserve">several </w:t>
      </w:r>
      <w:r w:rsidRPr="00E65D3F">
        <w:rPr>
          <w:rFonts w:ascii="Calibri" w:hAnsi="Calibri"/>
        </w:rPr>
        <w:t>maritime authorities, th</w:t>
      </w:r>
      <w:r w:rsidR="00C3123B">
        <w:rPr>
          <w:rFonts w:ascii="Calibri" w:hAnsi="Calibri"/>
        </w:rPr>
        <w:t>is input paper</w:t>
      </w:r>
      <w:r w:rsidRPr="00E65D3F">
        <w:rPr>
          <w:rFonts w:ascii="Calibri" w:hAnsi="Calibri"/>
        </w:rPr>
        <w:t xml:space="preserve"> introduces a new risk maturity</w:t>
      </w:r>
      <w:r>
        <w:rPr>
          <w:rFonts w:ascii="Calibri" w:hAnsi="Calibri"/>
        </w:rPr>
        <w:t xml:space="preserve"> </w:t>
      </w:r>
      <w:r w:rsidRPr="00E65D3F">
        <w:rPr>
          <w:rFonts w:ascii="Calibri" w:hAnsi="Calibri"/>
        </w:rPr>
        <w:t>model called the R-Mare matrix. This model is built on recent scientific knowledge</w:t>
      </w:r>
      <w:r>
        <w:rPr>
          <w:rFonts w:ascii="Calibri" w:hAnsi="Calibri"/>
        </w:rPr>
        <w:t xml:space="preserve"> </w:t>
      </w:r>
      <w:r w:rsidRPr="00E65D3F">
        <w:rPr>
          <w:rFonts w:ascii="Calibri" w:hAnsi="Calibri"/>
        </w:rPr>
        <w:t>in the field of risk management, and it has been designed in close cooperation with</w:t>
      </w:r>
      <w:r>
        <w:rPr>
          <w:rFonts w:ascii="Calibri" w:hAnsi="Calibri"/>
        </w:rPr>
        <w:t xml:space="preserve"> </w:t>
      </w:r>
      <w:r w:rsidRPr="00E65D3F">
        <w:rPr>
          <w:rFonts w:ascii="Calibri" w:hAnsi="Calibri"/>
        </w:rPr>
        <w:t xml:space="preserve">end-users and maritime risk management experts using the Delphi methodology. </w:t>
      </w:r>
    </w:p>
    <w:p w14:paraId="3006E71F" w14:textId="67E37C3C" w:rsidR="001D0432" w:rsidRDefault="00C3123B" w:rsidP="00E65D3F">
      <w:pPr>
        <w:pStyle w:val="BodyText"/>
        <w:rPr>
          <w:rFonts w:ascii="Calibri" w:hAnsi="Calibri"/>
        </w:rPr>
      </w:pPr>
      <w:r>
        <w:rPr>
          <w:rFonts w:ascii="Calibri" w:hAnsi="Calibri"/>
        </w:rPr>
        <w:t>The</w:t>
      </w:r>
      <w:r w:rsidR="00C66B44">
        <w:rPr>
          <w:rFonts w:ascii="Calibri" w:hAnsi="Calibri"/>
        </w:rPr>
        <w:t xml:space="preserve"> </w:t>
      </w:r>
      <w:r>
        <w:rPr>
          <w:rFonts w:ascii="Calibri" w:hAnsi="Calibri"/>
        </w:rPr>
        <w:t>R-Mare is</w:t>
      </w:r>
      <w:r w:rsidR="00E65D3F" w:rsidRPr="00E65D3F">
        <w:rPr>
          <w:rFonts w:ascii="Calibri" w:hAnsi="Calibri"/>
        </w:rPr>
        <w:t xml:space="preserve"> a qualitative</w:t>
      </w:r>
      <w:r w:rsidR="00245A49">
        <w:rPr>
          <w:rFonts w:ascii="Calibri" w:hAnsi="Calibri"/>
        </w:rPr>
        <w:t xml:space="preserve"> </w:t>
      </w:r>
      <w:r w:rsidR="00FD2907">
        <w:rPr>
          <w:rFonts w:ascii="Calibri" w:hAnsi="Calibri"/>
        </w:rPr>
        <w:t>matrix-based</w:t>
      </w:r>
      <w:r w:rsidR="00245A49">
        <w:rPr>
          <w:rFonts w:ascii="Calibri" w:hAnsi="Calibri"/>
        </w:rPr>
        <w:t xml:space="preserve"> model</w:t>
      </w:r>
      <w:r w:rsidR="00E65D3F">
        <w:rPr>
          <w:rFonts w:ascii="Calibri" w:hAnsi="Calibri"/>
        </w:rPr>
        <w:t xml:space="preserve"> </w:t>
      </w:r>
      <w:r w:rsidR="00E65D3F" w:rsidRPr="00E65D3F">
        <w:rPr>
          <w:rFonts w:ascii="Calibri" w:hAnsi="Calibri"/>
        </w:rPr>
        <w:t>tailored to support the self-evaluation of maritime authorities. The matrix</w:t>
      </w:r>
      <w:r w:rsidR="00E65D3F">
        <w:rPr>
          <w:rFonts w:ascii="Calibri" w:hAnsi="Calibri"/>
        </w:rPr>
        <w:t xml:space="preserve"> </w:t>
      </w:r>
      <w:r w:rsidR="00E65D3F" w:rsidRPr="00E65D3F">
        <w:rPr>
          <w:rFonts w:ascii="Calibri" w:hAnsi="Calibri"/>
        </w:rPr>
        <w:t>consists of 17 state-of-the-art risk management attributes, a five-step risk maturity</w:t>
      </w:r>
      <w:r w:rsidR="00E65D3F">
        <w:rPr>
          <w:rFonts w:ascii="Calibri" w:hAnsi="Calibri"/>
        </w:rPr>
        <w:t xml:space="preserve"> </w:t>
      </w:r>
      <w:r w:rsidR="00E65D3F" w:rsidRPr="00E65D3F">
        <w:rPr>
          <w:rFonts w:ascii="Calibri" w:hAnsi="Calibri"/>
        </w:rPr>
        <w:t>scale, and associated risk maturity grid descriptions. These elements can be used to</w:t>
      </w:r>
      <w:r w:rsidR="00E65D3F">
        <w:rPr>
          <w:rFonts w:ascii="Calibri" w:hAnsi="Calibri"/>
        </w:rPr>
        <w:t xml:space="preserve"> </w:t>
      </w:r>
      <w:r w:rsidR="00E65D3F" w:rsidRPr="00E65D3F">
        <w:rPr>
          <w:rFonts w:ascii="Calibri" w:hAnsi="Calibri"/>
        </w:rPr>
        <w:t>evaluate the current risk management performance of maritime authorities, identify</w:t>
      </w:r>
      <w:r w:rsidR="00E65D3F">
        <w:rPr>
          <w:rFonts w:ascii="Calibri" w:hAnsi="Calibri"/>
        </w:rPr>
        <w:t xml:space="preserve"> </w:t>
      </w:r>
      <w:r w:rsidR="00E65D3F" w:rsidRPr="00E65D3F">
        <w:rPr>
          <w:rFonts w:ascii="Calibri" w:hAnsi="Calibri"/>
        </w:rPr>
        <w:t>areas for improvement, and develop a plan to achieve a higher level of maturity.</w:t>
      </w:r>
      <w:r w:rsidR="00E65D3F">
        <w:rPr>
          <w:rFonts w:ascii="Calibri" w:hAnsi="Calibri"/>
        </w:rPr>
        <w:t xml:space="preserve"> </w:t>
      </w:r>
    </w:p>
    <w:p w14:paraId="3C575A26" w14:textId="414FC840" w:rsidR="001C44A3" w:rsidRPr="00605E43" w:rsidRDefault="00BD4E6F" w:rsidP="00605E43">
      <w:pPr>
        <w:pStyle w:val="Heading2"/>
      </w:pPr>
      <w:r w:rsidRPr="00605E43">
        <w:t>Purpose</w:t>
      </w:r>
      <w:r w:rsidR="004D1D85" w:rsidRPr="00605E43">
        <w:t xml:space="preserve"> of the document</w:t>
      </w:r>
    </w:p>
    <w:p w14:paraId="2DDF91F6" w14:textId="22100060" w:rsidR="001D0432" w:rsidRPr="007A395D" w:rsidRDefault="001D0432" w:rsidP="00E55927">
      <w:pPr>
        <w:pStyle w:val="BodyText"/>
        <w:rPr>
          <w:rFonts w:ascii="Calibri" w:hAnsi="Calibri"/>
        </w:rPr>
      </w:pPr>
      <w:r>
        <w:rPr>
          <w:rFonts w:ascii="Calibri" w:hAnsi="Calibri"/>
        </w:rPr>
        <w:t>The ARM Committee is invited to take a note on th</w:t>
      </w:r>
      <w:r w:rsidR="004B1FCE">
        <w:rPr>
          <w:rFonts w:ascii="Calibri" w:hAnsi="Calibri"/>
        </w:rPr>
        <w:t>is</w:t>
      </w:r>
      <w:r>
        <w:rPr>
          <w:rFonts w:ascii="Calibri" w:hAnsi="Calibri"/>
        </w:rPr>
        <w:t xml:space="preserve"> information paper and consider whether </w:t>
      </w:r>
      <w:r w:rsidR="004B1FCE">
        <w:rPr>
          <w:rFonts w:ascii="Calibri" w:hAnsi="Calibri"/>
        </w:rPr>
        <w:t>it could be discussed on the Working Group 3.</w:t>
      </w:r>
    </w:p>
    <w:p w14:paraId="36D645BE" w14:textId="77777777" w:rsidR="00B56BDF" w:rsidRPr="007A395D" w:rsidRDefault="00B56BDF" w:rsidP="00605E43">
      <w:pPr>
        <w:pStyle w:val="Heading2"/>
      </w:pPr>
      <w:r w:rsidRPr="007A395D">
        <w:t>Related documents</w:t>
      </w:r>
    </w:p>
    <w:p w14:paraId="553E55ED" w14:textId="77C3228F" w:rsidR="00E55927" w:rsidRDefault="000304FC" w:rsidP="00165B82">
      <w:pPr>
        <w:pStyle w:val="BodyText"/>
        <w:rPr>
          <w:rFonts w:ascii="Calibri" w:hAnsi="Calibri"/>
        </w:rPr>
      </w:pPr>
      <w:r w:rsidRPr="000304FC">
        <w:rPr>
          <w:rFonts w:ascii="Calibri" w:hAnsi="Calibri"/>
        </w:rPr>
        <w:t>IALA</w:t>
      </w:r>
      <w:r>
        <w:rPr>
          <w:rFonts w:ascii="Calibri" w:hAnsi="Calibri"/>
        </w:rPr>
        <w:t xml:space="preserve"> </w:t>
      </w:r>
      <w:r w:rsidRPr="000304FC">
        <w:rPr>
          <w:rFonts w:ascii="Calibri" w:hAnsi="Calibri"/>
        </w:rPr>
        <w:t xml:space="preserve">Guideline G-1018: </w:t>
      </w:r>
      <w:r>
        <w:rPr>
          <w:rFonts w:ascii="Calibri" w:hAnsi="Calibri"/>
        </w:rPr>
        <w:t>R</w:t>
      </w:r>
      <w:r w:rsidRPr="000304FC">
        <w:rPr>
          <w:rFonts w:ascii="Calibri" w:hAnsi="Calibri"/>
        </w:rPr>
        <w:t>isk management</w:t>
      </w:r>
      <w:r>
        <w:rPr>
          <w:rFonts w:ascii="Calibri" w:hAnsi="Calibri"/>
        </w:rPr>
        <w:t>. IALA Publication 2022.</w:t>
      </w:r>
    </w:p>
    <w:p w14:paraId="3974AF8E" w14:textId="6E676941" w:rsidR="000304FC" w:rsidRDefault="000304FC" w:rsidP="00ED3726">
      <w:pPr>
        <w:autoSpaceDE w:val="0"/>
        <w:autoSpaceDN w:val="0"/>
        <w:adjustRightInd w:val="0"/>
        <w:spacing w:after="120" w:line="240" w:lineRule="auto"/>
        <w:rPr>
          <w:rFonts w:ascii="Calibri" w:hAnsi="Calibri"/>
          <w:sz w:val="22"/>
        </w:rPr>
      </w:pPr>
      <w:r w:rsidRPr="000304FC">
        <w:rPr>
          <w:rFonts w:ascii="Calibri" w:hAnsi="Calibri"/>
          <w:sz w:val="22"/>
        </w:rPr>
        <w:lastRenderedPageBreak/>
        <w:t>IMO Revised guidelines for Formal Safety Assessment (FSA) for use in the IMO rule-making</w:t>
      </w:r>
      <w:r>
        <w:rPr>
          <w:rFonts w:ascii="Calibri" w:hAnsi="Calibri"/>
          <w:sz w:val="22"/>
        </w:rPr>
        <w:t xml:space="preserve"> </w:t>
      </w:r>
      <w:r w:rsidRPr="000304FC">
        <w:rPr>
          <w:rFonts w:ascii="Calibri" w:hAnsi="Calibri"/>
          <w:sz w:val="22"/>
        </w:rPr>
        <w:t>process. MSC-MEPC.2/Circ.12/Rev.2. London: IMO 2018.</w:t>
      </w:r>
    </w:p>
    <w:p w14:paraId="24AE3DC4" w14:textId="1B924FDB" w:rsidR="000304FC" w:rsidRPr="00ED3726" w:rsidRDefault="000304FC" w:rsidP="00ED3726">
      <w:pPr>
        <w:autoSpaceDE w:val="0"/>
        <w:autoSpaceDN w:val="0"/>
        <w:adjustRightInd w:val="0"/>
        <w:spacing w:after="120" w:line="240" w:lineRule="auto"/>
        <w:rPr>
          <w:rFonts w:ascii="Calibri" w:hAnsi="Calibri"/>
          <w:sz w:val="22"/>
          <w:lang w:val="sv-SE"/>
        </w:rPr>
      </w:pPr>
      <w:r w:rsidRPr="000304FC">
        <w:rPr>
          <w:rFonts w:ascii="Calibri" w:hAnsi="Calibri"/>
          <w:sz w:val="22"/>
        </w:rPr>
        <w:t>ISO 31000 Risk Management. Guidelines (Second edition)</w:t>
      </w:r>
      <w:r>
        <w:rPr>
          <w:rFonts w:ascii="Calibri" w:hAnsi="Calibri"/>
          <w:sz w:val="22"/>
        </w:rPr>
        <w:t xml:space="preserve">. </w:t>
      </w:r>
      <w:r w:rsidRPr="00ED3726">
        <w:rPr>
          <w:rFonts w:ascii="Calibri" w:hAnsi="Calibri"/>
          <w:sz w:val="22"/>
          <w:lang w:val="sv-SE"/>
        </w:rPr>
        <w:t>SFS-ISO 31000:2018.</w:t>
      </w:r>
    </w:p>
    <w:p w14:paraId="28E053E7" w14:textId="77777777" w:rsidR="00165B82" w:rsidRDefault="00165B82" w:rsidP="00165B82">
      <w:pPr>
        <w:pStyle w:val="BodyText"/>
        <w:rPr>
          <w:rFonts w:ascii="Calibri" w:hAnsi="Calibri"/>
        </w:rPr>
      </w:pPr>
      <w:r w:rsidRPr="00A979F8">
        <w:rPr>
          <w:rFonts w:ascii="Calibri" w:hAnsi="Calibri"/>
          <w:lang w:val="sv-SE"/>
        </w:rPr>
        <w:t xml:space="preserve">Laine, V., Valdez-Banda, O., &amp; Goerlandt, F. (2024). </w:t>
      </w:r>
      <w:r w:rsidRPr="00F956DA">
        <w:rPr>
          <w:rFonts w:ascii="Calibri" w:hAnsi="Calibri"/>
        </w:rPr>
        <w:t>Risk maturity model for the maritime authorities: a Delphi study to design the R-Mare matrix model. WMU Journal of Maritime Affairs, 1-27</w:t>
      </w:r>
      <w:r>
        <w:rPr>
          <w:rFonts w:ascii="Calibri" w:hAnsi="Calibri"/>
        </w:rPr>
        <w:t xml:space="preserve">, </w:t>
      </w:r>
      <w:proofErr w:type="spellStart"/>
      <w:r>
        <w:rPr>
          <w:rFonts w:ascii="Calibri" w:hAnsi="Calibri"/>
        </w:rPr>
        <w:t>doi</w:t>
      </w:r>
      <w:proofErr w:type="spellEnd"/>
      <w:r>
        <w:rPr>
          <w:rFonts w:ascii="Calibri" w:hAnsi="Calibri"/>
        </w:rPr>
        <w:t xml:space="preserve">: </w:t>
      </w:r>
      <w:r w:rsidRPr="00165B82">
        <w:rPr>
          <w:rFonts w:ascii="Calibri" w:hAnsi="Calibri"/>
        </w:rPr>
        <w:t>10.1007/s13437-023-00328-z</w:t>
      </w:r>
    </w:p>
    <w:p w14:paraId="6DE0F742" w14:textId="77777777" w:rsidR="00165B82" w:rsidRPr="008E3A8C" w:rsidRDefault="00165B82" w:rsidP="008E3A8C">
      <w:pPr>
        <w:autoSpaceDE w:val="0"/>
        <w:autoSpaceDN w:val="0"/>
        <w:adjustRightInd w:val="0"/>
        <w:spacing w:line="240" w:lineRule="auto"/>
        <w:rPr>
          <w:rFonts w:ascii="Calibri" w:hAnsi="Calibri"/>
          <w:sz w:val="22"/>
        </w:rPr>
      </w:pPr>
    </w:p>
    <w:p w14:paraId="53733F03" w14:textId="77777777" w:rsidR="00A446C9" w:rsidRPr="007A395D" w:rsidRDefault="00A446C9" w:rsidP="00ED3726">
      <w:pPr>
        <w:pStyle w:val="Heading1"/>
      </w:pPr>
      <w:r w:rsidRPr="007A395D">
        <w:t>Background</w:t>
      </w:r>
    </w:p>
    <w:p w14:paraId="087282E3" w14:textId="38F0CEAA" w:rsidR="00214342" w:rsidRDefault="00214342" w:rsidP="00ED3726">
      <w:pPr>
        <w:jc w:val="both"/>
        <w:rPr>
          <w:rFonts w:ascii="Calibri" w:hAnsi="Calibri"/>
          <w:sz w:val="22"/>
        </w:rPr>
      </w:pPr>
      <w:r w:rsidRPr="00214342">
        <w:rPr>
          <w:rFonts w:ascii="Calibri" w:hAnsi="Calibri"/>
          <w:sz w:val="22"/>
        </w:rPr>
        <w:t xml:space="preserve">The shipping industry serves as the backbone of international trade and the global economy, but it also poses risks to human life, the marine environment, and the global atmosphere </w:t>
      </w:r>
      <w:r w:rsidR="00E77B71">
        <w:rPr>
          <w:rFonts w:ascii="Calibri" w:hAnsi="Calibri"/>
          <w:sz w:val="22"/>
        </w:rPr>
        <w:t>[1]</w:t>
      </w:r>
      <w:r w:rsidRPr="00214342">
        <w:rPr>
          <w:rFonts w:ascii="Calibri" w:hAnsi="Calibri"/>
          <w:sz w:val="22"/>
        </w:rPr>
        <w:t xml:space="preserve">. Therefore, there is a need to procure the benefits and manage the risks of this transportation mode, where authorities hold specific responsibilities focused on preventing maritime accidents, minimizing their potential consequences, and ensuring the sustainability of this industry. Although many of these associated tasks are already well established, several factors can introduce uncertainties and jeopardize their successful execution. Some of these factors can be attributed to the internal context of maritime administrations, such as a lack of leadership, resources, or commitment, while others are linked to its external context, including the increasing number of sub-standard vessels, illegal dumping and cyber-attacks, among others. To effectively address this complex array of responsibilities, maritime authorities need to be aware of and understand the risks stemming from both their internal and external contexts </w:t>
      </w:r>
      <w:r w:rsidR="00E77B71">
        <w:rPr>
          <w:rFonts w:ascii="Calibri" w:hAnsi="Calibri"/>
          <w:sz w:val="22"/>
        </w:rPr>
        <w:t>[2]</w:t>
      </w:r>
      <w:r w:rsidRPr="00214342">
        <w:rPr>
          <w:rFonts w:ascii="Calibri" w:hAnsi="Calibri"/>
          <w:sz w:val="22"/>
        </w:rPr>
        <w:t>.</w:t>
      </w:r>
    </w:p>
    <w:p w14:paraId="63574D7C" w14:textId="77777777" w:rsidR="00214342" w:rsidRPr="00214342" w:rsidRDefault="00214342" w:rsidP="00214342">
      <w:pPr>
        <w:rPr>
          <w:rFonts w:ascii="Calibri" w:hAnsi="Calibri"/>
          <w:sz w:val="22"/>
        </w:rPr>
      </w:pPr>
    </w:p>
    <w:p w14:paraId="2C13E19C" w14:textId="73A2441A" w:rsidR="00214342" w:rsidRDefault="00214342" w:rsidP="00ED3726">
      <w:pPr>
        <w:jc w:val="both"/>
        <w:rPr>
          <w:rFonts w:ascii="Calibri" w:hAnsi="Calibri"/>
          <w:sz w:val="22"/>
        </w:rPr>
      </w:pPr>
      <w:r w:rsidRPr="00214342">
        <w:rPr>
          <w:rFonts w:ascii="Calibri" w:hAnsi="Calibri"/>
          <w:sz w:val="22"/>
        </w:rPr>
        <w:t xml:space="preserve">A substantial number of studies have indicated that systematic risk management strongly supports the work of maritime authorities </w:t>
      </w:r>
      <w:r w:rsidR="00E77B71">
        <w:rPr>
          <w:rFonts w:ascii="Calibri" w:hAnsi="Calibri"/>
          <w:sz w:val="22"/>
        </w:rPr>
        <w:t>[3]</w:t>
      </w:r>
      <w:r w:rsidRPr="00214342">
        <w:rPr>
          <w:rFonts w:ascii="Calibri" w:hAnsi="Calibri"/>
          <w:sz w:val="22"/>
        </w:rPr>
        <w:t xml:space="preserve">. To this end, various risk management frameworks, processes, and tools have been introduced in academic literature and professional contexts </w:t>
      </w:r>
      <w:r w:rsidR="00D127CB">
        <w:rPr>
          <w:rFonts w:ascii="Calibri" w:hAnsi="Calibri"/>
          <w:sz w:val="22"/>
        </w:rPr>
        <w:t>[4]</w:t>
      </w:r>
      <w:r w:rsidRPr="00214342">
        <w:rPr>
          <w:rFonts w:ascii="Calibri" w:hAnsi="Calibri"/>
          <w:sz w:val="22"/>
        </w:rPr>
        <w:t xml:space="preserve">. However, the current selection of available risk assessment tools does not include risk maturity models, despite calls for such applications </w:t>
      </w:r>
      <w:r w:rsidR="00E77B71">
        <w:rPr>
          <w:rFonts w:ascii="Calibri" w:hAnsi="Calibri"/>
          <w:sz w:val="22"/>
        </w:rPr>
        <w:t>[5]</w:t>
      </w:r>
      <w:r w:rsidRPr="00214342">
        <w:rPr>
          <w:rFonts w:ascii="Calibri" w:hAnsi="Calibri"/>
          <w:sz w:val="22"/>
        </w:rPr>
        <w:t xml:space="preserve">. These models have proven useful </w:t>
      </w:r>
      <w:r w:rsidRPr="00D127CB">
        <w:rPr>
          <w:rFonts w:ascii="Calibri" w:hAnsi="Calibri"/>
          <w:sz w:val="22"/>
        </w:rPr>
        <w:t>across different industrial sectors</w:t>
      </w:r>
      <w:r w:rsidR="00D127CB" w:rsidRPr="00D127CB">
        <w:rPr>
          <w:rFonts w:ascii="Calibri" w:hAnsi="Calibri"/>
          <w:sz w:val="22"/>
        </w:rPr>
        <w:t xml:space="preserve"> [6]</w:t>
      </w:r>
      <w:r w:rsidRPr="00D127CB">
        <w:rPr>
          <w:rFonts w:ascii="Calibri" w:hAnsi="Calibri"/>
          <w:sz w:val="22"/>
        </w:rPr>
        <w:t xml:space="preserve">, transport modes </w:t>
      </w:r>
      <w:r w:rsidR="00D127CB" w:rsidRPr="00D127CB">
        <w:rPr>
          <w:rFonts w:ascii="Calibri" w:hAnsi="Calibri"/>
          <w:sz w:val="22"/>
        </w:rPr>
        <w:t>[7,8]</w:t>
      </w:r>
      <w:r w:rsidRPr="00D127CB">
        <w:rPr>
          <w:rFonts w:ascii="Calibri" w:hAnsi="Calibri"/>
          <w:sz w:val="22"/>
        </w:rPr>
        <w:t xml:space="preserve"> and governmental bodies </w:t>
      </w:r>
      <w:r w:rsidR="00D127CB" w:rsidRPr="00D127CB">
        <w:rPr>
          <w:rFonts w:ascii="Calibri" w:hAnsi="Calibri"/>
          <w:sz w:val="22"/>
        </w:rPr>
        <w:t>[9]</w:t>
      </w:r>
      <w:r w:rsidRPr="00D127CB">
        <w:rPr>
          <w:rFonts w:ascii="Calibri" w:hAnsi="Calibri"/>
          <w:sz w:val="22"/>
        </w:rPr>
        <w:t xml:space="preserve">. In the maritime sector, </w:t>
      </w:r>
      <w:r w:rsidR="00245A49">
        <w:rPr>
          <w:rFonts w:ascii="Calibri" w:hAnsi="Calibri"/>
          <w:sz w:val="22"/>
        </w:rPr>
        <w:t>these</w:t>
      </w:r>
      <w:r w:rsidRPr="00D127CB">
        <w:rPr>
          <w:rFonts w:ascii="Calibri" w:hAnsi="Calibri"/>
          <w:sz w:val="22"/>
        </w:rPr>
        <w:t xml:space="preserve"> could also support compliance with international regulations on aids to navigation, goal-based standards, and national contingency planning. </w:t>
      </w:r>
      <w:r w:rsidR="00FB220B">
        <w:rPr>
          <w:rFonts w:ascii="Calibri" w:hAnsi="Calibri"/>
          <w:sz w:val="22"/>
        </w:rPr>
        <w:t xml:space="preserve">Maturity models </w:t>
      </w:r>
      <w:r w:rsidR="00DE09A5">
        <w:rPr>
          <w:rFonts w:ascii="Calibri" w:hAnsi="Calibri"/>
          <w:sz w:val="22"/>
        </w:rPr>
        <w:t>are also well-suited to help strengthen the implementation of the risk management framework as outlined in the influential ISO31000:2018 standard, on which the IALA Guideline G1018 builds</w:t>
      </w:r>
      <w:r w:rsidR="00EE1710">
        <w:rPr>
          <w:rFonts w:ascii="Calibri" w:hAnsi="Calibri"/>
          <w:sz w:val="22"/>
        </w:rPr>
        <w:t>, indicating the relevance for Aids to Navigation authorities</w:t>
      </w:r>
      <w:r w:rsidR="00DE09A5">
        <w:rPr>
          <w:rFonts w:ascii="Calibri" w:hAnsi="Calibri"/>
          <w:sz w:val="22"/>
        </w:rPr>
        <w:t xml:space="preserve">. </w:t>
      </w:r>
      <w:r w:rsidRPr="00D127CB">
        <w:rPr>
          <w:rFonts w:ascii="Calibri" w:hAnsi="Calibri"/>
          <w:sz w:val="22"/>
        </w:rPr>
        <w:t>Consequently, there is a need to address the risk maturity mod</w:t>
      </w:r>
      <w:r w:rsidRPr="00214342">
        <w:rPr>
          <w:rFonts w:ascii="Calibri" w:hAnsi="Calibri"/>
          <w:sz w:val="22"/>
        </w:rPr>
        <w:t>els from a maritime perspective and close this identified gap in risk assessment tools for competent authorities.</w:t>
      </w:r>
    </w:p>
    <w:p w14:paraId="63BDA400" w14:textId="77777777" w:rsidR="00214342" w:rsidRPr="00214342" w:rsidRDefault="00214342" w:rsidP="00214342">
      <w:pPr>
        <w:rPr>
          <w:rFonts w:ascii="Calibri" w:hAnsi="Calibri"/>
          <w:sz w:val="22"/>
        </w:rPr>
      </w:pPr>
    </w:p>
    <w:p w14:paraId="11C2D86B" w14:textId="15784DFB" w:rsidR="00214342" w:rsidRDefault="00214342" w:rsidP="00ED3726">
      <w:pPr>
        <w:jc w:val="both"/>
        <w:rPr>
          <w:rFonts w:ascii="Calibri" w:hAnsi="Calibri"/>
          <w:sz w:val="22"/>
        </w:rPr>
      </w:pPr>
      <w:r w:rsidRPr="00214342">
        <w:rPr>
          <w:rFonts w:ascii="Calibri" w:hAnsi="Calibri"/>
          <w:sz w:val="22"/>
        </w:rPr>
        <w:t xml:space="preserve">To take the first step for providing a risk maturity model for the maritime authorities, an extensive background literature review was conducted to explore recent developments in this field. The results of this review </w:t>
      </w:r>
      <w:r w:rsidR="00AE1B9F">
        <w:rPr>
          <w:rFonts w:ascii="Calibri" w:hAnsi="Calibri"/>
          <w:sz w:val="22"/>
        </w:rPr>
        <w:t xml:space="preserve">formed the </w:t>
      </w:r>
      <w:r w:rsidRPr="00214342">
        <w:rPr>
          <w:rFonts w:ascii="Calibri" w:hAnsi="Calibri"/>
          <w:sz w:val="22"/>
        </w:rPr>
        <w:t>basis for the new model development, which was made in close collaboration with the competent authorities and risk management experts through a process based on the Delphi methodology. Following its results, th</w:t>
      </w:r>
      <w:r w:rsidR="00245A49">
        <w:rPr>
          <w:rFonts w:ascii="Calibri" w:hAnsi="Calibri"/>
          <w:sz w:val="22"/>
        </w:rPr>
        <w:t>is paper</w:t>
      </w:r>
      <w:r w:rsidRPr="00214342">
        <w:rPr>
          <w:rFonts w:ascii="Calibri" w:hAnsi="Calibri"/>
          <w:sz w:val="22"/>
        </w:rPr>
        <w:t xml:space="preserve"> </w:t>
      </w:r>
      <w:r w:rsidR="00245A49">
        <w:rPr>
          <w:rFonts w:ascii="Calibri" w:hAnsi="Calibri"/>
          <w:sz w:val="22"/>
        </w:rPr>
        <w:t xml:space="preserve">briefly </w:t>
      </w:r>
      <w:r w:rsidR="00AE1B9F" w:rsidRPr="00214342">
        <w:rPr>
          <w:rFonts w:ascii="Calibri" w:hAnsi="Calibri"/>
          <w:sz w:val="22"/>
        </w:rPr>
        <w:t xml:space="preserve">introduces </w:t>
      </w:r>
      <w:r w:rsidR="00AE1B9F">
        <w:rPr>
          <w:rFonts w:ascii="Calibri" w:hAnsi="Calibri"/>
          <w:sz w:val="22"/>
        </w:rPr>
        <w:t>the</w:t>
      </w:r>
      <w:r w:rsidRPr="00214342">
        <w:rPr>
          <w:rFonts w:ascii="Calibri" w:hAnsi="Calibri"/>
          <w:sz w:val="22"/>
        </w:rPr>
        <w:t xml:space="preserve"> new risk maturity model called the R-Mare</w:t>
      </w:r>
      <w:r w:rsidR="00495629">
        <w:rPr>
          <w:rFonts w:ascii="Calibri" w:hAnsi="Calibri"/>
          <w:sz w:val="22"/>
        </w:rPr>
        <w:t xml:space="preserve">, which is based </w:t>
      </w:r>
      <w:r w:rsidRPr="00214342">
        <w:rPr>
          <w:rFonts w:ascii="Calibri" w:hAnsi="Calibri"/>
          <w:sz w:val="22"/>
        </w:rPr>
        <w:t xml:space="preserve">on the matrix technique. This matrix incorporates 17 risk management attributes, a five-step risk maturity scale and associated risk maturity grid descriptions. By using this matrix, maritime authorities can evaluate their current risk management performance, identify areas for improvement, and develop a plan for achieving a higher level in risk management maturity. Even though the R-Mare matrix has been primarily developed for the maritime authorities of Finland, its approach could also be considered in other coastal and flag states. </w:t>
      </w:r>
    </w:p>
    <w:p w14:paraId="5DB4FAA0" w14:textId="77777777" w:rsidR="00214342" w:rsidRDefault="00214342" w:rsidP="00214342">
      <w:pPr>
        <w:rPr>
          <w:rFonts w:ascii="Calibri" w:hAnsi="Calibri"/>
          <w:sz w:val="22"/>
        </w:rPr>
      </w:pPr>
    </w:p>
    <w:p w14:paraId="07452EBC" w14:textId="2623B5F9" w:rsidR="00A446C9" w:rsidRPr="00214342" w:rsidRDefault="00214342" w:rsidP="003D25B0">
      <w:pPr>
        <w:jc w:val="both"/>
        <w:rPr>
          <w:rFonts w:ascii="Calibri" w:hAnsi="Calibri"/>
          <w:lang w:val="en-US"/>
        </w:rPr>
      </w:pPr>
      <w:proofErr w:type="spellStart"/>
      <w:r w:rsidRPr="00214342">
        <w:rPr>
          <w:rFonts w:ascii="Calibri" w:hAnsi="Calibri"/>
          <w:sz w:val="22"/>
        </w:rPr>
        <w:t>OpenRisk</w:t>
      </w:r>
      <w:proofErr w:type="spellEnd"/>
      <w:r w:rsidRPr="00214342">
        <w:rPr>
          <w:rFonts w:ascii="Calibri" w:hAnsi="Calibri"/>
          <w:sz w:val="22"/>
        </w:rPr>
        <w:t xml:space="preserve"> II </w:t>
      </w:r>
      <w:r w:rsidR="00D127CB">
        <w:rPr>
          <w:rFonts w:ascii="Calibri" w:hAnsi="Calibri"/>
          <w:sz w:val="22"/>
        </w:rPr>
        <w:t xml:space="preserve">[10] </w:t>
      </w:r>
      <w:r w:rsidRPr="00214342">
        <w:rPr>
          <w:rFonts w:ascii="Calibri" w:hAnsi="Calibri"/>
          <w:sz w:val="22"/>
        </w:rPr>
        <w:t xml:space="preserve">is an ongoing project funded by the EU </w:t>
      </w:r>
      <w:proofErr w:type="spellStart"/>
      <w:r w:rsidRPr="00214342">
        <w:rPr>
          <w:rFonts w:ascii="Calibri" w:hAnsi="Calibri"/>
          <w:sz w:val="22"/>
        </w:rPr>
        <w:t>Interrerreg</w:t>
      </w:r>
      <w:proofErr w:type="spellEnd"/>
      <w:r w:rsidRPr="00214342">
        <w:rPr>
          <w:rFonts w:ascii="Calibri" w:hAnsi="Calibri"/>
          <w:sz w:val="22"/>
        </w:rPr>
        <w:t xml:space="preserve"> Baltic Sea Region. As part of this project, the reliability of the R-Mare matrix </w:t>
      </w:r>
      <w:r w:rsidR="007A109B">
        <w:rPr>
          <w:rFonts w:ascii="Calibri" w:hAnsi="Calibri"/>
          <w:sz w:val="22"/>
        </w:rPr>
        <w:t xml:space="preserve">is currently undergoing further testing </w:t>
      </w:r>
      <w:r w:rsidRPr="00214342">
        <w:rPr>
          <w:rFonts w:ascii="Calibri" w:hAnsi="Calibri"/>
          <w:sz w:val="22"/>
        </w:rPr>
        <w:t xml:space="preserve">to </w:t>
      </w:r>
      <w:r w:rsidR="00E522C5">
        <w:rPr>
          <w:rFonts w:ascii="Calibri" w:hAnsi="Calibri"/>
          <w:sz w:val="22"/>
        </w:rPr>
        <w:t>improve</w:t>
      </w:r>
      <w:r w:rsidRPr="00214342">
        <w:rPr>
          <w:rFonts w:ascii="Calibri" w:hAnsi="Calibri"/>
          <w:sz w:val="22"/>
        </w:rPr>
        <w:t xml:space="preserve"> the model´s quality</w:t>
      </w:r>
      <w:r w:rsidR="00CD5A14">
        <w:rPr>
          <w:rFonts w:ascii="Calibri" w:hAnsi="Calibri"/>
          <w:sz w:val="22"/>
        </w:rPr>
        <w:t xml:space="preserve"> and gain understanding of its practical usefulness, including the reliability</w:t>
      </w:r>
      <w:r w:rsidR="003D03C1">
        <w:rPr>
          <w:rFonts w:ascii="Calibri" w:hAnsi="Calibri"/>
          <w:sz w:val="22"/>
        </w:rPr>
        <w:t xml:space="preserve"> of its application across different expert raters</w:t>
      </w:r>
      <w:r w:rsidRPr="00214342">
        <w:rPr>
          <w:rFonts w:ascii="Calibri" w:hAnsi="Calibri"/>
          <w:sz w:val="22"/>
        </w:rPr>
        <w:t xml:space="preserve">. Within the project, a software solution for the R-Mare matrix will also be developed to </w:t>
      </w:r>
      <w:r w:rsidR="00E522C5">
        <w:rPr>
          <w:rFonts w:ascii="Calibri" w:hAnsi="Calibri"/>
          <w:sz w:val="22"/>
        </w:rPr>
        <w:t>provide</w:t>
      </w:r>
      <w:r w:rsidRPr="00214342">
        <w:rPr>
          <w:rFonts w:ascii="Calibri" w:hAnsi="Calibri"/>
          <w:sz w:val="22"/>
        </w:rPr>
        <w:t xml:space="preserve"> </w:t>
      </w:r>
      <w:r w:rsidR="003D03C1">
        <w:rPr>
          <w:rFonts w:ascii="Calibri" w:hAnsi="Calibri"/>
          <w:sz w:val="22"/>
        </w:rPr>
        <w:t xml:space="preserve">a </w:t>
      </w:r>
      <w:r w:rsidR="00E522C5">
        <w:rPr>
          <w:rFonts w:ascii="Calibri" w:hAnsi="Calibri"/>
          <w:sz w:val="22"/>
        </w:rPr>
        <w:t>practi</w:t>
      </w:r>
      <w:r w:rsidR="003D03C1">
        <w:rPr>
          <w:rFonts w:ascii="Calibri" w:hAnsi="Calibri"/>
          <w:sz w:val="22"/>
        </w:rPr>
        <w:t>ce-</w:t>
      </w:r>
      <w:r w:rsidR="00E522C5">
        <w:rPr>
          <w:rFonts w:ascii="Calibri" w:hAnsi="Calibri"/>
          <w:sz w:val="22"/>
        </w:rPr>
        <w:t>oriented user</w:t>
      </w:r>
      <w:r w:rsidRPr="00214342">
        <w:rPr>
          <w:rFonts w:ascii="Calibri" w:hAnsi="Calibri"/>
          <w:sz w:val="22"/>
        </w:rPr>
        <w:t xml:space="preserve"> interface</w:t>
      </w:r>
      <w:r w:rsidR="00E522C5">
        <w:rPr>
          <w:rFonts w:ascii="Calibri" w:hAnsi="Calibri"/>
          <w:sz w:val="22"/>
        </w:rPr>
        <w:t xml:space="preserve"> for the model</w:t>
      </w:r>
      <w:r w:rsidR="00EF6F62">
        <w:rPr>
          <w:rFonts w:ascii="Calibri" w:hAnsi="Calibri"/>
          <w:sz w:val="22"/>
        </w:rPr>
        <w:t>, for ease of use by the maritime authorities</w:t>
      </w:r>
      <w:r w:rsidRPr="00214342">
        <w:rPr>
          <w:rFonts w:ascii="Calibri" w:hAnsi="Calibri"/>
          <w:sz w:val="22"/>
        </w:rPr>
        <w:t>.</w:t>
      </w:r>
      <w:r w:rsidR="003D25B0">
        <w:rPr>
          <w:rFonts w:ascii="Calibri" w:hAnsi="Calibri"/>
          <w:sz w:val="22"/>
        </w:rPr>
        <w:t xml:space="preserve"> This software product will be open-access in line with the project principles.</w:t>
      </w:r>
    </w:p>
    <w:p w14:paraId="041E9135" w14:textId="77777777" w:rsidR="00A446C9" w:rsidRPr="007A395D" w:rsidRDefault="00A446C9" w:rsidP="00605E43">
      <w:pPr>
        <w:pStyle w:val="Heading1"/>
      </w:pPr>
      <w:r w:rsidRPr="007A395D">
        <w:lastRenderedPageBreak/>
        <w:t>Discussion</w:t>
      </w:r>
    </w:p>
    <w:p w14:paraId="23B5467E" w14:textId="163505A1" w:rsidR="00F25BF4" w:rsidRPr="00C02DDD" w:rsidRDefault="00245A49" w:rsidP="003D25B0">
      <w:pPr>
        <w:jc w:val="both"/>
        <w:rPr>
          <w:rFonts w:ascii="Calibri" w:hAnsi="Calibri"/>
          <w:b/>
          <w:bCs/>
        </w:rPr>
      </w:pPr>
      <w:r w:rsidRPr="00E702D6">
        <w:rPr>
          <w:rFonts w:ascii="Calibri" w:hAnsi="Calibri"/>
          <w:sz w:val="22"/>
        </w:rPr>
        <w:t xml:space="preserve">The </w:t>
      </w:r>
      <w:r w:rsidR="00E702D6">
        <w:rPr>
          <w:rFonts w:ascii="Calibri" w:hAnsi="Calibri"/>
          <w:sz w:val="22"/>
        </w:rPr>
        <w:t>following S</w:t>
      </w:r>
      <w:r w:rsidR="00E702D6" w:rsidRPr="00E702D6">
        <w:rPr>
          <w:rFonts w:ascii="Calibri" w:hAnsi="Calibri"/>
          <w:sz w:val="22"/>
        </w:rPr>
        <w:t xml:space="preserve">ections 2.1 </w:t>
      </w:r>
      <w:r w:rsidR="00EF6F62">
        <w:rPr>
          <w:rFonts w:ascii="Calibri" w:hAnsi="Calibri"/>
          <w:sz w:val="22"/>
        </w:rPr>
        <w:t>and</w:t>
      </w:r>
      <w:r w:rsidR="00E702D6" w:rsidRPr="00E702D6">
        <w:rPr>
          <w:rFonts w:ascii="Calibri" w:hAnsi="Calibri"/>
          <w:sz w:val="22"/>
        </w:rPr>
        <w:t xml:space="preserve"> 2.</w:t>
      </w:r>
      <w:r w:rsidR="00E702D6">
        <w:rPr>
          <w:rFonts w:ascii="Calibri" w:hAnsi="Calibri"/>
          <w:sz w:val="22"/>
        </w:rPr>
        <w:t>2</w:t>
      </w:r>
      <w:r w:rsidR="00E702D6" w:rsidRPr="00E702D6">
        <w:rPr>
          <w:rFonts w:ascii="Calibri" w:hAnsi="Calibri"/>
          <w:sz w:val="22"/>
        </w:rPr>
        <w:t xml:space="preserve"> </w:t>
      </w:r>
      <w:r w:rsidR="00E702D6">
        <w:rPr>
          <w:rFonts w:ascii="Calibri" w:hAnsi="Calibri"/>
          <w:sz w:val="22"/>
        </w:rPr>
        <w:t>briefly</w:t>
      </w:r>
      <w:r w:rsidR="00E702D6" w:rsidRPr="00E702D6">
        <w:rPr>
          <w:rFonts w:ascii="Calibri" w:hAnsi="Calibri"/>
          <w:sz w:val="22"/>
        </w:rPr>
        <w:t xml:space="preserve"> </w:t>
      </w:r>
      <w:r w:rsidR="00EF6F62">
        <w:rPr>
          <w:rFonts w:ascii="Calibri" w:hAnsi="Calibri"/>
          <w:sz w:val="22"/>
        </w:rPr>
        <w:t xml:space="preserve">outline </w:t>
      </w:r>
      <w:r w:rsidR="00E702D6" w:rsidRPr="00E702D6">
        <w:rPr>
          <w:rFonts w:ascii="Calibri" w:hAnsi="Calibri"/>
          <w:sz w:val="22"/>
        </w:rPr>
        <w:t>the design specifications</w:t>
      </w:r>
      <w:r w:rsidR="00E702D6">
        <w:rPr>
          <w:rFonts w:ascii="Calibri" w:hAnsi="Calibri"/>
          <w:sz w:val="22"/>
        </w:rPr>
        <w:t xml:space="preserve"> and</w:t>
      </w:r>
      <w:r w:rsidR="00E702D6" w:rsidRPr="00E702D6">
        <w:rPr>
          <w:rFonts w:ascii="Calibri" w:hAnsi="Calibri"/>
          <w:sz w:val="22"/>
        </w:rPr>
        <w:t xml:space="preserve"> </w:t>
      </w:r>
      <w:r w:rsidR="00E702D6">
        <w:rPr>
          <w:rFonts w:ascii="Calibri" w:hAnsi="Calibri"/>
          <w:sz w:val="22"/>
        </w:rPr>
        <w:t>development process of the R-Mare matrix risk maturity model, while Section 2.3 provides an overview of the model itself.</w:t>
      </w:r>
      <w:r w:rsidR="00E702D6" w:rsidRPr="00E702D6">
        <w:rPr>
          <w:rFonts w:ascii="Calibri" w:hAnsi="Calibri"/>
          <w:sz w:val="22"/>
        </w:rPr>
        <w:t xml:space="preserve"> For a comprehensive </w:t>
      </w:r>
      <w:r w:rsidR="00E702D6">
        <w:rPr>
          <w:rFonts w:ascii="Calibri" w:hAnsi="Calibri"/>
          <w:sz w:val="22"/>
        </w:rPr>
        <w:t>description of the R-Mare matrix</w:t>
      </w:r>
      <w:r w:rsidR="00A979F8">
        <w:rPr>
          <w:rFonts w:ascii="Calibri" w:hAnsi="Calibri"/>
          <w:sz w:val="22"/>
        </w:rPr>
        <w:t xml:space="preserve"> model</w:t>
      </w:r>
      <w:r w:rsidR="00E702D6" w:rsidRPr="00E702D6">
        <w:rPr>
          <w:rFonts w:ascii="Calibri" w:hAnsi="Calibri"/>
          <w:sz w:val="22"/>
        </w:rPr>
        <w:t xml:space="preserve">, the reader is referred to </w:t>
      </w:r>
      <w:r w:rsidR="0007071D">
        <w:rPr>
          <w:rFonts w:ascii="Calibri" w:hAnsi="Calibri"/>
          <w:sz w:val="22"/>
        </w:rPr>
        <w:t xml:space="preserve">the </w:t>
      </w:r>
      <w:r w:rsidR="00E702D6">
        <w:rPr>
          <w:rFonts w:ascii="Calibri" w:hAnsi="Calibri"/>
          <w:sz w:val="22"/>
        </w:rPr>
        <w:t xml:space="preserve">original </w:t>
      </w:r>
      <w:r w:rsidR="0007071D">
        <w:rPr>
          <w:rFonts w:ascii="Calibri" w:hAnsi="Calibri"/>
          <w:sz w:val="22"/>
        </w:rPr>
        <w:t xml:space="preserve">research </w:t>
      </w:r>
      <w:r w:rsidR="00E702D6">
        <w:rPr>
          <w:rFonts w:ascii="Calibri" w:hAnsi="Calibri"/>
          <w:sz w:val="22"/>
        </w:rPr>
        <w:t>article [11]</w:t>
      </w:r>
      <w:r w:rsidR="00E702D6" w:rsidRPr="00E702D6">
        <w:rPr>
          <w:rFonts w:ascii="Calibri" w:hAnsi="Calibri"/>
          <w:sz w:val="22"/>
        </w:rPr>
        <w:t>.</w:t>
      </w:r>
    </w:p>
    <w:p w14:paraId="7C5E1800" w14:textId="424E88C6" w:rsidR="00F25BF4" w:rsidRDefault="002E08F6" w:rsidP="00605E43">
      <w:pPr>
        <w:pStyle w:val="Heading2"/>
      </w:pPr>
      <w:r>
        <w:t xml:space="preserve">DESIGN </w:t>
      </w:r>
      <w:r w:rsidR="00446E4D">
        <w:t>SPECIFICATIONS</w:t>
      </w:r>
    </w:p>
    <w:p w14:paraId="051A871D" w14:textId="77777777" w:rsidR="002E08F6" w:rsidRDefault="00DA5F76" w:rsidP="00DA5F76">
      <w:pPr>
        <w:pStyle w:val="BodyText"/>
      </w:pPr>
      <w:r w:rsidRPr="00DA5F76">
        <w:t xml:space="preserve">The basic design of the development process for the risk maturity model for maritime authorities is derived from recent studies in this field and risk management guidelines. </w:t>
      </w:r>
    </w:p>
    <w:p w14:paraId="55B4DAD2" w14:textId="6519939D" w:rsidR="002E08F6" w:rsidRDefault="00DA5F76" w:rsidP="00DA5F76">
      <w:pPr>
        <w:pStyle w:val="BodyText"/>
      </w:pPr>
      <w:r w:rsidRPr="00DA5F76">
        <w:t xml:space="preserve">First, the study by Maier et al. (2011) was applied to support the specification of the purpose, objectives, end-users and success criteria of the model, as it provides thorough guidance in this regard. Second, the review </w:t>
      </w:r>
      <w:r w:rsidR="00A647D5">
        <w:t>by</w:t>
      </w:r>
      <w:r w:rsidRPr="00DA5F76">
        <w:t xml:space="preserve"> Laine et al. (2022) was used to specify the methodology for the development process of the risk maturity model and the technique to be employed in the model itself. Third, the results of this same review were also utilized to determine the initial number of risk maturity levels and risk management attributes for the model, and to identify best practices for describing the model's risk maturity grids. Finally, both the ISO 31000 standard and the IMO FSA guidelines were used as benchmarks to support the definition of the risk management attributes for the model</w:t>
      </w:r>
      <w:r w:rsidR="00EC26CE">
        <w:t xml:space="preserve">, ensuring its relevance to well-known industry standards and </w:t>
      </w:r>
      <w:r w:rsidR="00492B8F">
        <w:t>maritime regulatory frameworks</w:t>
      </w:r>
      <w:r w:rsidRPr="00DA5F76">
        <w:t xml:space="preserve">. </w:t>
      </w:r>
    </w:p>
    <w:p w14:paraId="43D8F09D" w14:textId="51196141" w:rsidR="00DA5F76" w:rsidRDefault="00DA5F76" w:rsidP="00DA5F76">
      <w:pPr>
        <w:pStyle w:val="BodyText"/>
      </w:pPr>
      <w:r w:rsidRPr="00DA5F76">
        <w:t>Table 1 provides a summary of the design specifications, end-user needs, and development basis for creating this so-called R-Mare matrix model.</w:t>
      </w:r>
    </w:p>
    <w:p w14:paraId="47EE35AF" w14:textId="4034FE47" w:rsidR="002E08F6" w:rsidRDefault="002E08F6" w:rsidP="002E08F6">
      <w:pPr>
        <w:pStyle w:val="Tablecaption"/>
        <w:numPr>
          <w:ilvl w:val="0"/>
          <w:numId w:val="0"/>
        </w:numPr>
        <w:suppressAutoHyphens/>
      </w:pPr>
      <w:r w:rsidRPr="002E08F6">
        <w:t xml:space="preserve">Table 1. </w:t>
      </w:r>
      <w:r w:rsidR="00397892">
        <w:t>S</w:t>
      </w:r>
      <w:r w:rsidRPr="002E08F6">
        <w:t>ummary o</w:t>
      </w:r>
      <w:r w:rsidR="00397892">
        <w:t>f</w:t>
      </w:r>
      <w:r w:rsidRPr="002E08F6">
        <w:t xml:space="preserve"> the design specifications for the R-Mare matrix model</w:t>
      </w:r>
    </w:p>
    <w:tbl>
      <w:tblPr>
        <w:tblStyle w:val="TableGrid"/>
        <w:tblW w:w="0" w:type="auto"/>
        <w:jc w:val="center"/>
        <w:tblLook w:val="04A0" w:firstRow="1" w:lastRow="0" w:firstColumn="1" w:lastColumn="0" w:noHBand="0" w:noVBand="1"/>
      </w:tblPr>
      <w:tblGrid>
        <w:gridCol w:w="1980"/>
        <w:gridCol w:w="7518"/>
      </w:tblGrid>
      <w:tr w:rsidR="00DA5F76" w:rsidRPr="0080664E" w14:paraId="4CBD2869" w14:textId="77777777" w:rsidTr="00DA5F76">
        <w:trPr>
          <w:jc w:val="center"/>
        </w:trPr>
        <w:tc>
          <w:tcPr>
            <w:tcW w:w="1980" w:type="dxa"/>
          </w:tcPr>
          <w:p w14:paraId="27BCD28E" w14:textId="77777777" w:rsidR="00DA5F76" w:rsidRPr="00DA5F76" w:rsidRDefault="00DA5F76" w:rsidP="00DA5F76">
            <w:pPr>
              <w:pStyle w:val="Tableheading"/>
              <w:suppressAutoHyphens/>
            </w:pPr>
            <w:bookmarkStart w:id="2" w:name="_Hlk134799488"/>
            <w:r w:rsidRPr="00DA5F76">
              <w:t>Subject</w:t>
            </w:r>
          </w:p>
        </w:tc>
        <w:tc>
          <w:tcPr>
            <w:tcW w:w="7518" w:type="dxa"/>
          </w:tcPr>
          <w:p w14:paraId="11E657A6" w14:textId="77777777" w:rsidR="00DA5F76" w:rsidRPr="00DA5F76" w:rsidRDefault="00DA5F76" w:rsidP="00DA5F76">
            <w:pPr>
              <w:pStyle w:val="Tableheading"/>
              <w:suppressAutoHyphens/>
            </w:pPr>
            <w:r w:rsidRPr="00DA5F76">
              <w:t>Specification</w:t>
            </w:r>
          </w:p>
        </w:tc>
      </w:tr>
      <w:tr w:rsidR="00DA5F76" w:rsidRPr="00A07369" w14:paraId="2E3275B1" w14:textId="77777777" w:rsidTr="00DA5F76">
        <w:trPr>
          <w:jc w:val="center"/>
        </w:trPr>
        <w:tc>
          <w:tcPr>
            <w:tcW w:w="1980" w:type="dxa"/>
            <w:shd w:val="clear" w:color="auto" w:fill="auto"/>
          </w:tcPr>
          <w:p w14:paraId="0FC42B53" w14:textId="77777777" w:rsidR="00DA5F76" w:rsidRPr="00DA5F76" w:rsidRDefault="00DA5F76" w:rsidP="00DA5F76">
            <w:pPr>
              <w:pStyle w:val="Tabletext"/>
              <w:suppressAutoHyphens/>
            </w:pPr>
            <w:bookmarkStart w:id="3" w:name="_Hlk136011839"/>
            <w:r w:rsidRPr="00DA5F76">
              <w:t>1. Purpose</w:t>
            </w:r>
          </w:p>
        </w:tc>
        <w:tc>
          <w:tcPr>
            <w:tcW w:w="7518" w:type="dxa"/>
            <w:shd w:val="clear" w:color="auto" w:fill="auto"/>
          </w:tcPr>
          <w:p w14:paraId="78ECC445" w14:textId="45B1CAAB" w:rsidR="00DA5F76" w:rsidRPr="00407324" w:rsidRDefault="00DA5F76" w:rsidP="00DA5F76">
            <w:pPr>
              <w:pStyle w:val="Tabletext"/>
              <w:suppressAutoHyphens/>
              <w:rPr>
                <w:lang w:val="en-CA"/>
              </w:rPr>
            </w:pPr>
            <w:bookmarkStart w:id="4" w:name="_Hlk135809238"/>
            <w:r w:rsidRPr="00407324">
              <w:rPr>
                <w:lang w:val="en-CA"/>
              </w:rPr>
              <w:t>Support the development of maritime authorities' risk management performance</w:t>
            </w:r>
            <w:bookmarkEnd w:id="4"/>
          </w:p>
        </w:tc>
      </w:tr>
      <w:tr w:rsidR="00DA5F76" w:rsidRPr="00A07369" w14:paraId="3F1ACAF6" w14:textId="77777777" w:rsidTr="00DA5F76">
        <w:trPr>
          <w:jc w:val="center"/>
        </w:trPr>
        <w:tc>
          <w:tcPr>
            <w:tcW w:w="1980" w:type="dxa"/>
            <w:shd w:val="clear" w:color="auto" w:fill="auto"/>
          </w:tcPr>
          <w:p w14:paraId="60D9CD0F" w14:textId="74106442" w:rsidR="00DA5F76" w:rsidRPr="00DA5F76" w:rsidRDefault="00DA5F76" w:rsidP="00DA5F76">
            <w:pPr>
              <w:pStyle w:val="Tabletext"/>
              <w:suppressAutoHyphens/>
              <w:ind w:left="0"/>
            </w:pPr>
            <w:bookmarkStart w:id="5" w:name="_Hlk135809395"/>
            <w:bookmarkEnd w:id="3"/>
            <w:r w:rsidRPr="00DA5F76">
              <w:t>2. Objectives</w:t>
            </w:r>
          </w:p>
        </w:tc>
        <w:tc>
          <w:tcPr>
            <w:tcW w:w="7518" w:type="dxa"/>
            <w:shd w:val="clear" w:color="auto" w:fill="auto"/>
          </w:tcPr>
          <w:p w14:paraId="78430B70" w14:textId="14639EA9" w:rsidR="00DA5F76" w:rsidRPr="00407324" w:rsidRDefault="00DA5F76" w:rsidP="00DA5F76">
            <w:pPr>
              <w:pStyle w:val="Tabletext"/>
              <w:suppressAutoHyphens/>
              <w:rPr>
                <w:lang w:val="en-CA"/>
              </w:rPr>
            </w:pPr>
            <w:bookmarkStart w:id="6" w:name="_Hlk134000445"/>
            <w:r w:rsidRPr="00407324">
              <w:rPr>
                <w:lang w:val="en-CA"/>
              </w:rPr>
              <w:t>Assist maritime authorities to evaluate their risk management performance, identify areas for improvement, and develop a plan for achieving a higher risk maturity level</w:t>
            </w:r>
            <w:bookmarkEnd w:id="6"/>
            <w:r w:rsidRPr="00407324">
              <w:rPr>
                <w:lang w:val="en-CA"/>
              </w:rPr>
              <w:t>.</w:t>
            </w:r>
          </w:p>
        </w:tc>
      </w:tr>
      <w:bookmarkEnd w:id="5"/>
      <w:tr w:rsidR="00DA5F76" w:rsidRPr="00A07369" w14:paraId="49E0D0F8" w14:textId="77777777" w:rsidTr="00DA5F76">
        <w:trPr>
          <w:jc w:val="center"/>
        </w:trPr>
        <w:tc>
          <w:tcPr>
            <w:tcW w:w="1980" w:type="dxa"/>
            <w:shd w:val="clear" w:color="auto" w:fill="auto"/>
          </w:tcPr>
          <w:p w14:paraId="67D1C868" w14:textId="68D6974B" w:rsidR="00DA5F76" w:rsidRPr="00DA5F76" w:rsidRDefault="00DA5F76" w:rsidP="00DA5F76">
            <w:pPr>
              <w:pStyle w:val="Tabletext"/>
              <w:suppressAutoHyphens/>
            </w:pPr>
            <w:r w:rsidRPr="00DA5F76">
              <w:t>3. End-users</w:t>
            </w:r>
          </w:p>
        </w:tc>
        <w:tc>
          <w:tcPr>
            <w:tcW w:w="7518" w:type="dxa"/>
            <w:shd w:val="clear" w:color="auto" w:fill="auto"/>
          </w:tcPr>
          <w:p w14:paraId="76021B5E" w14:textId="77777777" w:rsidR="00DA5F76" w:rsidRPr="00407324" w:rsidRDefault="00DA5F76" w:rsidP="00DA5F76">
            <w:pPr>
              <w:pStyle w:val="Tabletext"/>
              <w:suppressAutoHyphens/>
              <w:rPr>
                <w:lang w:val="en-CA"/>
              </w:rPr>
            </w:pPr>
            <w:r w:rsidRPr="00407324">
              <w:rPr>
                <w:lang w:val="en-CA"/>
              </w:rPr>
              <w:t>Maritime safety and response authorities of Finland</w:t>
            </w:r>
          </w:p>
        </w:tc>
      </w:tr>
      <w:tr w:rsidR="00DA5F76" w:rsidRPr="00A07369" w14:paraId="2DDE3F03" w14:textId="77777777" w:rsidTr="00DA5F76">
        <w:trPr>
          <w:jc w:val="center"/>
        </w:trPr>
        <w:tc>
          <w:tcPr>
            <w:tcW w:w="1980" w:type="dxa"/>
            <w:shd w:val="clear" w:color="auto" w:fill="auto"/>
          </w:tcPr>
          <w:p w14:paraId="16147027" w14:textId="0A36963D" w:rsidR="00DA5F76" w:rsidRPr="00DA5F76" w:rsidRDefault="00DA5F76" w:rsidP="00DA5F76">
            <w:pPr>
              <w:pStyle w:val="Tabletext"/>
              <w:suppressAutoHyphens/>
            </w:pPr>
            <w:r w:rsidRPr="00DA5F76">
              <w:t>4. Methodology</w:t>
            </w:r>
          </w:p>
        </w:tc>
        <w:tc>
          <w:tcPr>
            <w:tcW w:w="7518" w:type="dxa"/>
            <w:shd w:val="clear" w:color="auto" w:fill="auto"/>
          </w:tcPr>
          <w:p w14:paraId="291F3919" w14:textId="77777777" w:rsidR="00DA5F76" w:rsidRPr="00407324" w:rsidRDefault="00DA5F76" w:rsidP="00DA5F76">
            <w:pPr>
              <w:pStyle w:val="Tabletext"/>
              <w:suppressAutoHyphens/>
              <w:rPr>
                <w:lang w:val="en-CA"/>
              </w:rPr>
            </w:pPr>
            <w:r w:rsidRPr="00407324">
              <w:rPr>
                <w:lang w:val="en-CA"/>
              </w:rPr>
              <w:t>Delphi methodology for the R-Mare model development</w:t>
            </w:r>
          </w:p>
        </w:tc>
      </w:tr>
      <w:tr w:rsidR="00DA5F76" w:rsidRPr="00A07369" w14:paraId="30A47604" w14:textId="77777777" w:rsidTr="00DA5F76">
        <w:trPr>
          <w:jc w:val="center"/>
        </w:trPr>
        <w:tc>
          <w:tcPr>
            <w:tcW w:w="1980" w:type="dxa"/>
            <w:shd w:val="clear" w:color="auto" w:fill="auto"/>
          </w:tcPr>
          <w:p w14:paraId="7F3EA6ED" w14:textId="1F5B8D7B" w:rsidR="00DA5F76" w:rsidRPr="00DA5F76" w:rsidRDefault="00DA5F76" w:rsidP="00DA5F76">
            <w:pPr>
              <w:pStyle w:val="Tabletext"/>
              <w:suppressAutoHyphens/>
            </w:pPr>
            <w:r w:rsidRPr="00DA5F76">
              <w:t>5. Technique</w:t>
            </w:r>
          </w:p>
        </w:tc>
        <w:tc>
          <w:tcPr>
            <w:tcW w:w="7518" w:type="dxa"/>
            <w:shd w:val="clear" w:color="auto" w:fill="auto"/>
          </w:tcPr>
          <w:p w14:paraId="2196C8DC" w14:textId="77777777" w:rsidR="00DA5F76" w:rsidRPr="00407324" w:rsidRDefault="00DA5F76" w:rsidP="00DA5F76">
            <w:pPr>
              <w:pStyle w:val="Tabletext"/>
              <w:suppressAutoHyphens/>
              <w:rPr>
                <w:lang w:val="en-CA"/>
              </w:rPr>
            </w:pPr>
            <w:r w:rsidRPr="00407324">
              <w:rPr>
                <w:lang w:val="en-CA"/>
              </w:rPr>
              <w:t>Attributes-maturity level matrix as the R-Mare model technique</w:t>
            </w:r>
          </w:p>
        </w:tc>
      </w:tr>
      <w:tr w:rsidR="00DA5F76" w:rsidRPr="00A07369" w14:paraId="1A0F1B73" w14:textId="77777777" w:rsidTr="00DA5F76">
        <w:trPr>
          <w:jc w:val="center"/>
        </w:trPr>
        <w:tc>
          <w:tcPr>
            <w:tcW w:w="1980" w:type="dxa"/>
            <w:shd w:val="clear" w:color="auto" w:fill="auto"/>
          </w:tcPr>
          <w:p w14:paraId="12996F73" w14:textId="5CBB6689" w:rsidR="00DA5F76" w:rsidRPr="00DA5F76" w:rsidRDefault="00DA5F76" w:rsidP="00DA5F76">
            <w:pPr>
              <w:pStyle w:val="Tabletext"/>
              <w:suppressAutoHyphens/>
            </w:pPr>
            <w:r w:rsidRPr="00DA5F76">
              <w:t>6. Maturity levels</w:t>
            </w:r>
          </w:p>
        </w:tc>
        <w:tc>
          <w:tcPr>
            <w:tcW w:w="7518" w:type="dxa"/>
            <w:shd w:val="clear" w:color="auto" w:fill="auto"/>
          </w:tcPr>
          <w:p w14:paraId="23554A46" w14:textId="77777777" w:rsidR="00DA5F76" w:rsidRPr="00407324" w:rsidRDefault="00DA5F76" w:rsidP="00DA5F76">
            <w:pPr>
              <w:pStyle w:val="Tabletext"/>
              <w:suppressAutoHyphens/>
              <w:rPr>
                <w:lang w:val="en-CA"/>
              </w:rPr>
            </w:pPr>
            <w:r w:rsidRPr="00407324">
              <w:rPr>
                <w:lang w:val="en-CA"/>
              </w:rPr>
              <w:t>Five risk maturity levels for the X-axis of R-Mare model</w:t>
            </w:r>
          </w:p>
        </w:tc>
      </w:tr>
      <w:tr w:rsidR="00DA5F76" w:rsidRPr="00A07369" w14:paraId="7BDDFE2B" w14:textId="77777777" w:rsidTr="00DA5F76">
        <w:trPr>
          <w:jc w:val="center"/>
        </w:trPr>
        <w:tc>
          <w:tcPr>
            <w:tcW w:w="1980" w:type="dxa"/>
            <w:shd w:val="clear" w:color="auto" w:fill="auto"/>
          </w:tcPr>
          <w:p w14:paraId="2B12D491" w14:textId="3A774D1E" w:rsidR="00DA5F76" w:rsidRPr="00DA5F76" w:rsidRDefault="00DA5F76" w:rsidP="00DA5F76">
            <w:pPr>
              <w:pStyle w:val="Tabletext"/>
              <w:suppressAutoHyphens/>
            </w:pPr>
            <w:r w:rsidRPr="00DA5F76">
              <w:t>7. Attributes</w:t>
            </w:r>
          </w:p>
        </w:tc>
        <w:tc>
          <w:tcPr>
            <w:tcW w:w="7518" w:type="dxa"/>
            <w:shd w:val="clear" w:color="auto" w:fill="auto"/>
          </w:tcPr>
          <w:p w14:paraId="0C719140" w14:textId="77777777" w:rsidR="00DA5F76" w:rsidRPr="00407324" w:rsidRDefault="00DA5F76" w:rsidP="00DA5F76">
            <w:pPr>
              <w:pStyle w:val="Tabletext"/>
              <w:suppressAutoHyphens/>
              <w:rPr>
                <w:lang w:val="en-CA"/>
              </w:rPr>
            </w:pPr>
            <w:r w:rsidRPr="00407324">
              <w:rPr>
                <w:lang w:val="en-CA"/>
              </w:rPr>
              <w:t>Approximately 20 risk management attributes for the Y-axis of R-Mare model</w:t>
            </w:r>
          </w:p>
        </w:tc>
      </w:tr>
      <w:tr w:rsidR="00DA5F76" w:rsidRPr="00A07369" w14:paraId="0D7FBD70" w14:textId="77777777" w:rsidTr="00DA5F76">
        <w:trPr>
          <w:jc w:val="center"/>
        </w:trPr>
        <w:tc>
          <w:tcPr>
            <w:tcW w:w="1980" w:type="dxa"/>
            <w:shd w:val="clear" w:color="auto" w:fill="auto"/>
          </w:tcPr>
          <w:p w14:paraId="0E6CA120" w14:textId="441AFEE4" w:rsidR="00DA5F76" w:rsidRPr="00DA5F76" w:rsidRDefault="00DA5F76" w:rsidP="00DA5F76">
            <w:pPr>
              <w:pStyle w:val="Tabletext"/>
              <w:suppressAutoHyphens/>
            </w:pPr>
            <w:r w:rsidRPr="00DA5F76">
              <w:t>8. Grids</w:t>
            </w:r>
          </w:p>
        </w:tc>
        <w:tc>
          <w:tcPr>
            <w:tcW w:w="7518" w:type="dxa"/>
            <w:shd w:val="clear" w:color="auto" w:fill="auto"/>
          </w:tcPr>
          <w:p w14:paraId="2CFD53AC" w14:textId="0043F488" w:rsidR="00DA5F76" w:rsidRPr="00407324" w:rsidRDefault="00DA5F76" w:rsidP="002E08F6">
            <w:pPr>
              <w:pStyle w:val="Tabletext"/>
              <w:suppressAutoHyphens/>
              <w:rPr>
                <w:lang w:val="en-CA"/>
              </w:rPr>
            </w:pPr>
            <w:r w:rsidRPr="00407324">
              <w:rPr>
                <w:lang w:val="en-CA"/>
              </w:rPr>
              <w:t>Best practices to support maturity grid descriptions</w:t>
            </w:r>
          </w:p>
        </w:tc>
      </w:tr>
      <w:tr w:rsidR="00DA5F76" w:rsidRPr="00A07369" w14:paraId="7FCC419F" w14:textId="77777777" w:rsidTr="00DA5F76">
        <w:trPr>
          <w:jc w:val="center"/>
        </w:trPr>
        <w:tc>
          <w:tcPr>
            <w:tcW w:w="1980" w:type="dxa"/>
            <w:shd w:val="clear" w:color="auto" w:fill="auto"/>
          </w:tcPr>
          <w:p w14:paraId="3EEEBA7A" w14:textId="51260129" w:rsidR="00DA5F76" w:rsidRPr="00DA5F76" w:rsidRDefault="00DA5F76" w:rsidP="00DA5F76">
            <w:pPr>
              <w:pStyle w:val="Tabletext"/>
              <w:suppressAutoHyphens/>
            </w:pPr>
            <w:r w:rsidRPr="00DA5F76">
              <w:t>9. Benchmarking</w:t>
            </w:r>
          </w:p>
        </w:tc>
        <w:tc>
          <w:tcPr>
            <w:tcW w:w="7518" w:type="dxa"/>
            <w:shd w:val="clear" w:color="auto" w:fill="auto"/>
          </w:tcPr>
          <w:p w14:paraId="67749D87" w14:textId="77777777" w:rsidR="00DA5F76" w:rsidRPr="00407324" w:rsidRDefault="00DA5F76" w:rsidP="00DA5F76">
            <w:pPr>
              <w:pStyle w:val="Tabletext"/>
              <w:suppressAutoHyphens/>
              <w:rPr>
                <w:lang w:val="en-CA"/>
              </w:rPr>
            </w:pPr>
            <w:r w:rsidRPr="00407324">
              <w:rPr>
                <w:lang w:val="en-CA"/>
              </w:rPr>
              <w:t>ISO 31000 standard and IMO FSA guidelines focusing on risk management attributes</w:t>
            </w:r>
          </w:p>
        </w:tc>
      </w:tr>
      <w:tr w:rsidR="00DA5F76" w:rsidRPr="00A07369" w14:paraId="3B36571C" w14:textId="77777777" w:rsidTr="00DA5F76">
        <w:trPr>
          <w:jc w:val="center"/>
        </w:trPr>
        <w:tc>
          <w:tcPr>
            <w:tcW w:w="1980" w:type="dxa"/>
            <w:shd w:val="clear" w:color="auto" w:fill="auto"/>
          </w:tcPr>
          <w:p w14:paraId="59FE5B15" w14:textId="1CCC00A7" w:rsidR="00DA5F76" w:rsidRPr="00DA5F76" w:rsidRDefault="00DA5F76" w:rsidP="00DA5F76">
            <w:pPr>
              <w:pStyle w:val="Tabletext"/>
              <w:suppressAutoHyphens/>
              <w:ind w:left="0"/>
            </w:pPr>
            <w:bookmarkStart w:id="7" w:name="_Hlk134829553"/>
            <w:r w:rsidRPr="00DA5F76">
              <w:t>10. Success criteria</w:t>
            </w:r>
          </w:p>
        </w:tc>
        <w:tc>
          <w:tcPr>
            <w:tcW w:w="7518" w:type="dxa"/>
            <w:shd w:val="clear" w:color="auto" w:fill="auto"/>
          </w:tcPr>
          <w:p w14:paraId="2AFCB19B" w14:textId="2CE12E0B" w:rsidR="00DA5F76" w:rsidRPr="00407324" w:rsidRDefault="00DA5F76" w:rsidP="00DA5F76">
            <w:pPr>
              <w:pStyle w:val="Tabletext"/>
              <w:suppressAutoHyphens/>
              <w:rPr>
                <w:lang w:val="en-CA"/>
              </w:rPr>
            </w:pPr>
            <w:bookmarkStart w:id="8" w:name="_Hlk135059857"/>
            <w:r w:rsidRPr="00407324">
              <w:rPr>
                <w:lang w:val="en-CA"/>
              </w:rPr>
              <w:t>Useful to assist the R-Mare matrix model end-users to evaluate and develop their risk management performance</w:t>
            </w:r>
            <w:bookmarkEnd w:id="8"/>
          </w:p>
        </w:tc>
      </w:tr>
      <w:bookmarkEnd w:id="2"/>
      <w:bookmarkEnd w:id="7"/>
    </w:tbl>
    <w:p w14:paraId="06E372A1" w14:textId="77777777" w:rsidR="00DA5F76" w:rsidRDefault="00DA5F76" w:rsidP="00DA5F76">
      <w:pPr>
        <w:pStyle w:val="BodyText"/>
      </w:pPr>
    </w:p>
    <w:p w14:paraId="28F81C39" w14:textId="019860F1" w:rsidR="00446E4D" w:rsidRPr="00446E4D" w:rsidRDefault="00446E4D" w:rsidP="00446E4D">
      <w:pPr>
        <w:pStyle w:val="Heading2"/>
      </w:pPr>
      <w:r w:rsidRPr="00446E4D">
        <w:t>MODEL DEVELOPMENT PROCESS</w:t>
      </w:r>
    </w:p>
    <w:p w14:paraId="4E38164F" w14:textId="2F6454FB" w:rsidR="00446E4D" w:rsidRDefault="002E08F6" w:rsidP="002E08F6">
      <w:pPr>
        <w:spacing w:line="240" w:lineRule="auto"/>
        <w:jc w:val="both"/>
        <w:rPr>
          <w:sz w:val="22"/>
        </w:rPr>
      </w:pPr>
      <w:r w:rsidRPr="002E08F6">
        <w:rPr>
          <w:sz w:val="22"/>
        </w:rPr>
        <w:t xml:space="preserve">The standard Delphi methodology </w:t>
      </w:r>
      <w:r w:rsidR="003D25B0">
        <w:rPr>
          <w:sz w:val="22"/>
        </w:rPr>
        <w:t xml:space="preserve">[12] </w:t>
      </w:r>
      <w:r w:rsidRPr="002E08F6">
        <w:rPr>
          <w:sz w:val="22"/>
        </w:rPr>
        <w:t xml:space="preserve">process used for creating the R-Mare matrix model is illustrated in Figure 1. </w:t>
      </w:r>
    </w:p>
    <w:p w14:paraId="1279FB15" w14:textId="77777777" w:rsidR="00446E4D" w:rsidRDefault="00446E4D" w:rsidP="002E08F6">
      <w:pPr>
        <w:spacing w:line="240" w:lineRule="auto"/>
        <w:jc w:val="both"/>
        <w:rPr>
          <w:sz w:val="22"/>
        </w:rPr>
      </w:pPr>
    </w:p>
    <w:p w14:paraId="0521F39D" w14:textId="04E8477B" w:rsidR="002E08F6" w:rsidRDefault="002E08F6" w:rsidP="002E08F6">
      <w:pPr>
        <w:spacing w:line="240" w:lineRule="auto"/>
        <w:jc w:val="both"/>
        <w:rPr>
          <w:sz w:val="22"/>
        </w:rPr>
      </w:pPr>
      <w:r w:rsidRPr="002E08F6">
        <w:rPr>
          <w:sz w:val="22"/>
        </w:rPr>
        <w:t xml:space="preserve">This process involved four steps: 1) Delphi study preparations, 2) Delphi </w:t>
      </w:r>
      <w:r w:rsidR="00E22236" w:rsidRPr="002E08F6">
        <w:rPr>
          <w:sz w:val="22"/>
        </w:rPr>
        <w:t>panellist</w:t>
      </w:r>
      <w:r w:rsidRPr="002E08F6">
        <w:rPr>
          <w:sz w:val="22"/>
        </w:rPr>
        <w:t xml:space="preserve"> selection, 3) Delphi survey and 4) Delphi questionnaire. The aim of the Delphi survey step was to support the construction of the R-Mare matrix, while the questionnaire step focused on evaluating the importance of its risk management attributes. Both steps also considered consensus criteria in line with the principles of </w:t>
      </w:r>
      <w:r w:rsidR="00E22236">
        <w:rPr>
          <w:sz w:val="22"/>
        </w:rPr>
        <w:t xml:space="preserve">the </w:t>
      </w:r>
      <w:r w:rsidRPr="002E08F6">
        <w:rPr>
          <w:sz w:val="22"/>
        </w:rPr>
        <w:t>Delphi methodology.</w:t>
      </w:r>
    </w:p>
    <w:p w14:paraId="0321F982" w14:textId="60F9419D" w:rsidR="002E08F6" w:rsidRDefault="002E08F6" w:rsidP="002E08F6">
      <w:pPr>
        <w:spacing w:line="240" w:lineRule="auto"/>
        <w:jc w:val="both"/>
        <w:rPr>
          <w:sz w:val="22"/>
        </w:rPr>
      </w:pPr>
    </w:p>
    <w:p w14:paraId="55570345" w14:textId="77777777" w:rsidR="002E08F6" w:rsidRDefault="002E08F6" w:rsidP="002E08F6">
      <w:pPr>
        <w:spacing w:line="240" w:lineRule="auto"/>
        <w:jc w:val="both"/>
        <w:rPr>
          <w:sz w:val="22"/>
        </w:rPr>
      </w:pPr>
    </w:p>
    <w:p w14:paraId="3FE0AA66" w14:textId="4E0DADE5" w:rsidR="002E08F6" w:rsidRDefault="002E08F6" w:rsidP="002E08F6">
      <w:pPr>
        <w:spacing w:line="240" w:lineRule="auto"/>
        <w:jc w:val="center"/>
        <w:rPr>
          <w:sz w:val="22"/>
        </w:rPr>
      </w:pPr>
      <w:r>
        <w:rPr>
          <w:noProof/>
          <w:sz w:val="22"/>
        </w:rPr>
        <w:drawing>
          <wp:inline distT="0" distB="0" distL="0" distR="0" wp14:anchorId="75527FBE" wp14:editId="3F88FB2B">
            <wp:extent cx="5901690" cy="2048510"/>
            <wp:effectExtent l="0" t="0" r="381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01690" cy="2048510"/>
                    </a:xfrm>
                    <a:prstGeom prst="rect">
                      <a:avLst/>
                    </a:prstGeom>
                    <a:noFill/>
                  </pic:spPr>
                </pic:pic>
              </a:graphicData>
            </a:graphic>
          </wp:inline>
        </w:drawing>
      </w:r>
    </w:p>
    <w:p w14:paraId="7DD4FD0F" w14:textId="28D58905" w:rsidR="002E08F6" w:rsidRDefault="002E08F6" w:rsidP="002E08F6">
      <w:pPr>
        <w:spacing w:line="240" w:lineRule="auto"/>
        <w:jc w:val="center"/>
        <w:rPr>
          <w:bCs/>
          <w:i/>
          <w:color w:val="575756"/>
          <w:sz w:val="22"/>
        </w:rPr>
      </w:pPr>
      <w:r w:rsidRPr="002E08F6">
        <w:rPr>
          <w:bCs/>
          <w:i/>
          <w:color w:val="575756"/>
          <w:sz w:val="22"/>
        </w:rPr>
        <w:t>Figure 1. Overview of the Delphi process for R-Mare matrix model development</w:t>
      </w:r>
    </w:p>
    <w:p w14:paraId="3A949B94" w14:textId="77777777" w:rsidR="00446E4D" w:rsidRDefault="00446E4D" w:rsidP="00446E4D">
      <w:pPr>
        <w:spacing w:after="160" w:line="240" w:lineRule="auto"/>
        <w:rPr>
          <w:rFonts w:ascii="Times New Roman" w:hAnsi="Times New Roman" w:cs="Times New Roman"/>
          <w:b/>
          <w:bCs/>
          <w:i/>
          <w:iCs/>
          <w:lang w:val="en-US"/>
        </w:rPr>
      </w:pPr>
    </w:p>
    <w:p w14:paraId="6B6AC1D3" w14:textId="5B10AED4" w:rsidR="00446E4D" w:rsidRDefault="00446E4D" w:rsidP="00446E4D">
      <w:pPr>
        <w:pStyle w:val="Heading2"/>
      </w:pPr>
      <w:r w:rsidRPr="00446E4D">
        <w:t>Overview of the model</w:t>
      </w:r>
    </w:p>
    <w:p w14:paraId="232DB270" w14:textId="51A3C42E" w:rsidR="00446E4D" w:rsidRDefault="00446E4D" w:rsidP="00446E4D">
      <w:pPr>
        <w:spacing w:line="240" w:lineRule="auto"/>
        <w:jc w:val="both"/>
        <w:rPr>
          <w:sz w:val="22"/>
        </w:rPr>
      </w:pPr>
      <w:r w:rsidRPr="00446E4D">
        <w:rPr>
          <w:sz w:val="22"/>
        </w:rPr>
        <w:t xml:space="preserve">The results of the Delphi process provided the R-Mare matrix risk maturity model for maritime authorities. Figure 2 shows the basic idea of this model. </w:t>
      </w:r>
    </w:p>
    <w:p w14:paraId="12AA0A61" w14:textId="77777777" w:rsidR="00446E4D" w:rsidRPr="00446E4D" w:rsidRDefault="00446E4D" w:rsidP="00446E4D">
      <w:pPr>
        <w:spacing w:line="240" w:lineRule="auto"/>
        <w:jc w:val="both"/>
        <w:rPr>
          <w:sz w:val="22"/>
        </w:rPr>
      </w:pPr>
    </w:p>
    <w:p w14:paraId="2B23409D" w14:textId="0C6D3523" w:rsidR="00446E4D" w:rsidRDefault="00446E4D" w:rsidP="00446E4D">
      <w:pPr>
        <w:spacing w:line="240" w:lineRule="auto"/>
        <w:jc w:val="both"/>
        <w:rPr>
          <w:sz w:val="22"/>
        </w:rPr>
      </w:pPr>
      <w:r w:rsidRPr="00446E4D">
        <w:rPr>
          <w:sz w:val="22"/>
        </w:rPr>
        <w:t xml:space="preserve">The </w:t>
      </w:r>
      <w:r w:rsidR="003D25B0">
        <w:rPr>
          <w:sz w:val="22"/>
        </w:rPr>
        <w:t>rows</w:t>
      </w:r>
      <w:r w:rsidRPr="00446E4D">
        <w:rPr>
          <w:sz w:val="22"/>
        </w:rPr>
        <w:t xml:space="preserve"> of the R-Mare matrix address the scope dimension of the model, elaborated through 17 risk management attributes. These attributes consider ethics and integrity (1), leadership and commitment (2), basic risk management requirements (3-5), parallel activities (6-7), risk assessment (8-16) and decision-making (17). To support the self-evaluation of the maritime authorities, </w:t>
      </w:r>
      <w:r w:rsidR="00A979F8">
        <w:rPr>
          <w:sz w:val="22"/>
        </w:rPr>
        <w:t>the reference article [11]</w:t>
      </w:r>
      <w:r w:rsidRPr="00446E4D">
        <w:rPr>
          <w:sz w:val="22"/>
        </w:rPr>
        <w:t xml:space="preserve"> provides a detailed list of these attributes and the aspects to be considered in their evaluation. </w:t>
      </w:r>
    </w:p>
    <w:p w14:paraId="5CB69A90" w14:textId="77777777" w:rsidR="00446E4D" w:rsidRPr="00446E4D" w:rsidRDefault="00446E4D" w:rsidP="00446E4D">
      <w:pPr>
        <w:spacing w:line="240" w:lineRule="auto"/>
        <w:jc w:val="both"/>
        <w:rPr>
          <w:sz w:val="22"/>
        </w:rPr>
      </w:pPr>
    </w:p>
    <w:p w14:paraId="02729D48" w14:textId="6D7804D9" w:rsidR="00446E4D" w:rsidRDefault="00446E4D" w:rsidP="00446E4D">
      <w:pPr>
        <w:spacing w:line="240" w:lineRule="auto"/>
        <w:jc w:val="both"/>
        <w:rPr>
          <w:sz w:val="22"/>
        </w:rPr>
      </w:pPr>
      <w:r w:rsidRPr="00446E4D">
        <w:rPr>
          <w:sz w:val="22"/>
        </w:rPr>
        <w:t xml:space="preserve">The </w:t>
      </w:r>
      <w:r w:rsidR="003D25B0">
        <w:rPr>
          <w:sz w:val="22"/>
        </w:rPr>
        <w:t>columns</w:t>
      </w:r>
      <w:r w:rsidRPr="00446E4D">
        <w:rPr>
          <w:sz w:val="22"/>
        </w:rPr>
        <w:t xml:space="preserve"> of the R-Mare matrix focus on the progress dimension of the model. This involves five risk maturity levels namely: Inadequate (1), Reactive (2), Compliant (3), Proactive (4) and Optimal (5).</w:t>
      </w:r>
      <w:r w:rsidR="00A979F8">
        <w:rPr>
          <w:sz w:val="22"/>
        </w:rPr>
        <w:t xml:space="preserve"> The article</w:t>
      </w:r>
      <w:r w:rsidRPr="00446E4D">
        <w:rPr>
          <w:sz w:val="22"/>
        </w:rPr>
        <w:t xml:space="preserve"> provides a detailed description for each level. Their overall aim is to support the self-evaluation of the maritime authorities concerning the maturity of the organizational practices with respect to the 17 risk management attributes.</w:t>
      </w:r>
    </w:p>
    <w:p w14:paraId="03E04134" w14:textId="77777777" w:rsidR="00446E4D" w:rsidRPr="00446E4D" w:rsidRDefault="00446E4D" w:rsidP="00446E4D">
      <w:pPr>
        <w:spacing w:line="240" w:lineRule="auto"/>
        <w:jc w:val="both"/>
        <w:rPr>
          <w:sz w:val="22"/>
        </w:rPr>
      </w:pPr>
    </w:p>
    <w:p w14:paraId="02088942" w14:textId="18AEE5DB" w:rsidR="00446E4D" w:rsidRDefault="00446E4D" w:rsidP="00446E4D">
      <w:pPr>
        <w:spacing w:line="240" w:lineRule="auto"/>
        <w:jc w:val="both"/>
        <w:rPr>
          <w:sz w:val="22"/>
        </w:rPr>
      </w:pPr>
      <w:r w:rsidRPr="00446E4D">
        <w:rPr>
          <w:sz w:val="22"/>
        </w:rPr>
        <w:t xml:space="preserve">Each cell of the R-Mare matrix model is further populated with a specific textual grid description to characterize traits of performance at each level and attribute (L1/A1 - L5/A17). To complete the support for self-evaluation of maritime authorities, </w:t>
      </w:r>
      <w:r w:rsidR="00A979F8">
        <w:rPr>
          <w:sz w:val="22"/>
        </w:rPr>
        <w:t>the article</w:t>
      </w:r>
      <w:r w:rsidRPr="00446E4D">
        <w:rPr>
          <w:sz w:val="22"/>
        </w:rPr>
        <w:t xml:space="preserve"> provide</w:t>
      </w:r>
      <w:r w:rsidR="00A979F8">
        <w:rPr>
          <w:sz w:val="22"/>
        </w:rPr>
        <w:t>s</w:t>
      </w:r>
      <w:r w:rsidRPr="00446E4D">
        <w:rPr>
          <w:sz w:val="22"/>
        </w:rPr>
        <w:t xml:space="preserve"> general criteria and two practice-oriented examples for all 85 risk maturity grids of the model. By using the associated five-point score system, the authorities can also quantify, visualize and further analy</w:t>
      </w:r>
      <w:r w:rsidR="003D25B0">
        <w:rPr>
          <w:sz w:val="22"/>
        </w:rPr>
        <w:t>s</w:t>
      </w:r>
      <w:r w:rsidRPr="00446E4D">
        <w:rPr>
          <w:sz w:val="22"/>
        </w:rPr>
        <w:t>e the results of their self-evaluation as needed.</w:t>
      </w:r>
    </w:p>
    <w:p w14:paraId="4D7443E5" w14:textId="2A1A1F69" w:rsidR="00446E4D" w:rsidRDefault="00446E4D" w:rsidP="00446E4D">
      <w:pPr>
        <w:spacing w:line="240" w:lineRule="auto"/>
        <w:jc w:val="both"/>
        <w:rPr>
          <w:sz w:val="22"/>
        </w:rPr>
      </w:pPr>
    </w:p>
    <w:p w14:paraId="4733BE9C" w14:textId="1CE4DB35" w:rsidR="00446E4D" w:rsidRPr="00446E4D" w:rsidRDefault="00446E4D" w:rsidP="00446E4D">
      <w:pPr>
        <w:spacing w:line="240" w:lineRule="auto"/>
        <w:jc w:val="center"/>
        <w:rPr>
          <w:sz w:val="22"/>
        </w:rPr>
      </w:pPr>
      <w:r>
        <w:rPr>
          <w:rFonts w:ascii="Times New Roman" w:hAnsi="Times New Roman" w:cs="Times New Roman"/>
          <w:noProof/>
          <w:sz w:val="20"/>
          <w:szCs w:val="20"/>
          <w:lang w:val="en-US"/>
        </w:rPr>
        <w:lastRenderedPageBreak/>
        <w:drawing>
          <wp:inline distT="0" distB="0" distL="0" distR="0" wp14:anchorId="12BA33CF" wp14:editId="0C623E7B">
            <wp:extent cx="5824058" cy="4502150"/>
            <wp:effectExtent l="0" t="0" r="571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2">
                      <a:extLst>
                        <a:ext uri="{28A0092B-C50C-407E-A947-70E740481C1C}">
                          <a14:useLocalDpi xmlns:a14="http://schemas.microsoft.com/office/drawing/2010/main" val="0"/>
                        </a:ext>
                      </a:extLst>
                    </a:blip>
                    <a:srcRect l="2490" t="-813" r="2893" b="5323"/>
                    <a:stretch/>
                  </pic:blipFill>
                  <pic:spPr bwMode="auto">
                    <a:xfrm>
                      <a:off x="0" y="0"/>
                      <a:ext cx="5827289" cy="4504648"/>
                    </a:xfrm>
                    <a:prstGeom prst="rect">
                      <a:avLst/>
                    </a:prstGeom>
                    <a:noFill/>
                    <a:ln>
                      <a:noFill/>
                    </a:ln>
                    <a:extLst>
                      <a:ext uri="{53640926-AAD7-44D8-BBD7-CCE9431645EC}">
                        <a14:shadowObscured xmlns:a14="http://schemas.microsoft.com/office/drawing/2010/main"/>
                      </a:ext>
                    </a:extLst>
                  </pic:spPr>
                </pic:pic>
              </a:graphicData>
            </a:graphic>
          </wp:inline>
        </w:drawing>
      </w:r>
    </w:p>
    <w:p w14:paraId="22F65ECF" w14:textId="2FBB8782" w:rsidR="00446E4D" w:rsidRPr="00E77B71" w:rsidRDefault="00446E4D" w:rsidP="00E77B71">
      <w:pPr>
        <w:spacing w:line="240" w:lineRule="auto"/>
        <w:jc w:val="center"/>
        <w:rPr>
          <w:bCs/>
          <w:i/>
          <w:color w:val="575756"/>
          <w:sz w:val="22"/>
        </w:rPr>
      </w:pPr>
      <w:r w:rsidRPr="00446E4D">
        <w:rPr>
          <w:bCs/>
          <w:i/>
          <w:color w:val="575756"/>
          <w:sz w:val="22"/>
        </w:rPr>
        <w:t>Figure 2. Overview of the R-Mare matrix risk maturity model</w:t>
      </w:r>
    </w:p>
    <w:p w14:paraId="1D083D92" w14:textId="77777777" w:rsidR="00180DDA" w:rsidRPr="007A395D" w:rsidRDefault="00180DDA" w:rsidP="00605E43">
      <w:pPr>
        <w:pStyle w:val="Heading1"/>
      </w:pPr>
      <w:r w:rsidRPr="007A395D">
        <w:t>References</w:t>
      </w:r>
    </w:p>
    <w:p w14:paraId="0B5751D1" w14:textId="7BAA7449" w:rsidR="00E77B71" w:rsidRPr="007A395D" w:rsidRDefault="00E77B71" w:rsidP="00E77B71">
      <w:pPr>
        <w:pStyle w:val="Reference"/>
        <w:jc w:val="left"/>
        <w:rPr>
          <w:lang w:eastAsia="de-DE"/>
        </w:rPr>
      </w:pPr>
      <w:r w:rsidRPr="00E77B71">
        <w:rPr>
          <w:lang w:eastAsia="de-DE"/>
        </w:rPr>
        <w:t xml:space="preserve">Schröder-Hinrichs JU, Hebbar AA, </w:t>
      </w:r>
      <w:proofErr w:type="spellStart"/>
      <w:r w:rsidRPr="00E77B71">
        <w:rPr>
          <w:lang w:eastAsia="de-DE"/>
        </w:rPr>
        <w:t>Alamoush</w:t>
      </w:r>
      <w:proofErr w:type="spellEnd"/>
      <w:r w:rsidRPr="00E77B71">
        <w:rPr>
          <w:lang w:eastAsia="de-DE"/>
        </w:rPr>
        <w:t xml:space="preserve"> AS (2020) Maritime risk research and its uptake in policymaking: A case study of the Baltic Sea Region. J Mar Sci Eng, 8(10), 742. http://doi.org/10.3390/jmse8100742</w:t>
      </w:r>
    </w:p>
    <w:p w14:paraId="2C655A82" w14:textId="401A3B07" w:rsidR="00E77B71" w:rsidRPr="00D127CB" w:rsidRDefault="00E77B71" w:rsidP="00E77B71">
      <w:pPr>
        <w:pStyle w:val="Reference"/>
        <w:jc w:val="left"/>
        <w:rPr>
          <w:lang w:eastAsia="de-DE"/>
        </w:rPr>
      </w:pPr>
      <w:r w:rsidRPr="00D127CB">
        <w:rPr>
          <w:lang w:eastAsia="de-DE"/>
        </w:rPr>
        <w:t xml:space="preserve">Laine V, </w:t>
      </w:r>
      <w:proofErr w:type="spellStart"/>
      <w:r w:rsidRPr="00D127CB">
        <w:rPr>
          <w:lang w:eastAsia="de-DE"/>
        </w:rPr>
        <w:t>Goerlandt</w:t>
      </w:r>
      <w:proofErr w:type="spellEnd"/>
      <w:r w:rsidRPr="00D127CB">
        <w:rPr>
          <w:lang w:eastAsia="de-DE"/>
        </w:rPr>
        <w:t xml:space="preserve"> F, Valdez-Banda O et al (2021) A risk management framework for maritime Pollution Preparedness and Response: Concepts, processes and tools. MPB, 171, 112724. </w:t>
      </w:r>
      <w:hyperlink r:id="rId13" w:history="1">
        <w:r w:rsidRPr="00D127CB">
          <w:rPr>
            <w:lang w:eastAsia="de-DE"/>
          </w:rPr>
          <w:t>https://doi.org/10.1016/j.marpolbul.2021.112724</w:t>
        </w:r>
      </w:hyperlink>
    </w:p>
    <w:p w14:paraId="49575083" w14:textId="627EC4A3" w:rsidR="00E77B71" w:rsidRPr="00D127CB" w:rsidRDefault="00E77B71" w:rsidP="00D127CB">
      <w:pPr>
        <w:pStyle w:val="Reference"/>
        <w:jc w:val="left"/>
        <w:rPr>
          <w:lang w:eastAsia="de-DE"/>
        </w:rPr>
      </w:pPr>
      <w:proofErr w:type="spellStart"/>
      <w:r w:rsidRPr="00D127CB">
        <w:rPr>
          <w:lang w:eastAsia="de-DE"/>
        </w:rPr>
        <w:t>Goerlandt</w:t>
      </w:r>
      <w:proofErr w:type="spellEnd"/>
      <w:r w:rsidRPr="00D127CB">
        <w:rPr>
          <w:lang w:eastAsia="de-DE"/>
        </w:rPr>
        <w:t xml:space="preserve"> F, </w:t>
      </w:r>
      <w:proofErr w:type="spellStart"/>
      <w:r w:rsidRPr="00D127CB">
        <w:rPr>
          <w:lang w:eastAsia="de-DE"/>
        </w:rPr>
        <w:t>Montewka</w:t>
      </w:r>
      <w:proofErr w:type="spellEnd"/>
      <w:r w:rsidRPr="00D127CB">
        <w:rPr>
          <w:lang w:eastAsia="de-DE"/>
        </w:rPr>
        <w:t xml:space="preserve"> J (2015) A framework for risk analysis of maritime transportation systems: A case study for oil spill from tankers in a ship–ship collision. </w:t>
      </w:r>
      <w:proofErr w:type="spellStart"/>
      <w:r w:rsidRPr="00D127CB">
        <w:rPr>
          <w:lang w:eastAsia="de-DE"/>
        </w:rPr>
        <w:t>Saf</w:t>
      </w:r>
      <w:proofErr w:type="spellEnd"/>
      <w:r w:rsidRPr="00D127CB">
        <w:rPr>
          <w:lang w:eastAsia="de-DE"/>
        </w:rPr>
        <w:t xml:space="preserve"> Sci, 76, 42-66. </w:t>
      </w:r>
      <w:hyperlink r:id="rId14" w:history="1">
        <w:r w:rsidRPr="00D127CB">
          <w:rPr>
            <w:rStyle w:val="Hyperlink"/>
            <w:lang w:eastAsia="de-DE"/>
          </w:rPr>
          <w:t>https://doi.org/10.1016/j.ssci.2015.02.009</w:t>
        </w:r>
      </w:hyperlink>
    </w:p>
    <w:p w14:paraId="727DD07F" w14:textId="731DF8A0" w:rsidR="00E77B71" w:rsidRPr="00D127CB" w:rsidRDefault="00D127CB" w:rsidP="00D127CB">
      <w:pPr>
        <w:pStyle w:val="Reference"/>
        <w:jc w:val="left"/>
        <w:rPr>
          <w:lang w:val="en-US"/>
        </w:rPr>
      </w:pPr>
      <w:r w:rsidRPr="00D127CB">
        <w:rPr>
          <w:lang w:val="en-US"/>
        </w:rPr>
        <w:t xml:space="preserve">Kulkarni K, </w:t>
      </w:r>
      <w:proofErr w:type="spellStart"/>
      <w:r w:rsidRPr="00D127CB">
        <w:rPr>
          <w:lang w:val="en-US"/>
        </w:rPr>
        <w:t>Goerlandt</w:t>
      </w:r>
      <w:proofErr w:type="spellEnd"/>
      <w:r w:rsidRPr="00D127CB">
        <w:rPr>
          <w:lang w:val="en-US"/>
        </w:rPr>
        <w:t xml:space="preserve"> F, Li J, Valdez-Banda O, Kujala P (2020) Preventing shipping accidents: Past, present, and future of waterway risk management with Baltic Sea focus. </w:t>
      </w:r>
      <w:proofErr w:type="spellStart"/>
      <w:r w:rsidRPr="00D127CB">
        <w:rPr>
          <w:lang w:val="en-US"/>
        </w:rPr>
        <w:t>Saf</w:t>
      </w:r>
      <w:proofErr w:type="spellEnd"/>
      <w:r w:rsidRPr="00D127CB">
        <w:rPr>
          <w:lang w:val="en-US"/>
        </w:rPr>
        <w:t xml:space="preserve"> Sci, 129, 104798. https://doi.org/10.1016/j.ssci.2020.104798</w:t>
      </w:r>
    </w:p>
    <w:p w14:paraId="221E1C3E" w14:textId="77777777" w:rsidR="00E77B71" w:rsidRPr="00D127CB" w:rsidRDefault="00E77B71" w:rsidP="00D127CB">
      <w:pPr>
        <w:pStyle w:val="Reference"/>
        <w:jc w:val="left"/>
        <w:rPr>
          <w:lang w:eastAsia="de-DE"/>
        </w:rPr>
      </w:pPr>
      <w:r w:rsidRPr="00D127CB">
        <w:rPr>
          <w:lang w:eastAsia="de-DE"/>
        </w:rPr>
        <w:t xml:space="preserve">Laine V, </w:t>
      </w:r>
      <w:proofErr w:type="spellStart"/>
      <w:r w:rsidRPr="00D127CB">
        <w:rPr>
          <w:lang w:eastAsia="de-DE"/>
        </w:rPr>
        <w:t>Goerlandt</w:t>
      </w:r>
      <w:proofErr w:type="spellEnd"/>
      <w:r w:rsidRPr="00D127CB">
        <w:rPr>
          <w:lang w:eastAsia="de-DE"/>
        </w:rPr>
        <w:t xml:space="preserve"> F, Valdez-Banda O (2022) Towards a Risk Maturity Model for the Maritime Authorities: A Literature Review on Recent Approaches in Different Industrial Sectors. The 32nd ESREL Conf 2022, Dublin.</w:t>
      </w:r>
    </w:p>
    <w:p w14:paraId="0BF424DB" w14:textId="77777777" w:rsidR="00D127CB" w:rsidRPr="00D127CB" w:rsidRDefault="00D127CB" w:rsidP="00D127CB">
      <w:pPr>
        <w:pStyle w:val="Reference"/>
        <w:jc w:val="left"/>
        <w:rPr>
          <w:lang w:val="en-US"/>
        </w:rPr>
      </w:pPr>
      <w:r w:rsidRPr="00D127CB">
        <w:rPr>
          <w:lang w:val="en-US"/>
        </w:rPr>
        <w:t>Maier AM, Moultrie J, Clarkson PJ (2011) Assessing organizational capabilities: Reviewing and guiding the development of maturity grids. IEEE Trans Eng Man 59, no. 1/2011: 138-159. https://doi.org/10.1109/TEM.2010.2077289</w:t>
      </w:r>
    </w:p>
    <w:p w14:paraId="5491860E" w14:textId="77777777" w:rsidR="00D127CB" w:rsidRPr="00D127CB" w:rsidRDefault="00D127CB" w:rsidP="00D127CB">
      <w:pPr>
        <w:pStyle w:val="Reference"/>
        <w:jc w:val="left"/>
        <w:rPr>
          <w:lang w:val="en-US"/>
        </w:rPr>
      </w:pPr>
      <w:r w:rsidRPr="00D127CB">
        <w:rPr>
          <w:lang w:val="en-US"/>
        </w:rPr>
        <w:lastRenderedPageBreak/>
        <w:t>EASA (2017) Management System Assessment Tool. Cologne: European Aviation Safety Agency. https://www.easa.europa.eu/en/document-library/general-publications/management-system-assessment-tool [Accessed 20 April 2023]</w:t>
      </w:r>
    </w:p>
    <w:p w14:paraId="6DD09994" w14:textId="77777777" w:rsidR="00D127CB" w:rsidRPr="00D127CB" w:rsidRDefault="00D127CB" w:rsidP="00D127CB">
      <w:pPr>
        <w:pStyle w:val="Reference"/>
        <w:jc w:val="left"/>
        <w:rPr>
          <w:lang w:val="en-US"/>
        </w:rPr>
      </w:pPr>
      <w:r w:rsidRPr="00D127CB">
        <w:rPr>
          <w:lang w:val="en-US"/>
        </w:rPr>
        <w:t>ERA (2018) Management Maturity Model: Guidance for safety certification and supervision. Luxemburg: European Union Agency for Railways. https://www.era.europa.eu/system/files/2022-11/ERA%20management%20maturity%20model.pdf [Accessed 20 April 2023]</w:t>
      </w:r>
    </w:p>
    <w:p w14:paraId="34C26684" w14:textId="77777777" w:rsidR="00D127CB" w:rsidRPr="00D127CB" w:rsidRDefault="00D127CB" w:rsidP="00D127CB">
      <w:pPr>
        <w:pStyle w:val="Reference"/>
        <w:jc w:val="left"/>
        <w:rPr>
          <w:lang w:val="en-US"/>
        </w:rPr>
      </w:pPr>
      <w:r w:rsidRPr="00D127CB">
        <w:rPr>
          <w:lang w:val="en-US"/>
        </w:rPr>
        <w:t xml:space="preserve">Cienfuegos </w:t>
      </w:r>
      <w:proofErr w:type="spellStart"/>
      <w:r w:rsidRPr="00D127CB">
        <w:rPr>
          <w:lang w:val="en-US"/>
        </w:rPr>
        <w:t>Spikin</w:t>
      </w:r>
      <w:proofErr w:type="spellEnd"/>
      <w:r w:rsidRPr="00D127CB">
        <w:rPr>
          <w:lang w:val="en-US"/>
        </w:rPr>
        <w:t xml:space="preserve"> IC (2013) Developing a risk management maturity model: A comprehensive risk maturity model for Dutch municipalities. PhD diss. University of Twente, Enschede.</w:t>
      </w:r>
    </w:p>
    <w:p w14:paraId="00EC0BCC" w14:textId="03713D36" w:rsidR="00180DDA" w:rsidRPr="00971B10" w:rsidRDefault="00D127CB" w:rsidP="00D127CB">
      <w:pPr>
        <w:pStyle w:val="Reference"/>
        <w:jc w:val="left"/>
        <w:rPr>
          <w:lang w:val="en-US"/>
        </w:rPr>
      </w:pPr>
      <w:proofErr w:type="spellStart"/>
      <w:r w:rsidRPr="00971B10">
        <w:rPr>
          <w:lang w:val="en-US"/>
        </w:rPr>
        <w:t>OpenRisk</w:t>
      </w:r>
      <w:proofErr w:type="spellEnd"/>
      <w:r w:rsidRPr="00971B10">
        <w:rPr>
          <w:lang w:val="en-US"/>
        </w:rPr>
        <w:t xml:space="preserve"> II. </w:t>
      </w:r>
      <w:r w:rsidR="00971B10" w:rsidRPr="00971B10">
        <w:t xml:space="preserve"> </w:t>
      </w:r>
      <w:r w:rsidR="00971B10" w:rsidRPr="00971B10">
        <w:rPr>
          <w:rStyle w:val="Hyperlink"/>
          <w:lang w:val="en-US"/>
        </w:rPr>
        <w:t>https://interreg-baltic.eu/project/openrisk-ii-maritime-accidents/</w:t>
      </w:r>
    </w:p>
    <w:p w14:paraId="34124A13" w14:textId="1862D6BE" w:rsidR="00971B10" w:rsidRDefault="00E702D6" w:rsidP="00E702D6">
      <w:pPr>
        <w:pStyle w:val="Reference"/>
      </w:pPr>
      <w:r w:rsidRPr="00E702D6">
        <w:rPr>
          <w:lang w:val="sv-SE"/>
        </w:rPr>
        <w:t>Laine, V., Valdez-</w:t>
      </w:r>
      <w:r w:rsidRPr="00971B10">
        <w:rPr>
          <w:lang w:val="sv-SE"/>
        </w:rPr>
        <w:t xml:space="preserve">Banda, O., &amp; Goerlandt, F. (2024). </w:t>
      </w:r>
      <w:r w:rsidRPr="00971B10">
        <w:t>Risk maturity model for the maritime authorities: a Delphi study to design the R-Mare</w:t>
      </w:r>
      <w:r w:rsidRPr="00F956DA">
        <w:t xml:space="preserve"> matrix model. WMU Journal of Maritime Affairs, 1-27.</w:t>
      </w:r>
      <w:r w:rsidR="00D37DCE">
        <w:t xml:space="preserve"> </w:t>
      </w:r>
      <w:hyperlink r:id="rId15" w:history="1">
        <w:r w:rsidR="003D25B0" w:rsidRPr="00ED208F">
          <w:rPr>
            <w:rStyle w:val="Hyperlink"/>
          </w:rPr>
          <w:t>https://doi.org/10.1007/s13437-023-00328-z</w:t>
        </w:r>
      </w:hyperlink>
    </w:p>
    <w:p w14:paraId="1E7800F5" w14:textId="77777777" w:rsidR="003D25B0" w:rsidRPr="00971B10" w:rsidRDefault="003D25B0" w:rsidP="00971B10">
      <w:pPr>
        <w:pStyle w:val="Reference"/>
        <w:rPr>
          <w:lang w:val="en-US"/>
        </w:rPr>
      </w:pPr>
      <w:proofErr w:type="spellStart"/>
      <w:r w:rsidRPr="00971B10">
        <w:rPr>
          <w:lang w:val="en-US"/>
        </w:rPr>
        <w:t>Dalkey</w:t>
      </w:r>
      <w:proofErr w:type="spellEnd"/>
      <w:r w:rsidRPr="00971B10">
        <w:rPr>
          <w:lang w:val="en-US"/>
        </w:rPr>
        <w:t xml:space="preserve"> NC (1972) Studies in the Quality of Life: Delphi and Decision-making. Lexington Books, Lanham.</w:t>
      </w:r>
    </w:p>
    <w:p w14:paraId="72D7E0E4" w14:textId="77777777" w:rsidR="003D25B0" w:rsidRPr="00E702D6" w:rsidRDefault="003D25B0" w:rsidP="00971B10">
      <w:pPr>
        <w:pStyle w:val="Reference"/>
        <w:numPr>
          <w:ilvl w:val="0"/>
          <w:numId w:val="0"/>
        </w:numPr>
        <w:ind w:left="567"/>
      </w:pPr>
    </w:p>
    <w:p w14:paraId="7A8D2F27" w14:textId="77777777" w:rsidR="00A446C9" w:rsidRPr="007A395D" w:rsidRDefault="00A446C9" w:rsidP="00605E43">
      <w:pPr>
        <w:pStyle w:val="Heading1"/>
      </w:pPr>
      <w:r w:rsidRPr="007A395D">
        <w:t>Action requested of the Committee</w:t>
      </w:r>
    </w:p>
    <w:p w14:paraId="1556E528" w14:textId="220F4A1D" w:rsidR="00F25BF4" w:rsidRPr="00D127CB" w:rsidRDefault="00F25BF4" w:rsidP="00A446C9">
      <w:pPr>
        <w:pStyle w:val="BodyText"/>
        <w:rPr>
          <w:rFonts w:eastAsia="Times New Roman" w:cs="Times New Roman"/>
          <w:szCs w:val="20"/>
          <w:lang w:val="en-US"/>
        </w:rPr>
      </w:pPr>
      <w:r w:rsidRPr="007A395D">
        <w:rPr>
          <w:rFonts w:ascii="Calibri" w:hAnsi="Calibri"/>
        </w:rPr>
        <w:t xml:space="preserve">The Committee is requested to: </w:t>
      </w:r>
    </w:p>
    <w:p w14:paraId="073FC828" w14:textId="1DBBE474" w:rsidR="00D127CB" w:rsidRPr="00D127CB" w:rsidRDefault="00D127CB" w:rsidP="00D127CB">
      <w:pPr>
        <w:pStyle w:val="List1"/>
        <w:numPr>
          <w:ilvl w:val="0"/>
          <w:numId w:val="73"/>
        </w:numPr>
        <w:rPr>
          <w:lang w:val="en-US" w:eastAsia="en-US"/>
        </w:rPr>
      </w:pPr>
      <w:r w:rsidRPr="00D127CB">
        <w:rPr>
          <w:lang w:val="en-US" w:eastAsia="en-US"/>
        </w:rPr>
        <w:t>Take a note on the</w:t>
      </w:r>
      <w:r>
        <w:rPr>
          <w:lang w:val="en-US" w:eastAsia="en-US"/>
        </w:rPr>
        <w:t xml:space="preserve"> study: </w:t>
      </w:r>
      <w:r w:rsidRPr="00D127CB">
        <w:rPr>
          <w:lang w:val="en-US" w:eastAsia="en-US"/>
        </w:rPr>
        <w:t>Risk maturity model for the maritime authorities</w:t>
      </w:r>
    </w:p>
    <w:p w14:paraId="41A1E375" w14:textId="5A21C421" w:rsidR="00F25BF4" w:rsidRPr="0035243F" w:rsidRDefault="00D127CB" w:rsidP="00C02DDD">
      <w:pPr>
        <w:pStyle w:val="List1"/>
        <w:numPr>
          <w:ilvl w:val="0"/>
          <w:numId w:val="73"/>
        </w:numPr>
      </w:pPr>
      <w:r>
        <w:t>To consider if the study and its results can be discussed at the ARM WG 3</w:t>
      </w:r>
    </w:p>
    <w:p w14:paraId="10DC5D6B" w14:textId="77777777" w:rsidR="004D1D85" w:rsidRPr="007A395D" w:rsidRDefault="004D1D85" w:rsidP="00D127CB">
      <w:pPr>
        <w:pStyle w:val="Annex"/>
        <w:numPr>
          <w:ilvl w:val="0"/>
          <w:numId w:val="0"/>
        </w:numPr>
        <w:ind w:left="851"/>
        <w:sectPr w:rsidR="004D1D85" w:rsidRPr="007A395D" w:rsidSect="00DD2D52">
          <w:headerReference w:type="default" r:id="rId16"/>
          <w:footerReference w:type="default" r:id="rId17"/>
          <w:headerReference w:type="first" r:id="rId18"/>
          <w:footerReference w:type="first" r:id="rId19"/>
          <w:pgSz w:w="11906" w:h="16838"/>
          <w:pgMar w:top="1733" w:right="794" w:bottom="567" w:left="907" w:header="564" w:footer="611" w:gutter="0"/>
          <w:cols w:space="708"/>
          <w:titlePg/>
          <w:docGrid w:linePitch="360"/>
        </w:sectPr>
      </w:pPr>
    </w:p>
    <w:p w14:paraId="1FC4E7A9" w14:textId="77777777" w:rsidR="004D1D85" w:rsidRPr="007A395D" w:rsidRDefault="004D1D85" w:rsidP="004D1D85">
      <w:pPr>
        <w:pStyle w:val="BodyText"/>
        <w:rPr>
          <w:rFonts w:ascii="Calibri" w:hAnsi="Calibri"/>
        </w:rPr>
      </w:pPr>
    </w:p>
    <w:sectPr w:rsidR="004D1D85" w:rsidRPr="007A395D" w:rsidSect="00DD2D5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0F638" w14:textId="77777777" w:rsidR="00DD2D52" w:rsidRDefault="00DD2D52" w:rsidP="00362CD9">
      <w:r>
        <w:separator/>
      </w:r>
    </w:p>
  </w:endnote>
  <w:endnote w:type="continuationSeparator" w:id="0">
    <w:p w14:paraId="01BD9625" w14:textId="77777777" w:rsidR="00DD2D52" w:rsidRDefault="00DD2D52"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Microsoft Sans Serif"/>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yriadPro-SemiboldSemiCn">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95564" w14:textId="77777777" w:rsidR="003351C4" w:rsidRDefault="003351C4" w:rsidP="004533B7">
    <w:pPr>
      <w:pStyle w:val="Footerportrait"/>
    </w:pPr>
  </w:p>
  <w:p w14:paraId="50E06A6A" w14:textId="2EE0EEFA" w:rsidR="004533B7" w:rsidRPr="00C907DF" w:rsidRDefault="00653FFB" w:rsidP="004533B7">
    <w:pPr>
      <w:pStyle w:val="Footerportrait"/>
    </w:pPr>
    <w:r>
      <w:fldChar w:fldCharType="begin"/>
    </w:r>
    <w:r>
      <w:instrText xml:space="preserve"> STYLEREF  Title  \* MERGEFORMAT </w:instrText>
    </w:r>
    <w:r>
      <w:fldChar w:fldCharType="separate"/>
    </w:r>
    <w:r w:rsidR="00627591">
      <w:rPr>
        <w:b w:val="0"/>
        <w:bCs/>
      </w:rPr>
      <w:t>Error! No text of specified style in document.</w:t>
    </w:r>
    <w:r>
      <w:fldChar w:fldCharType="end"/>
    </w:r>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2E3AD" w14:textId="77777777" w:rsidR="00637047" w:rsidRDefault="00637047" w:rsidP="00637047">
    <w:pPr>
      <w:pStyle w:val="Footerportrait"/>
    </w:pPr>
    <w:r>
      <w:tab/>
    </w:r>
  </w:p>
  <w:p w14:paraId="3A693EAD" w14:textId="091589F4" w:rsidR="00637047" w:rsidRPr="00C907DF" w:rsidRDefault="00653FFB" w:rsidP="00637047">
    <w:pPr>
      <w:pStyle w:val="Footerportrait"/>
    </w:pPr>
    <w:r>
      <w:fldChar w:fldCharType="begin"/>
    </w:r>
    <w:r>
      <w:instrText xml:space="preserve"> STYLEREF  Title  \* MERGEFORMAT </w:instrText>
    </w:r>
    <w:r>
      <w:fldChar w:fldCharType="separate"/>
    </w:r>
    <w:r w:rsidR="00627591">
      <w:rPr>
        <w:b w:val="0"/>
        <w:bCs/>
      </w:rPr>
      <w:t>Error! No text of specified style in document.</w:t>
    </w:r>
    <w:r>
      <w:fldChar w:fldCharType="end"/>
    </w:r>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663C9" w14:textId="77777777" w:rsidR="00DD2D52" w:rsidRDefault="00DD2D52" w:rsidP="00362CD9">
      <w:r>
        <w:separator/>
      </w:r>
    </w:p>
  </w:footnote>
  <w:footnote w:type="continuationSeparator" w:id="0">
    <w:p w14:paraId="76F8AB22" w14:textId="77777777" w:rsidR="00DD2D52" w:rsidRDefault="00DD2D52" w:rsidP="00362CD9">
      <w:r>
        <w:continuationSeparator/>
      </w:r>
    </w:p>
  </w:footnote>
  <w:footnote w:id="1">
    <w:p w14:paraId="741FE09C" w14:textId="56CC54BF" w:rsidR="00420A38" w:rsidRPr="00C02DDD" w:rsidRDefault="00420A38">
      <w:pPr>
        <w:pStyle w:val="FootnoteText"/>
      </w:pPr>
      <w:r w:rsidRPr="00C02DDD">
        <w:footnoteRef/>
      </w:r>
      <w:r>
        <w:t xml:space="preserve"> </w:t>
      </w:r>
      <w:r w:rsidR="00EA5A97" w:rsidRPr="00C02DDD">
        <w:t>Input document number, to be assigned by the Committee Secretary</w:t>
      </w:r>
    </w:p>
  </w:footnote>
  <w:footnote w:id="2">
    <w:p w14:paraId="13DFA22D" w14:textId="3BCF7A71" w:rsidR="00037DF4" w:rsidRPr="00037DF4" w:rsidRDefault="00037DF4">
      <w:pPr>
        <w:pStyle w:val="FootnoteText"/>
      </w:pPr>
      <w:r w:rsidRPr="00C02DDD">
        <w:footnoteRef/>
      </w:r>
      <w:r w:rsidRPr="00037DF4">
        <w:t xml:space="preserve"> </w:t>
      </w:r>
      <w:r w:rsidRPr="00C02DDD">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CAE2E27" w:rsidR="007C346C" w:rsidRDefault="007A395D" w:rsidP="007A395D">
    <w:pPr>
      <w:pStyle w:val="Header"/>
      <w:jc w:val="right"/>
    </w:pPr>
    <w:r>
      <w:rPr>
        <w:noProof/>
        <w:lang w:val="nl-NL" w:eastAsia="nl-NL"/>
      </w:rPr>
      <w:drawing>
        <wp:anchor distT="0" distB="0" distL="114300" distR="114300" simplePos="0" relativeHeight="251665408"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4"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5"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3"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6" w15:restartNumberingAfterBreak="0">
    <w:nsid w:val="752B384D"/>
    <w:multiLevelType w:val="multilevel"/>
    <w:tmpl w:val="7B8ACA08"/>
    <w:lvl w:ilvl="0">
      <w:start w:val="1"/>
      <w:numFmt w:val="decimal"/>
      <w:lvlText w:val="%1."/>
      <w:lvlJc w:val="left"/>
      <w:pPr>
        <w:ind w:left="360" w:hanging="360"/>
      </w:pPr>
      <w:rPr>
        <w:rFonts w:hint="default"/>
        <w:b/>
        <w:bCs w:val="0"/>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7"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5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12354977">
    <w:abstractNumId w:val="7"/>
  </w:num>
  <w:num w:numId="2" w16cid:durableId="956986022">
    <w:abstractNumId w:val="2"/>
  </w:num>
  <w:num w:numId="3" w16cid:durableId="1077358989">
    <w:abstractNumId w:val="18"/>
  </w:num>
  <w:num w:numId="4" w16cid:durableId="1449546552">
    <w:abstractNumId w:val="41"/>
  </w:num>
  <w:num w:numId="5" w16cid:durableId="125900643">
    <w:abstractNumId w:val="31"/>
  </w:num>
  <w:num w:numId="6" w16cid:durableId="117989606">
    <w:abstractNumId w:val="11"/>
  </w:num>
  <w:num w:numId="7" w16cid:durableId="230579240">
    <w:abstractNumId w:val="44"/>
  </w:num>
  <w:num w:numId="8" w16cid:durableId="1546018814">
    <w:abstractNumId w:val="26"/>
  </w:num>
  <w:num w:numId="9" w16cid:durableId="2026515676">
    <w:abstractNumId w:val="20"/>
  </w:num>
  <w:num w:numId="10" w16cid:durableId="485512275">
    <w:abstractNumId w:val="35"/>
  </w:num>
  <w:num w:numId="11" w16cid:durableId="814417118">
    <w:abstractNumId w:val="34"/>
  </w:num>
  <w:num w:numId="12" w16cid:durableId="1677994263">
    <w:abstractNumId w:val="30"/>
  </w:num>
  <w:num w:numId="13" w16cid:durableId="666250430">
    <w:abstractNumId w:val="42"/>
  </w:num>
  <w:num w:numId="14" w16cid:durableId="999771383">
    <w:abstractNumId w:val="16"/>
  </w:num>
  <w:num w:numId="15" w16cid:durableId="1889293860">
    <w:abstractNumId w:val="49"/>
  </w:num>
  <w:num w:numId="16" w16cid:durableId="528766410">
    <w:abstractNumId w:val="29"/>
  </w:num>
  <w:num w:numId="17" w16cid:durableId="714230782">
    <w:abstractNumId w:val="17"/>
  </w:num>
  <w:num w:numId="18" w16cid:durableId="827209402">
    <w:abstractNumId w:val="38"/>
  </w:num>
  <w:num w:numId="19" w16cid:durableId="1966690443">
    <w:abstractNumId w:val="29"/>
  </w:num>
  <w:num w:numId="20" w16cid:durableId="1623489826">
    <w:abstractNumId w:val="29"/>
  </w:num>
  <w:num w:numId="21" w16cid:durableId="786852647">
    <w:abstractNumId w:val="29"/>
  </w:num>
  <w:num w:numId="22" w16cid:durableId="757942965">
    <w:abstractNumId w:val="29"/>
  </w:num>
  <w:num w:numId="23" w16cid:durableId="1874687423">
    <w:abstractNumId w:val="39"/>
  </w:num>
  <w:num w:numId="24" w16cid:durableId="1539780856">
    <w:abstractNumId w:val="10"/>
  </w:num>
  <w:num w:numId="25" w16cid:durableId="140121240">
    <w:abstractNumId w:val="10"/>
  </w:num>
  <w:num w:numId="26" w16cid:durableId="1648823411">
    <w:abstractNumId w:val="10"/>
  </w:num>
  <w:num w:numId="27" w16cid:durableId="405684636">
    <w:abstractNumId w:val="22"/>
  </w:num>
  <w:num w:numId="28" w16cid:durableId="544608736">
    <w:abstractNumId w:val="22"/>
  </w:num>
  <w:num w:numId="29" w16cid:durableId="1949191964">
    <w:abstractNumId w:val="22"/>
  </w:num>
  <w:num w:numId="30" w16cid:durableId="1755665728">
    <w:abstractNumId w:val="22"/>
  </w:num>
  <w:num w:numId="31" w16cid:durableId="306787762">
    <w:abstractNumId w:val="22"/>
  </w:num>
  <w:num w:numId="32" w16cid:durableId="1820069505">
    <w:abstractNumId w:val="22"/>
  </w:num>
  <w:num w:numId="33" w16cid:durableId="1506747077">
    <w:abstractNumId w:val="36"/>
  </w:num>
  <w:num w:numId="34" w16cid:durableId="2048137980">
    <w:abstractNumId w:val="36"/>
  </w:num>
  <w:num w:numId="35" w16cid:durableId="325059092">
    <w:abstractNumId w:val="36"/>
  </w:num>
  <w:num w:numId="36" w16cid:durableId="163132958">
    <w:abstractNumId w:val="27"/>
  </w:num>
  <w:num w:numId="37" w16cid:durableId="1450051045">
    <w:abstractNumId w:val="16"/>
  </w:num>
  <w:num w:numId="38" w16cid:durableId="1345014133">
    <w:abstractNumId w:val="30"/>
  </w:num>
  <w:num w:numId="39" w16cid:durableId="1880236880">
    <w:abstractNumId w:val="29"/>
  </w:num>
  <w:num w:numId="40" w16cid:durableId="14370187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02645201">
    <w:abstractNumId w:val="9"/>
  </w:num>
  <w:num w:numId="42" w16cid:durableId="20699189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99211793">
    <w:abstractNumId w:val="9"/>
  </w:num>
  <w:num w:numId="44" w16cid:durableId="1123574472">
    <w:abstractNumId w:val="28"/>
  </w:num>
  <w:num w:numId="45" w16cid:durableId="520171128">
    <w:abstractNumId w:val="32"/>
  </w:num>
  <w:num w:numId="46" w16cid:durableId="1478035504">
    <w:abstractNumId w:val="50"/>
  </w:num>
  <w:num w:numId="47" w16cid:durableId="686252324">
    <w:abstractNumId w:val="13"/>
  </w:num>
  <w:num w:numId="48" w16cid:durableId="1238783154">
    <w:abstractNumId w:val="21"/>
  </w:num>
  <w:num w:numId="49" w16cid:durableId="408187993">
    <w:abstractNumId w:val="14"/>
  </w:num>
  <w:num w:numId="50" w16cid:durableId="1130827413">
    <w:abstractNumId w:val="12"/>
  </w:num>
  <w:num w:numId="51" w16cid:durableId="112486340">
    <w:abstractNumId w:val="19"/>
  </w:num>
  <w:num w:numId="52" w16cid:durableId="1788429867">
    <w:abstractNumId w:val="43"/>
  </w:num>
  <w:num w:numId="53" w16cid:durableId="1627732179">
    <w:abstractNumId w:val="47"/>
  </w:num>
  <w:num w:numId="54" w16cid:durableId="1697005514">
    <w:abstractNumId w:val="15"/>
  </w:num>
  <w:num w:numId="55" w16cid:durableId="905647277">
    <w:abstractNumId w:val="48"/>
  </w:num>
  <w:num w:numId="56" w16cid:durableId="759255668">
    <w:abstractNumId w:val="40"/>
  </w:num>
  <w:num w:numId="57" w16cid:durableId="550307514">
    <w:abstractNumId w:val="25"/>
  </w:num>
  <w:num w:numId="58" w16cid:durableId="103111955">
    <w:abstractNumId w:val="8"/>
  </w:num>
  <w:num w:numId="59" w16cid:durableId="2050059136">
    <w:abstractNumId w:val="6"/>
  </w:num>
  <w:num w:numId="60" w16cid:durableId="1274896389">
    <w:abstractNumId w:val="5"/>
  </w:num>
  <w:num w:numId="61" w16cid:durableId="998994980">
    <w:abstractNumId w:val="4"/>
  </w:num>
  <w:num w:numId="62" w16cid:durableId="1982689758">
    <w:abstractNumId w:val="3"/>
  </w:num>
  <w:num w:numId="63" w16cid:durableId="237986308">
    <w:abstractNumId w:val="1"/>
  </w:num>
  <w:num w:numId="64" w16cid:durableId="1061750111">
    <w:abstractNumId w:val="0"/>
  </w:num>
  <w:num w:numId="65" w16cid:durableId="240989024">
    <w:abstractNumId w:val="37"/>
  </w:num>
  <w:num w:numId="66" w16cid:durableId="506407402">
    <w:abstractNumId w:val="45"/>
  </w:num>
  <w:num w:numId="67" w16cid:durableId="1581981926">
    <w:abstractNumId w:val="24"/>
  </w:num>
  <w:num w:numId="68" w16cid:durableId="15912301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904681906">
    <w:abstractNumId w:val="23"/>
  </w:num>
  <w:num w:numId="70" w16cid:durableId="90125300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80866459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890308816">
    <w:abstractNumId w:val="33"/>
  </w:num>
  <w:num w:numId="73" w16cid:durableId="16264974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415906454">
    <w:abstractNumId w:val="14"/>
  </w:num>
  <w:num w:numId="75" w16cid:durableId="179853947">
    <w:abstractNumId w:val="43"/>
  </w:num>
  <w:num w:numId="76" w16cid:durableId="629894736">
    <w:abstractNumId w:val="46"/>
  </w:num>
  <w:num w:numId="77" w16cid:durableId="174930189">
    <w:abstractNumId w:val="43"/>
  </w:num>
  <w:num w:numId="78" w16cid:durableId="814176510">
    <w:abstractNumId w:val="43"/>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isplayBackgroundShape/>
  <w:proofState w:spelling="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304FC"/>
    <w:rsid w:val="00036B9E"/>
    <w:rsid w:val="00037DF4"/>
    <w:rsid w:val="0004700E"/>
    <w:rsid w:val="00057FCA"/>
    <w:rsid w:val="0007071D"/>
    <w:rsid w:val="00070C13"/>
    <w:rsid w:val="000715C9"/>
    <w:rsid w:val="00084F33"/>
    <w:rsid w:val="000A77A7"/>
    <w:rsid w:val="000B1707"/>
    <w:rsid w:val="000C1B3E"/>
    <w:rsid w:val="000C349E"/>
    <w:rsid w:val="00110203"/>
    <w:rsid w:val="00110AE7"/>
    <w:rsid w:val="001241C8"/>
    <w:rsid w:val="00165B82"/>
    <w:rsid w:val="00166985"/>
    <w:rsid w:val="00177F4D"/>
    <w:rsid w:val="00180DDA"/>
    <w:rsid w:val="001B2A2D"/>
    <w:rsid w:val="001B737D"/>
    <w:rsid w:val="001C44A3"/>
    <w:rsid w:val="001C72C7"/>
    <w:rsid w:val="001C77BB"/>
    <w:rsid w:val="001D0432"/>
    <w:rsid w:val="001E0E15"/>
    <w:rsid w:val="001F528A"/>
    <w:rsid w:val="001F704E"/>
    <w:rsid w:val="00201722"/>
    <w:rsid w:val="002125B0"/>
    <w:rsid w:val="00214342"/>
    <w:rsid w:val="00221E08"/>
    <w:rsid w:val="00237D7C"/>
    <w:rsid w:val="00243228"/>
    <w:rsid w:val="00245A49"/>
    <w:rsid w:val="00251483"/>
    <w:rsid w:val="00255CAA"/>
    <w:rsid w:val="0025741F"/>
    <w:rsid w:val="00264305"/>
    <w:rsid w:val="00286FEF"/>
    <w:rsid w:val="002A0346"/>
    <w:rsid w:val="002A0929"/>
    <w:rsid w:val="002A4487"/>
    <w:rsid w:val="002B49E9"/>
    <w:rsid w:val="002C632E"/>
    <w:rsid w:val="002D3E8B"/>
    <w:rsid w:val="002D4575"/>
    <w:rsid w:val="002D5C0C"/>
    <w:rsid w:val="002E03D1"/>
    <w:rsid w:val="002E08F6"/>
    <w:rsid w:val="002E6B74"/>
    <w:rsid w:val="002E6FCA"/>
    <w:rsid w:val="003351C4"/>
    <w:rsid w:val="0035243F"/>
    <w:rsid w:val="00356CD0"/>
    <w:rsid w:val="00362CD9"/>
    <w:rsid w:val="003761CA"/>
    <w:rsid w:val="0038049E"/>
    <w:rsid w:val="00380DAF"/>
    <w:rsid w:val="003972CE"/>
    <w:rsid w:val="00397892"/>
    <w:rsid w:val="003B2635"/>
    <w:rsid w:val="003B28F5"/>
    <w:rsid w:val="003B7B7D"/>
    <w:rsid w:val="003C54CB"/>
    <w:rsid w:val="003C7A2A"/>
    <w:rsid w:val="003D03C1"/>
    <w:rsid w:val="003D25A2"/>
    <w:rsid w:val="003D25B0"/>
    <w:rsid w:val="003D2DC1"/>
    <w:rsid w:val="003D69D0"/>
    <w:rsid w:val="003F2918"/>
    <w:rsid w:val="003F430E"/>
    <w:rsid w:val="00407324"/>
    <w:rsid w:val="0041088C"/>
    <w:rsid w:val="0041230E"/>
    <w:rsid w:val="00420A38"/>
    <w:rsid w:val="00426DB3"/>
    <w:rsid w:val="004310C0"/>
    <w:rsid w:val="00431B19"/>
    <w:rsid w:val="00446E4D"/>
    <w:rsid w:val="004533B7"/>
    <w:rsid w:val="004661AD"/>
    <w:rsid w:val="00492B8F"/>
    <w:rsid w:val="00495629"/>
    <w:rsid w:val="004B1FCE"/>
    <w:rsid w:val="004D1D85"/>
    <w:rsid w:val="004D3C3A"/>
    <w:rsid w:val="004E1CD1"/>
    <w:rsid w:val="004F7616"/>
    <w:rsid w:val="0050690E"/>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E31B9"/>
    <w:rsid w:val="005F23D3"/>
    <w:rsid w:val="005F7E20"/>
    <w:rsid w:val="00605E43"/>
    <w:rsid w:val="006153BB"/>
    <w:rsid w:val="00627591"/>
    <w:rsid w:val="00635ADD"/>
    <w:rsid w:val="00637047"/>
    <w:rsid w:val="00653FFB"/>
    <w:rsid w:val="006652C3"/>
    <w:rsid w:val="00691FD0"/>
    <w:rsid w:val="00692148"/>
    <w:rsid w:val="006A1A1E"/>
    <w:rsid w:val="006C5948"/>
    <w:rsid w:val="006E2121"/>
    <w:rsid w:val="006F2A74"/>
    <w:rsid w:val="007118F5"/>
    <w:rsid w:val="00712AA4"/>
    <w:rsid w:val="007146C4"/>
    <w:rsid w:val="00721AA1"/>
    <w:rsid w:val="00724B67"/>
    <w:rsid w:val="007547F8"/>
    <w:rsid w:val="00765622"/>
    <w:rsid w:val="00770B6C"/>
    <w:rsid w:val="00774730"/>
    <w:rsid w:val="00783FEA"/>
    <w:rsid w:val="007926DC"/>
    <w:rsid w:val="007A109B"/>
    <w:rsid w:val="007A395D"/>
    <w:rsid w:val="007B1123"/>
    <w:rsid w:val="007B4F84"/>
    <w:rsid w:val="007C346C"/>
    <w:rsid w:val="007D63E3"/>
    <w:rsid w:val="007F1306"/>
    <w:rsid w:val="0080294B"/>
    <w:rsid w:val="0082480E"/>
    <w:rsid w:val="00850293"/>
    <w:rsid w:val="00851373"/>
    <w:rsid w:val="00851BA6"/>
    <w:rsid w:val="0085654D"/>
    <w:rsid w:val="00861160"/>
    <w:rsid w:val="00861801"/>
    <w:rsid w:val="0086654F"/>
    <w:rsid w:val="008702A8"/>
    <w:rsid w:val="0087239B"/>
    <w:rsid w:val="00882407"/>
    <w:rsid w:val="00892CA4"/>
    <w:rsid w:val="008A356F"/>
    <w:rsid w:val="008A3ECA"/>
    <w:rsid w:val="008A4653"/>
    <w:rsid w:val="008A4717"/>
    <w:rsid w:val="008A50CC"/>
    <w:rsid w:val="008D1694"/>
    <w:rsid w:val="008D79CB"/>
    <w:rsid w:val="008E28CC"/>
    <w:rsid w:val="008E3A8C"/>
    <w:rsid w:val="008F07BC"/>
    <w:rsid w:val="00904066"/>
    <w:rsid w:val="0092692B"/>
    <w:rsid w:val="00943E9C"/>
    <w:rsid w:val="00953F4D"/>
    <w:rsid w:val="00960BB8"/>
    <w:rsid w:val="00964F5C"/>
    <w:rsid w:val="00971B10"/>
    <w:rsid w:val="00973B57"/>
    <w:rsid w:val="009831C0"/>
    <w:rsid w:val="009874F9"/>
    <w:rsid w:val="0099161D"/>
    <w:rsid w:val="009C5F41"/>
    <w:rsid w:val="00A01B17"/>
    <w:rsid w:val="00A0389B"/>
    <w:rsid w:val="00A1096D"/>
    <w:rsid w:val="00A26017"/>
    <w:rsid w:val="00A446C9"/>
    <w:rsid w:val="00A56C33"/>
    <w:rsid w:val="00A635D6"/>
    <w:rsid w:val="00A647D5"/>
    <w:rsid w:val="00A72757"/>
    <w:rsid w:val="00A800A9"/>
    <w:rsid w:val="00A8553A"/>
    <w:rsid w:val="00A93AED"/>
    <w:rsid w:val="00A979F8"/>
    <w:rsid w:val="00AE1319"/>
    <w:rsid w:val="00AE1B9F"/>
    <w:rsid w:val="00AE34BB"/>
    <w:rsid w:val="00B0084A"/>
    <w:rsid w:val="00B0520E"/>
    <w:rsid w:val="00B226F2"/>
    <w:rsid w:val="00B274DF"/>
    <w:rsid w:val="00B351F6"/>
    <w:rsid w:val="00B56BDF"/>
    <w:rsid w:val="00B65812"/>
    <w:rsid w:val="00B661C7"/>
    <w:rsid w:val="00B80530"/>
    <w:rsid w:val="00B85CD6"/>
    <w:rsid w:val="00B90A27"/>
    <w:rsid w:val="00B93C77"/>
    <w:rsid w:val="00B947D6"/>
    <w:rsid w:val="00B9554D"/>
    <w:rsid w:val="00BA4DA9"/>
    <w:rsid w:val="00BB2B9F"/>
    <w:rsid w:val="00BB42AA"/>
    <w:rsid w:val="00BB7D9E"/>
    <w:rsid w:val="00BC2334"/>
    <w:rsid w:val="00BD3CB8"/>
    <w:rsid w:val="00BD4E6F"/>
    <w:rsid w:val="00BE700D"/>
    <w:rsid w:val="00BF32F0"/>
    <w:rsid w:val="00BF4DCE"/>
    <w:rsid w:val="00C02DDD"/>
    <w:rsid w:val="00C05CE5"/>
    <w:rsid w:val="00C103D1"/>
    <w:rsid w:val="00C3123B"/>
    <w:rsid w:val="00C37FCC"/>
    <w:rsid w:val="00C52A4D"/>
    <w:rsid w:val="00C6171E"/>
    <w:rsid w:val="00C66B44"/>
    <w:rsid w:val="00C865DF"/>
    <w:rsid w:val="00CA6F2C"/>
    <w:rsid w:val="00CC79CE"/>
    <w:rsid w:val="00CD5A14"/>
    <w:rsid w:val="00CE46F9"/>
    <w:rsid w:val="00CF1871"/>
    <w:rsid w:val="00D019CE"/>
    <w:rsid w:val="00D1133E"/>
    <w:rsid w:val="00D127CB"/>
    <w:rsid w:val="00D128D4"/>
    <w:rsid w:val="00D17A34"/>
    <w:rsid w:val="00D26628"/>
    <w:rsid w:val="00D332B3"/>
    <w:rsid w:val="00D37DCE"/>
    <w:rsid w:val="00D423E5"/>
    <w:rsid w:val="00D4743D"/>
    <w:rsid w:val="00D55207"/>
    <w:rsid w:val="00D60825"/>
    <w:rsid w:val="00D81801"/>
    <w:rsid w:val="00D92B45"/>
    <w:rsid w:val="00D95962"/>
    <w:rsid w:val="00DA5F76"/>
    <w:rsid w:val="00DC389B"/>
    <w:rsid w:val="00DD2D52"/>
    <w:rsid w:val="00DD5E77"/>
    <w:rsid w:val="00DE09A5"/>
    <w:rsid w:val="00DE2FEE"/>
    <w:rsid w:val="00E00BE9"/>
    <w:rsid w:val="00E04761"/>
    <w:rsid w:val="00E22236"/>
    <w:rsid w:val="00E22A11"/>
    <w:rsid w:val="00E31E5C"/>
    <w:rsid w:val="00E44DD2"/>
    <w:rsid w:val="00E522C5"/>
    <w:rsid w:val="00E558C3"/>
    <w:rsid w:val="00E55927"/>
    <w:rsid w:val="00E65D3F"/>
    <w:rsid w:val="00E702D6"/>
    <w:rsid w:val="00E77B71"/>
    <w:rsid w:val="00E912A6"/>
    <w:rsid w:val="00EA4844"/>
    <w:rsid w:val="00EA4D9C"/>
    <w:rsid w:val="00EA5A97"/>
    <w:rsid w:val="00EB75EE"/>
    <w:rsid w:val="00EC26CE"/>
    <w:rsid w:val="00ED3726"/>
    <w:rsid w:val="00EE1710"/>
    <w:rsid w:val="00EE4C1D"/>
    <w:rsid w:val="00EF3685"/>
    <w:rsid w:val="00EF6F62"/>
    <w:rsid w:val="00F04350"/>
    <w:rsid w:val="00F133DB"/>
    <w:rsid w:val="00F159EB"/>
    <w:rsid w:val="00F17C2F"/>
    <w:rsid w:val="00F2337D"/>
    <w:rsid w:val="00F25BF4"/>
    <w:rsid w:val="00F267DB"/>
    <w:rsid w:val="00F46F6F"/>
    <w:rsid w:val="00F60608"/>
    <w:rsid w:val="00F62217"/>
    <w:rsid w:val="00F71ACC"/>
    <w:rsid w:val="00F956DA"/>
    <w:rsid w:val="00FB17A9"/>
    <w:rsid w:val="00FB220B"/>
    <w:rsid w:val="00FB527C"/>
    <w:rsid w:val="00FB6F75"/>
    <w:rsid w:val="00FC0EB3"/>
    <w:rsid w:val="00FD2907"/>
    <w:rsid w:val="00FD675E"/>
    <w:rsid w:val="00FE5674"/>
    <w:rsid w:val="00FF7D9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ADF5FC63-1D3E-422C-80BD-C5DE5B21E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3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 w:type="character" w:styleId="UnresolvedMention">
    <w:name w:val="Unresolved Mention"/>
    <w:basedOn w:val="DefaultParagraphFont"/>
    <w:uiPriority w:val="99"/>
    <w:semiHidden/>
    <w:unhideWhenUsed/>
    <w:rsid w:val="00E77B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016/j.marpolbul.2021.112724"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doi.org/10.1007/s13437-023-00328-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i.org/10.1016/j.ssci.2015.02.00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2.xml><?xml version="1.0" encoding="utf-8"?>
<ds:datastoreItem xmlns:ds="http://schemas.openxmlformats.org/officeDocument/2006/customXml" ds:itemID="{29CFEC6B-D5EB-4E28-A1E3-A8018D138F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7</Pages>
  <Words>2172</Words>
  <Characters>12387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dc:description/>
  <cp:lastModifiedBy>Tom Southall</cp:lastModifiedBy>
  <cp:revision>3</cp:revision>
  <dcterms:created xsi:type="dcterms:W3CDTF">2024-04-05T05:21:00Z</dcterms:created>
  <dcterms:modified xsi:type="dcterms:W3CDTF">2024-04-07T18:41:00Z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MediaServiceImageTags">
    <vt:lpwstr/>
  </property>
</Properties>
</file>