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506C10F" w:rsidR="0080294B" w:rsidRPr="004A1C8C" w:rsidRDefault="00B62AA5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 xml:space="preserve">x </w:t>
      </w:r>
      <w:r w:rsidR="00BD4B0D" w:rsidRPr="004A1C8C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7F2934A3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B62AA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750947E4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305BD3">
        <w:rPr>
          <w:rFonts w:ascii="Calibri" w:hAnsi="Calibri"/>
          <w:lang w:val="sv-SE"/>
        </w:rPr>
        <w:t>6</w:t>
      </w:r>
      <w:r w:rsidR="00D91BEA" w:rsidRPr="004A1C8C">
        <w:rPr>
          <w:rFonts w:ascii="Calibri" w:hAnsi="Calibri"/>
          <w:lang w:val="sv-SE"/>
        </w:rPr>
        <w:t>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2D9C2192" w:rsidR="007755F5" w:rsidRPr="007755F5" w:rsidRDefault="001E26C8" w:rsidP="00B873EA">
      <w:pPr>
        <w:pStyle w:val="Footer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Working papers from </w:t>
      </w:r>
      <w:r w:rsidR="00B62AA5">
        <w:rPr>
          <w:rFonts w:asciiTheme="minorHAnsi" w:hAnsiTheme="minorHAnsi" w:cstheme="minorHAnsi"/>
        </w:rPr>
        <w:t>ARM1</w:t>
      </w:r>
      <w:r w:rsidR="00AC1976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 xml:space="preserve"> are not included in this list. They can be found</w:t>
      </w:r>
      <w:r w:rsidR="008E204C">
        <w:rPr>
          <w:rFonts w:asciiTheme="minorHAnsi" w:hAnsiTheme="minorHAnsi" w:cstheme="minorHAnsi"/>
        </w:rPr>
        <w:t xml:space="preserve"> on the IALA website </w:t>
      </w:r>
      <w:r>
        <w:rPr>
          <w:rFonts w:asciiTheme="minorHAnsi" w:hAnsiTheme="minorHAnsi" w:cstheme="minorHAnsi"/>
        </w:rPr>
        <w:t>as part of the output</w:t>
      </w:r>
      <w:r w:rsidR="00FE7CBB">
        <w:rPr>
          <w:rFonts w:asciiTheme="minorHAnsi" w:hAnsiTheme="minorHAnsi" w:cstheme="minorHAnsi"/>
        </w:rPr>
        <w:t xml:space="preserve">, uploaded to the committee documents area for </w:t>
      </w:r>
      <w:r w:rsidR="00B62AA5">
        <w:rPr>
          <w:rFonts w:asciiTheme="minorHAnsi" w:hAnsiTheme="minorHAnsi" w:cstheme="minorHAnsi"/>
        </w:rPr>
        <w:t>ARM1</w:t>
      </w:r>
      <w:r w:rsidR="00AC1976">
        <w:rPr>
          <w:rFonts w:asciiTheme="minorHAnsi" w:hAnsiTheme="minorHAnsi" w:cstheme="minorHAnsi"/>
        </w:rPr>
        <w:t>8</w:t>
      </w:r>
      <w:r w:rsidR="00CE6449">
        <w:rPr>
          <w:rFonts w:asciiTheme="minorHAnsi" w:hAnsiTheme="minorHAnsi" w:cstheme="minorHAnsi"/>
        </w:rPr>
        <w:t xml:space="preserve">, they will also be moved to the </w:t>
      </w:r>
      <w:proofErr w:type="spellStart"/>
      <w:r w:rsidR="00CE6449">
        <w:rPr>
          <w:rFonts w:asciiTheme="minorHAnsi" w:hAnsiTheme="minorHAnsi" w:cstheme="minorHAnsi"/>
        </w:rPr>
        <w:t>fileshare</w:t>
      </w:r>
      <w:proofErr w:type="spellEnd"/>
      <w:r w:rsidR="00CE6449">
        <w:rPr>
          <w:rFonts w:asciiTheme="minorHAnsi" w:hAnsiTheme="minorHAnsi" w:cstheme="minorHAnsi"/>
        </w:rPr>
        <w:t xml:space="preserve"> the day before the opening plenary.</w:t>
      </w:r>
    </w:p>
    <w:p w14:paraId="52555034" w14:textId="725155B7" w:rsidR="000C390D" w:rsidRDefault="000C390D" w:rsidP="00032C3C">
      <w:pPr>
        <w:pStyle w:val="BodyText"/>
        <w:rPr>
          <w:lang w:eastAsia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169"/>
        <w:gridCol w:w="4410"/>
        <w:gridCol w:w="2065"/>
        <w:gridCol w:w="1144"/>
      </w:tblGrid>
      <w:tr w:rsidR="003F0FC1" w:rsidRPr="003F0FC1" w14:paraId="7D5241CB" w14:textId="77777777" w:rsidTr="00B667FA">
        <w:trPr>
          <w:trHeight w:val="1380"/>
        </w:trPr>
        <w:tc>
          <w:tcPr>
            <w:tcW w:w="983" w:type="dxa"/>
            <w:shd w:val="clear" w:color="auto" w:fill="4F81BD" w:themeFill="accent1"/>
            <w:hideMark/>
          </w:tcPr>
          <w:p w14:paraId="03AAEBF9" w14:textId="77777777" w:rsidR="003F0FC1" w:rsidRPr="003F0FC1" w:rsidRDefault="003F0FC1" w:rsidP="003F0FC1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3F0FC1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1169" w:type="dxa"/>
            <w:shd w:val="clear" w:color="auto" w:fill="4F81BD" w:themeFill="accent1"/>
            <w:hideMark/>
          </w:tcPr>
          <w:p w14:paraId="4F2B7464" w14:textId="77777777" w:rsidR="003F0FC1" w:rsidRPr="003F0FC1" w:rsidRDefault="003F0FC1" w:rsidP="003F0FC1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3F0FC1">
              <w:rPr>
                <w:b/>
                <w:bCs/>
                <w:color w:val="FFFFFF" w:themeColor="background1"/>
                <w:lang w:eastAsia="de-DE"/>
              </w:rPr>
              <w:t>Paper Number</w:t>
            </w:r>
          </w:p>
        </w:tc>
        <w:tc>
          <w:tcPr>
            <w:tcW w:w="4410" w:type="dxa"/>
            <w:shd w:val="clear" w:color="auto" w:fill="4F81BD" w:themeFill="accent1"/>
            <w:hideMark/>
          </w:tcPr>
          <w:p w14:paraId="511CFE5D" w14:textId="77777777" w:rsidR="003F0FC1" w:rsidRPr="003F0FC1" w:rsidRDefault="003F0FC1" w:rsidP="003F0FC1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3F0FC1">
              <w:rPr>
                <w:b/>
                <w:bCs/>
                <w:color w:val="FFFFFF" w:themeColor="background1"/>
                <w:lang w:eastAsia="de-DE"/>
              </w:rPr>
              <w:t>Input Paper Title</w:t>
            </w:r>
          </w:p>
        </w:tc>
        <w:tc>
          <w:tcPr>
            <w:tcW w:w="2065" w:type="dxa"/>
            <w:shd w:val="clear" w:color="auto" w:fill="4F81BD" w:themeFill="accent1"/>
            <w:hideMark/>
          </w:tcPr>
          <w:p w14:paraId="60570E0D" w14:textId="77777777" w:rsidR="003F0FC1" w:rsidRPr="003F0FC1" w:rsidRDefault="003F0FC1" w:rsidP="003F0FC1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3F0FC1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  <w:tc>
          <w:tcPr>
            <w:tcW w:w="1144" w:type="dxa"/>
            <w:shd w:val="clear" w:color="auto" w:fill="4F81BD" w:themeFill="accent1"/>
            <w:hideMark/>
          </w:tcPr>
          <w:p w14:paraId="06C2E184" w14:textId="77777777" w:rsidR="003F0FC1" w:rsidRPr="003F0FC1" w:rsidRDefault="003F0FC1" w:rsidP="003F0FC1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3F0FC1">
              <w:rPr>
                <w:b/>
                <w:bCs/>
                <w:color w:val="FFFFFF" w:themeColor="background1"/>
                <w:lang w:eastAsia="de-DE"/>
              </w:rPr>
              <w:t>Presented by / WG</w:t>
            </w:r>
          </w:p>
        </w:tc>
      </w:tr>
      <w:tr w:rsidR="003F0FC1" w:rsidRPr="003F0FC1" w14:paraId="4F9C95AA" w14:textId="77777777" w:rsidTr="00B667FA">
        <w:trPr>
          <w:trHeight w:val="295"/>
        </w:trPr>
        <w:tc>
          <w:tcPr>
            <w:tcW w:w="983" w:type="dxa"/>
            <w:hideMark/>
          </w:tcPr>
          <w:p w14:paraId="57B2F577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077FC5A7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1.2.1</w:t>
            </w:r>
          </w:p>
        </w:tc>
        <w:tc>
          <w:tcPr>
            <w:tcW w:w="4410" w:type="dxa"/>
            <w:hideMark/>
          </w:tcPr>
          <w:p w14:paraId="4BCE4EF7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Provisional Agenda</w:t>
            </w:r>
          </w:p>
        </w:tc>
        <w:tc>
          <w:tcPr>
            <w:tcW w:w="2065" w:type="dxa"/>
            <w:hideMark/>
          </w:tcPr>
          <w:p w14:paraId="44B83585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69E9F659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All</w:t>
            </w:r>
          </w:p>
        </w:tc>
      </w:tr>
      <w:tr w:rsidR="003F0FC1" w:rsidRPr="003F0FC1" w14:paraId="2697B9FD" w14:textId="77777777" w:rsidTr="00B667FA">
        <w:trPr>
          <w:trHeight w:val="295"/>
        </w:trPr>
        <w:tc>
          <w:tcPr>
            <w:tcW w:w="983" w:type="dxa"/>
            <w:hideMark/>
          </w:tcPr>
          <w:p w14:paraId="452672B9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6F0C067C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2.1</w:t>
            </w:r>
          </w:p>
        </w:tc>
        <w:tc>
          <w:tcPr>
            <w:tcW w:w="4410" w:type="dxa"/>
            <w:hideMark/>
          </w:tcPr>
          <w:p w14:paraId="3B61B6BD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Action Items from ARM17</w:t>
            </w:r>
          </w:p>
        </w:tc>
        <w:tc>
          <w:tcPr>
            <w:tcW w:w="2065" w:type="dxa"/>
            <w:hideMark/>
          </w:tcPr>
          <w:p w14:paraId="2EAC3585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1F8E0663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All</w:t>
            </w:r>
          </w:p>
        </w:tc>
      </w:tr>
      <w:tr w:rsidR="003F0FC1" w:rsidRPr="003F0FC1" w14:paraId="68264788" w14:textId="77777777" w:rsidTr="00B667FA">
        <w:trPr>
          <w:trHeight w:val="295"/>
        </w:trPr>
        <w:tc>
          <w:tcPr>
            <w:tcW w:w="983" w:type="dxa"/>
            <w:hideMark/>
          </w:tcPr>
          <w:p w14:paraId="25C6F754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5D0B11E1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1.4.1</w:t>
            </w:r>
          </w:p>
        </w:tc>
        <w:tc>
          <w:tcPr>
            <w:tcW w:w="4410" w:type="dxa"/>
            <w:hideMark/>
          </w:tcPr>
          <w:p w14:paraId="0CB9BFB4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Programme of the physical week</w:t>
            </w:r>
          </w:p>
        </w:tc>
        <w:tc>
          <w:tcPr>
            <w:tcW w:w="2065" w:type="dxa"/>
            <w:hideMark/>
          </w:tcPr>
          <w:p w14:paraId="4CFC237F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7FEAA76F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All</w:t>
            </w:r>
          </w:p>
        </w:tc>
      </w:tr>
      <w:tr w:rsidR="003F0FC1" w:rsidRPr="003F0FC1" w14:paraId="239B80FB" w14:textId="77777777" w:rsidTr="00B667FA">
        <w:trPr>
          <w:trHeight w:val="295"/>
        </w:trPr>
        <w:tc>
          <w:tcPr>
            <w:tcW w:w="983" w:type="dxa"/>
            <w:hideMark/>
          </w:tcPr>
          <w:p w14:paraId="1F931023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67DEDF7C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5.1.1</w:t>
            </w:r>
          </w:p>
        </w:tc>
        <w:tc>
          <w:tcPr>
            <w:tcW w:w="4410" w:type="dxa"/>
            <w:hideMark/>
          </w:tcPr>
          <w:p w14:paraId="6C3090E7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Committee task plan</w:t>
            </w:r>
          </w:p>
        </w:tc>
        <w:tc>
          <w:tcPr>
            <w:tcW w:w="2065" w:type="dxa"/>
            <w:hideMark/>
          </w:tcPr>
          <w:p w14:paraId="1E33ED99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 CMT</w:t>
            </w:r>
          </w:p>
        </w:tc>
        <w:tc>
          <w:tcPr>
            <w:tcW w:w="1144" w:type="dxa"/>
            <w:hideMark/>
          </w:tcPr>
          <w:p w14:paraId="492ECDD7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All</w:t>
            </w:r>
          </w:p>
        </w:tc>
      </w:tr>
      <w:tr w:rsidR="003F0FC1" w:rsidRPr="003F0FC1" w14:paraId="1CDA6557" w14:textId="77777777" w:rsidTr="00B667FA">
        <w:trPr>
          <w:trHeight w:val="295"/>
        </w:trPr>
        <w:tc>
          <w:tcPr>
            <w:tcW w:w="983" w:type="dxa"/>
            <w:hideMark/>
          </w:tcPr>
          <w:p w14:paraId="1FAFE8CA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3A824B6D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6.1.1</w:t>
            </w:r>
          </w:p>
        </w:tc>
        <w:tc>
          <w:tcPr>
            <w:tcW w:w="4410" w:type="dxa"/>
            <w:hideMark/>
          </w:tcPr>
          <w:p w14:paraId="3394575C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Input paper list</w:t>
            </w:r>
          </w:p>
        </w:tc>
        <w:tc>
          <w:tcPr>
            <w:tcW w:w="2065" w:type="dxa"/>
            <w:hideMark/>
          </w:tcPr>
          <w:p w14:paraId="5CE83831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53C08C7C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All</w:t>
            </w:r>
          </w:p>
        </w:tc>
      </w:tr>
      <w:tr w:rsidR="003F0FC1" w:rsidRPr="003F0FC1" w14:paraId="75DDBC7E" w14:textId="77777777" w:rsidTr="00B667FA">
        <w:trPr>
          <w:trHeight w:val="295"/>
        </w:trPr>
        <w:tc>
          <w:tcPr>
            <w:tcW w:w="983" w:type="dxa"/>
            <w:hideMark/>
          </w:tcPr>
          <w:p w14:paraId="016E6A7D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03F7F383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6.1.2</w:t>
            </w:r>
          </w:p>
        </w:tc>
        <w:tc>
          <w:tcPr>
            <w:tcW w:w="4410" w:type="dxa"/>
            <w:hideMark/>
          </w:tcPr>
          <w:p w14:paraId="5A45A19C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Working paper list</w:t>
            </w:r>
          </w:p>
        </w:tc>
        <w:tc>
          <w:tcPr>
            <w:tcW w:w="2065" w:type="dxa"/>
            <w:hideMark/>
          </w:tcPr>
          <w:p w14:paraId="3C55CBC6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42774D50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All</w:t>
            </w:r>
          </w:p>
        </w:tc>
      </w:tr>
      <w:tr w:rsidR="00C948FC" w:rsidRPr="003F0FC1" w14:paraId="2E72C84C" w14:textId="77777777" w:rsidTr="00B667FA">
        <w:trPr>
          <w:trHeight w:val="295"/>
        </w:trPr>
        <w:tc>
          <w:tcPr>
            <w:tcW w:w="983" w:type="dxa"/>
            <w:shd w:val="clear" w:color="auto" w:fill="C6D9F1" w:themeFill="text2" w:themeFillTint="33"/>
          </w:tcPr>
          <w:p w14:paraId="553E9E56" w14:textId="1F907BB5" w:rsidR="00C948FC" w:rsidRPr="003F0FC1" w:rsidRDefault="00C948FC" w:rsidP="003F0FC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</w:tcPr>
          <w:p w14:paraId="5E4D34D6" w14:textId="0561EC34" w:rsidR="00C948FC" w:rsidRPr="003F0FC1" w:rsidRDefault="00C948FC" w:rsidP="003F0FC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6.2.1</w:t>
            </w:r>
          </w:p>
        </w:tc>
        <w:tc>
          <w:tcPr>
            <w:tcW w:w="4410" w:type="dxa"/>
            <w:shd w:val="clear" w:color="auto" w:fill="C6D9F1" w:themeFill="text2" w:themeFillTint="33"/>
          </w:tcPr>
          <w:p w14:paraId="52F0EFA6" w14:textId="6147BF94" w:rsidR="00C948FC" w:rsidRPr="003F0FC1" w:rsidRDefault="00E81131" w:rsidP="003F0FC1">
            <w:pPr>
              <w:pStyle w:val="BodyText"/>
              <w:rPr>
                <w:lang w:eastAsia="de-DE"/>
              </w:rPr>
            </w:pPr>
            <w:r w:rsidRPr="00E81131">
              <w:rPr>
                <w:lang w:eastAsia="de-DE"/>
              </w:rPr>
              <w:t>Liaison note to ARM, ENG, VTS on Tech Review Summary Table (DTEC2-12.2.2.2)</w:t>
            </w:r>
          </w:p>
        </w:tc>
        <w:tc>
          <w:tcPr>
            <w:tcW w:w="2065" w:type="dxa"/>
            <w:shd w:val="clear" w:color="auto" w:fill="C6D9F1" w:themeFill="text2" w:themeFillTint="33"/>
          </w:tcPr>
          <w:p w14:paraId="0026A174" w14:textId="19DCE613" w:rsidR="00C948FC" w:rsidRPr="003F0FC1" w:rsidRDefault="00C948FC" w:rsidP="003F0FC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DTEC</w:t>
            </w:r>
          </w:p>
        </w:tc>
        <w:tc>
          <w:tcPr>
            <w:tcW w:w="1144" w:type="dxa"/>
            <w:shd w:val="clear" w:color="auto" w:fill="C6D9F1" w:themeFill="text2" w:themeFillTint="33"/>
          </w:tcPr>
          <w:p w14:paraId="650C9310" w14:textId="1AA8FBEB" w:rsidR="00C948FC" w:rsidRPr="003F0FC1" w:rsidRDefault="00C948FC" w:rsidP="003F0FC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CMT</w:t>
            </w:r>
          </w:p>
        </w:tc>
      </w:tr>
      <w:tr w:rsidR="003F0FC1" w:rsidRPr="003F0FC1" w14:paraId="7F0D752A" w14:textId="77777777" w:rsidTr="00B667FA">
        <w:trPr>
          <w:trHeight w:val="295"/>
        </w:trPr>
        <w:tc>
          <w:tcPr>
            <w:tcW w:w="983" w:type="dxa"/>
            <w:hideMark/>
          </w:tcPr>
          <w:p w14:paraId="56952416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329632A4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7.2.1</w:t>
            </w:r>
          </w:p>
        </w:tc>
        <w:tc>
          <w:tcPr>
            <w:tcW w:w="4410" w:type="dxa"/>
            <w:hideMark/>
          </w:tcPr>
          <w:p w14:paraId="47217E77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Liaison note to ARM - Guidance on Quality Management Systems</w:t>
            </w:r>
          </w:p>
        </w:tc>
        <w:tc>
          <w:tcPr>
            <w:tcW w:w="2065" w:type="dxa"/>
            <w:hideMark/>
          </w:tcPr>
          <w:p w14:paraId="6AFD809B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VTS</w:t>
            </w:r>
          </w:p>
        </w:tc>
        <w:tc>
          <w:tcPr>
            <w:tcW w:w="1144" w:type="dxa"/>
            <w:hideMark/>
          </w:tcPr>
          <w:p w14:paraId="1A3BB14C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WG1</w:t>
            </w:r>
          </w:p>
        </w:tc>
      </w:tr>
      <w:tr w:rsidR="003F0FC1" w:rsidRPr="003F0FC1" w14:paraId="289E805A" w14:textId="77777777" w:rsidTr="00B667FA">
        <w:trPr>
          <w:trHeight w:val="295"/>
        </w:trPr>
        <w:tc>
          <w:tcPr>
            <w:tcW w:w="983" w:type="dxa"/>
            <w:hideMark/>
          </w:tcPr>
          <w:p w14:paraId="4254D42E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4B5CAF5E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7.2.2</w:t>
            </w:r>
          </w:p>
        </w:tc>
        <w:tc>
          <w:tcPr>
            <w:tcW w:w="4410" w:type="dxa"/>
            <w:hideMark/>
          </w:tcPr>
          <w:p w14:paraId="3DC08E01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Proposal on Adding New Terms for IALA Dictionary Originated in G1052</w:t>
            </w:r>
          </w:p>
        </w:tc>
        <w:tc>
          <w:tcPr>
            <w:tcW w:w="2065" w:type="dxa"/>
            <w:hideMark/>
          </w:tcPr>
          <w:p w14:paraId="1F148293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70E1FC71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WG1</w:t>
            </w:r>
          </w:p>
        </w:tc>
      </w:tr>
      <w:tr w:rsidR="003F0FC1" w:rsidRPr="003F0FC1" w14:paraId="36202F14" w14:textId="77777777" w:rsidTr="00B667FA">
        <w:trPr>
          <w:trHeight w:val="295"/>
        </w:trPr>
        <w:tc>
          <w:tcPr>
            <w:tcW w:w="983" w:type="dxa"/>
            <w:hideMark/>
          </w:tcPr>
          <w:p w14:paraId="63AEB590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40785058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7.2.2.1</w:t>
            </w:r>
          </w:p>
        </w:tc>
        <w:tc>
          <w:tcPr>
            <w:tcW w:w="4410" w:type="dxa"/>
            <w:hideMark/>
          </w:tcPr>
          <w:p w14:paraId="62AF238C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ANNEX-New-Definitions-for-IALA-Dictionary(G1052)</w:t>
            </w:r>
          </w:p>
        </w:tc>
        <w:tc>
          <w:tcPr>
            <w:tcW w:w="2065" w:type="dxa"/>
            <w:hideMark/>
          </w:tcPr>
          <w:p w14:paraId="73F39B0E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6390692F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WG1</w:t>
            </w:r>
          </w:p>
        </w:tc>
      </w:tr>
      <w:tr w:rsidR="003F0FC1" w:rsidRPr="003F0FC1" w14:paraId="13CB4C95" w14:textId="77777777" w:rsidTr="00B667FA">
        <w:trPr>
          <w:trHeight w:val="295"/>
        </w:trPr>
        <w:tc>
          <w:tcPr>
            <w:tcW w:w="983" w:type="dxa"/>
            <w:hideMark/>
          </w:tcPr>
          <w:p w14:paraId="0BBAE78A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1C51415F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7.3.1</w:t>
            </w:r>
          </w:p>
        </w:tc>
        <w:tc>
          <w:tcPr>
            <w:tcW w:w="4410" w:type="dxa"/>
            <w:hideMark/>
          </w:tcPr>
          <w:p w14:paraId="7445A1BD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Consideration on Guideline for Buoy Tender Activities</w:t>
            </w:r>
          </w:p>
        </w:tc>
        <w:tc>
          <w:tcPr>
            <w:tcW w:w="2065" w:type="dxa"/>
            <w:hideMark/>
          </w:tcPr>
          <w:p w14:paraId="2E5AD3C3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6D7A9C4E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WG1</w:t>
            </w:r>
          </w:p>
        </w:tc>
      </w:tr>
      <w:tr w:rsidR="003F0FC1" w:rsidRPr="003F0FC1" w14:paraId="12DA5E37" w14:textId="77777777" w:rsidTr="00B667FA">
        <w:trPr>
          <w:trHeight w:val="295"/>
        </w:trPr>
        <w:tc>
          <w:tcPr>
            <w:tcW w:w="983" w:type="dxa"/>
            <w:hideMark/>
          </w:tcPr>
          <w:p w14:paraId="7945A77F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0037BC42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7.3.2</w:t>
            </w:r>
          </w:p>
        </w:tc>
        <w:tc>
          <w:tcPr>
            <w:tcW w:w="4410" w:type="dxa"/>
            <w:hideMark/>
          </w:tcPr>
          <w:p w14:paraId="753DF309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Proposals for revision of Guideline G1078</w:t>
            </w:r>
          </w:p>
        </w:tc>
        <w:tc>
          <w:tcPr>
            <w:tcW w:w="2065" w:type="dxa"/>
            <w:hideMark/>
          </w:tcPr>
          <w:p w14:paraId="64A18FEA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251ADE99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WG1</w:t>
            </w:r>
          </w:p>
        </w:tc>
      </w:tr>
      <w:tr w:rsidR="003F0FC1" w:rsidRPr="003F0FC1" w14:paraId="4BB71870" w14:textId="77777777" w:rsidTr="00B667FA">
        <w:trPr>
          <w:trHeight w:val="295"/>
        </w:trPr>
        <w:tc>
          <w:tcPr>
            <w:tcW w:w="983" w:type="dxa"/>
            <w:hideMark/>
          </w:tcPr>
          <w:p w14:paraId="5E5D1428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33DB3ADE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 xml:space="preserve">7.7.1 </w:t>
            </w:r>
          </w:p>
        </w:tc>
        <w:tc>
          <w:tcPr>
            <w:tcW w:w="4410" w:type="dxa"/>
            <w:hideMark/>
          </w:tcPr>
          <w:p w14:paraId="7C6E258B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Task 2.2.1 Proposal for an IALA AIS Manual SWE_K1</w:t>
            </w:r>
          </w:p>
        </w:tc>
        <w:tc>
          <w:tcPr>
            <w:tcW w:w="2065" w:type="dxa"/>
            <w:hideMark/>
          </w:tcPr>
          <w:p w14:paraId="28A34FF7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SMA / STA</w:t>
            </w:r>
          </w:p>
        </w:tc>
        <w:tc>
          <w:tcPr>
            <w:tcW w:w="1144" w:type="dxa"/>
            <w:hideMark/>
          </w:tcPr>
          <w:p w14:paraId="1C3F83FC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WG1</w:t>
            </w:r>
          </w:p>
        </w:tc>
      </w:tr>
      <w:tr w:rsidR="003F0FC1" w:rsidRPr="003F0FC1" w14:paraId="31805C0B" w14:textId="77777777" w:rsidTr="00B667FA">
        <w:trPr>
          <w:trHeight w:val="295"/>
        </w:trPr>
        <w:tc>
          <w:tcPr>
            <w:tcW w:w="983" w:type="dxa"/>
            <w:hideMark/>
          </w:tcPr>
          <w:p w14:paraId="4A315BE0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629E7C63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7.7.1.1</w:t>
            </w:r>
          </w:p>
        </w:tc>
        <w:tc>
          <w:tcPr>
            <w:tcW w:w="4410" w:type="dxa"/>
            <w:hideMark/>
          </w:tcPr>
          <w:p w14:paraId="7516BDE6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Annex 1_Task 2.2.1 Proposal for an AIS Manual SWE_K1</w:t>
            </w:r>
          </w:p>
        </w:tc>
        <w:tc>
          <w:tcPr>
            <w:tcW w:w="2065" w:type="dxa"/>
            <w:hideMark/>
          </w:tcPr>
          <w:p w14:paraId="04801BE4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SMA / STA</w:t>
            </w:r>
          </w:p>
        </w:tc>
        <w:tc>
          <w:tcPr>
            <w:tcW w:w="1144" w:type="dxa"/>
            <w:hideMark/>
          </w:tcPr>
          <w:p w14:paraId="41BAACB4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WG1</w:t>
            </w:r>
          </w:p>
        </w:tc>
      </w:tr>
      <w:tr w:rsidR="003F0FC1" w:rsidRPr="003F0FC1" w14:paraId="263E0F6C" w14:textId="77777777" w:rsidTr="00B667FA">
        <w:trPr>
          <w:trHeight w:val="295"/>
        </w:trPr>
        <w:tc>
          <w:tcPr>
            <w:tcW w:w="983" w:type="dxa"/>
            <w:hideMark/>
          </w:tcPr>
          <w:p w14:paraId="2457E5FE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lastRenderedPageBreak/>
              <w:t>ARM18-</w:t>
            </w:r>
          </w:p>
        </w:tc>
        <w:tc>
          <w:tcPr>
            <w:tcW w:w="1169" w:type="dxa"/>
            <w:hideMark/>
          </w:tcPr>
          <w:p w14:paraId="5B1F0C80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7.7.1.2</w:t>
            </w:r>
          </w:p>
        </w:tc>
        <w:tc>
          <w:tcPr>
            <w:tcW w:w="4410" w:type="dxa"/>
            <w:hideMark/>
          </w:tcPr>
          <w:p w14:paraId="512F726D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Annex 2_Task 2.2.1 Proposal for an AIS Manual SWE_K1</w:t>
            </w:r>
          </w:p>
        </w:tc>
        <w:tc>
          <w:tcPr>
            <w:tcW w:w="2065" w:type="dxa"/>
            <w:hideMark/>
          </w:tcPr>
          <w:p w14:paraId="244596F7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SMA / STA</w:t>
            </w:r>
          </w:p>
        </w:tc>
        <w:tc>
          <w:tcPr>
            <w:tcW w:w="1144" w:type="dxa"/>
            <w:hideMark/>
          </w:tcPr>
          <w:p w14:paraId="1CBD53A1" w14:textId="77777777" w:rsidR="003F0FC1" w:rsidRPr="003F0FC1" w:rsidRDefault="003F0FC1" w:rsidP="003F0FC1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WG1</w:t>
            </w:r>
          </w:p>
        </w:tc>
      </w:tr>
      <w:tr w:rsidR="005A67BD" w:rsidRPr="003F0FC1" w14:paraId="69E3DAA2" w14:textId="77777777" w:rsidTr="00B667FA">
        <w:trPr>
          <w:trHeight w:val="295"/>
        </w:trPr>
        <w:tc>
          <w:tcPr>
            <w:tcW w:w="983" w:type="dxa"/>
            <w:shd w:val="clear" w:color="auto" w:fill="C6D9F1" w:themeFill="text2" w:themeFillTint="33"/>
          </w:tcPr>
          <w:p w14:paraId="75886CBC" w14:textId="77777777" w:rsidR="005A67BD" w:rsidRDefault="005A67BD" w:rsidP="003F0FC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ARM18-</w:t>
            </w:r>
          </w:p>
          <w:p w14:paraId="5FBDC6E1" w14:textId="2334FD7D" w:rsidR="00B667FA" w:rsidRPr="00B667FA" w:rsidRDefault="00B667FA" w:rsidP="00B667FA">
            <w:pPr>
              <w:rPr>
                <w:lang w:eastAsia="de-DE"/>
              </w:rPr>
            </w:pPr>
          </w:p>
        </w:tc>
        <w:tc>
          <w:tcPr>
            <w:tcW w:w="1169" w:type="dxa"/>
            <w:shd w:val="clear" w:color="auto" w:fill="C6D9F1" w:themeFill="text2" w:themeFillTint="33"/>
          </w:tcPr>
          <w:p w14:paraId="0E838DD1" w14:textId="67F93920" w:rsidR="005A67BD" w:rsidRPr="003F0FC1" w:rsidRDefault="005A67BD" w:rsidP="003F0FC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7.7.2</w:t>
            </w:r>
          </w:p>
        </w:tc>
        <w:tc>
          <w:tcPr>
            <w:tcW w:w="4410" w:type="dxa"/>
            <w:shd w:val="clear" w:color="auto" w:fill="C6D9F1" w:themeFill="text2" w:themeFillTint="33"/>
          </w:tcPr>
          <w:p w14:paraId="67E449DD" w14:textId="0FEDA179" w:rsidR="005A67BD" w:rsidRPr="003F0FC1" w:rsidRDefault="00C37425" w:rsidP="003F0FC1">
            <w:pPr>
              <w:pStyle w:val="BodyText"/>
              <w:rPr>
                <w:lang w:eastAsia="de-DE"/>
              </w:rPr>
            </w:pPr>
            <w:r w:rsidRPr="00C37425">
              <w:rPr>
                <w:lang w:eastAsia="de-DE"/>
              </w:rPr>
              <w:t>Proposals revision of Guideline G1172</w:t>
            </w:r>
          </w:p>
        </w:tc>
        <w:tc>
          <w:tcPr>
            <w:tcW w:w="2065" w:type="dxa"/>
            <w:shd w:val="clear" w:color="auto" w:fill="C6D9F1" w:themeFill="text2" w:themeFillTint="33"/>
          </w:tcPr>
          <w:p w14:paraId="3BF2934E" w14:textId="0FC4B34E" w:rsidR="005A67BD" w:rsidRPr="003F0FC1" w:rsidRDefault="007045F8" w:rsidP="003F0FC1">
            <w:pPr>
              <w:pStyle w:val="BodyText"/>
              <w:rPr>
                <w:lang w:eastAsia="de-DE"/>
              </w:rPr>
            </w:pPr>
            <w:r w:rsidRPr="007045F8">
              <w:rPr>
                <w:lang w:eastAsia="de-DE"/>
              </w:rPr>
              <w:t>Mokpo National Maritime University</w:t>
            </w:r>
          </w:p>
        </w:tc>
        <w:tc>
          <w:tcPr>
            <w:tcW w:w="1144" w:type="dxa"/>
            <w:shd w:val="clear" w:color="auto" w:fill="C6D9F1" w:themeFill="text2" w:themeFillTint="33"/>
          </w:tcPr>
          <w:p w14:paraId="6409E004" w14:textId="29547FF1" w:rsidR="005A67BD" w:rsidRPr="003F0FC1" w:rsidRDefault="007045F8" w:rsidP="003F0FC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B667FA" w:rsidRPr="003F0FC1" w14:paraId="3B3D2489" w14:textId="77777777" w:rsidTr="00B667FA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35E26419" w14:textId="1F67EFEE" w:rsidR="00B667FA" w:rsidRPr="003F0FC1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4926DFF5" w14:textId="63838079" w:rsidR="00B667FA" w:rsidRPr="003F0FC1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8.3.1</w:t>
            </w:r>
          </w:p>
        </w:tc>
        <w:tc>
          <w:tcPr>
            <w:tcW w:w="4410" w:type="dxa"/>
            <w:shd w:val="clear" w:color="auto" w:fill="C6D9F1" w:themeFill="text2" w:themeFillTint="33"/>
            <w:hideMark/>
          </w:tcPr>
          <w:p w14:paraId="736AA1C7" w14:textId="4754086F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AC4FF8">
              <w:rPr>
                <w:lang w:eastAsia="de-DE"/>
              </w:rPr>
              <w:t>Input on IALA R0126 MAtoN status page_24-03-30</w:t>
            </w:r>
          </w:p>
        </w:tc>
        <w:tc>
          <w:tcPr>
            <w:tcW w:w="2065" w:type="dxa"/>
            <w:shd w:val="clear" w:color="auto" w:fill="C6D9F1" w:themeFill="text2" w:themeFillTint="33"/>
            <w:hideMark/>
          </w:tcPr>
          <w:p w14:paraId="5CCD3F16" w14:textId="5A5816CE" w:rsidR="00B667FA" w:rsidRPr="003F0FC1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USCG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48FA0921" w14:textId="5A694961" w:rsidR="00B667FA" w:rsidRPr="003F0FC1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 and 2</w:t>
            </w:r>
          </w:p>
        </w:tc>
      </w:tr>
      <w:tr w:rsidR="00B667FA" w:rsidRPr="003F0FC1" w14:paraId="32EB5592" w14:textId="77777777" w:rsidTr="00B667FA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33AF64AD" w14:textId="33C85E74" w:rsidR="00B667FA" w:rsidRPr="003F0FC1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6AB61092" w14:textId="28B91697" w:rsidR="00B667FA" w:rsidRPr="003F0FC1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8.3.1.1</w:t>
            </w:r>
          </w:p>
        </w:tc>
        <w:tc>
          <w:tcPr>
            <w:tcW w:w="4410" w:type="dxa"/>
            <w:shd w:val="clear" w:color="auto" w:fill="C6D9F1" w:themeFill="text2" w:themeFillTint="33"/>
            <w:hideMark/>
          </w:tcPr>
          <w:p w14:paraId="65A69511" w14:textId="432A3CAC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ED634B">
              <w:rPr>
                <w:lang w:eastAsia="de-DE"/>
              </w:rPr>
              <w:t>uswp5b32-11_m.1371_finaldraft</w:t>
            </w:r>
          </w:p>
        </w:tc>
        <w:tc>
          <w:tcPr>
            <w:tcW w:w="2065" w:type="dxa"/>
            <w:shd w:val="clear" w:color="auto" w:fill="C6D9F1" w:themeFill="text2" w:themeFillTint="33"/>
            <w:hideMark/>
          </w:tcPr>
          <w:p w14:paraId="42B199D2" w14:textId="63C94D24" w:rsidR="00B667FA" w:rsidRPr="003F0FC1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USCG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3266F5AA" w14:textId="10AB9B62" w:rsidR="00B667FA" w:rsidRPr="003F0FC1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 and 2</w:t>
            </w:r>
          </w:p>
        </w:tc>
      </w:tr>
      <w:tr w:rsidR="00B667FA" w:rsidRPr="003F0FC1" w14:paraId="79155D44" w14:textId="77777777" w:rsidTr="00B667FA">
        <w:trPr>
          <w:trHeight w:val="590"/>
        </w:trPr>
        <w:tc>
          <w:tcPr>
            <w:tcW w:w="983" w:type="dxa"/>
            <w:hideMark/>
          </w:tcPr>
          <w:p w14:paraId="093EA194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42C94E95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8.4.2</w:t>
            </w:r>
          </w:p>
        </w:tc>
        <w:tc>
          <w:tcPr>
            <w:tcW w:w="4410" w:type="dxa"/>
            <w:hideMark/>
          </w:tcPr>
          <w:p w14:paraId="3FD87D3A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 xml:space="preserve">Proposal for Displaying of S125 Updated Data on ECDIS When </w:t>
            </w:r>
            <w:proofErr w:type="spellStart"/>
            <w:r w:rsidRPr="003F0FC1">
              <w:rPr>
                <w:lang w:eastAsia="de-DE"/>
              </w:rPr>
              <w:t>AtoNs</w:t>
            </w:r>
            <w:proofErr w:type="spellEnd"/>
            <w:r w:rsidRPr="003F0FC1">
              <w:rPr>
                <w:lang w:eastAsia="de-DE"/>
              </w:rPr>
              <w:t xml:space="preserve"> Reverted Back to Design State</w:t>
            </w:r>
          </w:p>
        </w:tc>
        <w:tc>
          <w:tcPr>
            <w:tcW w:w="2065" w:type="dxa"/>
            <w:hideMark/>
          </w:tcPr>
          <w:p w14:paraId="6F48DE67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5989086F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WG2</w:t>
            </w:r>
          </w:p>
        </w:tc>
      </w:tr>
      <w:tr w:rsidR="00B667FA" w:rsidRPr="003F0FC1" w14:paraId="33EA90E0" w14:textId="77777777" w:rsidTr="00B667FA">
        <w:trPr>
          <w:trHeight w:val="295"/>
        </w:trPr>
        <w:tc>
          <w:tcPr>
            <w:tcW w:w="983" w:type="dxa"/>
            <w:hideMark/>
          </w:tcPr>
          <w:p w14:paraId="43A7FCD4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1E9B2610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8.4.3</w:t>
            </w:r>
          </w:p>
        </w:tc>
        <w:tc>
          <w:tcPr>
            <w:tcW w:w="4410" w:type="dxa"/>
            <w:hideMark/>
          </w:tcPr>
          <w:p w14:paraId="410FED82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 xml:space="preserve"> Input on Technical service for </w:t>
            </w:r>
            <w:proofErr w:type="spellStart"/>
            <w:r w:rsidRPr="003F0FC1">
              <w:rPr>
                <w:lang w:eastAsia="de-DE"/>
              </w:rPr>
              <w:t>AtoN</w:t>
            </w:r>
            <w:proofErr w:type="spellEnd"/>
          </w:p>
        </w:tc>
        <w:tc>
          <w:tcPr>
            <w:tcW w:w="2065" w:type="dxa"/>
            <w:hideMark/>
          </w:tcPr>
          <w:p w14:paraId="1B1768D3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KRISO et al</w:t>
            </w:r>
          </w:p>
        </w:tc>
        <w:tc>
          <w:tcPr>
            <w:tcW w:w="1144" w:type="dxa"/>
            <w:hideMark/>
          </w:tcPr>
          <w:p w14:paraId="6C1D1CE6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WG2</w:t>
            </w:r>
          </w:p>
        </w:tc>
      </w:tr>
      <w:tr w:rsidR="00B667FA" w:rsidRPr="003F0FC1" w14:paraId="2E8DC240" w14:textId="77777777" w:rsidTr="00B667FA">
        <w:trPr>
          <w:trHeight w:val="590"/>
        </w:trPr>
        <w:tc>
          <w:tcPr>
            <w:tcW w:w="983" w:type="dxa"/>
            <w:hideMark/>
          </w:tcPr>
          <w:p w14:paraId="48C4BBD0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hideMark/>
          </w:tcPr>
          <w:p w14:paraId="3E65FD9E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8.4.3.1</w:t>
            </w:r>
          </w:p>
        </w:tc>
        <w:tc>
          <w:tcPr>
            <w:tcW w:w="4410" w:type="dxa"/>
            <w:hideMark/>
          </w:tcPr>
          <w:p w14:paraId="69BF752E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 xml:space="preserve">Provision of </w:t>
            </w:r>
            <w:proofErr w:type="spellStart"/>
            <w:r w:rsidRPr="003F0FC1">
              <w:rPr>
                <w:lang w:eastAsia="de-DE"/>
              </w:rPr>
              <w:t>AtoN</w:t>
            </w:r>
            <w:proofErr w:type="spellEnd"/>
            <w:r w:rsidRPr="003F0FC1">
              <w:rPr>
                <w:lang w:eastAsia="de-DE"/>
              </w:rPr>
              <w:t xml:space="preserve"> Information Service to End users</w:t>
            </w:r>
          </w:p>
        </w:tc>
        <w:tc>
          <w:tcPr>
            <w:tcW w:w="2065" w:type="dxa"/>
            <w:hideMark/>
          </w:tcPr>
          <w:p w14:paraId="70FF5D4B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 xml:space="preserve">GRAD/ USCG/ </w:t>
            </w:r>
            <w:proofErr w:type="spellStart"/>
            <w:r w:rsidRPr="003F0FC1">
              <w:rPr>
                <w:lang w:eastAsia="de-DE"/>
              </w:rPr>
              <w:t>AIVeNautics</w:t>
            </w:r>
            <w:proofErr w:type="spellEnd"/>
          </w:p>
        </w:tc>
        <w:tc>
          <w:tcPr>
            <w:tcW w:w="1144" w:type="dxa"/>
            <w:hideMark/>
          </w:tcPr>
          <w:p w14:paraId="0FAB028E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WG2</w:t>
            </w:r>
          </w:p>
        </w:tc>
      </w:tr>
      <w:tr w:rsidR="00B667FA" w:rsidRPr="003F0FC1" w14:paraId="4A5AD1FE" w14:textId="77777777" w:rsidTr="00B667FA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0F61E1BA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391D5332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8.4.4</w:t>
            </w:r>
          </w:p>
        </w:tc>
        <w:tc>
          <w:tcPr>
            <w:tcW w:w="4410" w:type="dxa"/>
            <w:shd w:val="clear" w:color="auto" w:fill="C6D9F1" w:themeFill="text2" w:themeFillTint="33"/>
            <w:hideMark/>
          </w:tcPr>
          <w:p w14:paraId="350D689A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Liaison note from DTEC to ARM on IMO Circular on MRN</w:t>
            </w:r>
          </w:p>
        </w:tc>
        <w:tc>
          <w:tcPr>
            <w:tcW w:w="2065" w:type="dxa"/>
            <w:shd w:val="clear" w:color="auto" w:fill="C6D9F1" w:themeFill="text2" w:themeFillTint="33"/>
            <w:hideMark/>
          </w:tcPr>
          <w:p w14:paraId="5E72A1B4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DTEC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6EB25459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WG2</w:t>
            </w:r>
          </w:p>
        </w:tc>
      </w:tr>
      <w:tr w:rsidR="00B667FA" w:rsidRPr="003F0FC1" w14:paraId="6E9760EC" w14:textId="77777777" w:rsidTr="00B667FA">
        <w:trPr>
          <w:trHeight w:val="590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1936DA43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685FFFC6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8.4.4.1</w:t>
            </w:r>
          </w:p>
        </w:tc>
        <w:tc>
          <w:tcPr>
            <w:tcW w:w="4410" w:type="dxa"/>
            <w:shd w:val="clear" w:color="auto" w:fill="C6D9F1" w:themeFill="text2" w:themeFillTint="33"/>
            <w:hideMark/>
          </w:tcPr>
          <w:p w14:paraId="45E43B0D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Draft Circular to MSC on Harmonisation of identifiers using MRN (DTEC2-12.2.1.3)</w:t>
            </w:r>
          </w:p>
        </w:tc>
        <w:tc>
          <w:tcPr>
            <w:tcW w:w="2065" w:type="dxa"/>
            <w:shd w:val="clear" w:color="auto" w:fill="C6D9F1" w:themeFill="text2" w:themeFillTint="33"/>
            <w:hideMark/>
          </w:tcPr>
          <w:p w14:paraId="5FBA3FAE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DTEC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0729EDE0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WG2</w:t>
            </w:r>
          </w:p>
        </w:tc>
      </w:tr>
      <w:tr w:rsidR="00B667FA" w:rsidRPr="003F0FC1" w14:paraId="2C11F03D" w14:textId="77777777" w:rsidTr="00B667FA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406E2091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5BE424A1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8.4.4.2</w:t>
            </w:r>
          </w:p>
        </w:tc>
        <w:tc>
          <w:tcPr>
            <w:tcW w:w="4410" w:type="dxa"/>
            <w:shd w:val="clear" w:color="auto" w:fill="C6D9F1" w:themeFill="text2" w:themeFillTint="33"/>
            <w:hideMark/>
          </w:tcPr>
          <w:p w14:paraId="5A5E190A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Draft Input to NCSR on Use of MRN Circular (DTEC2-12.2.1.4)</w:t>
            </w:r>
          </w:p>
        </w:tc>
        <w:tc>
          <w:tcPr>
            <w:tcW w:w="2065" w:type="dxa"/>
            <w:shd w:val="clear" w:color="auto" w:fill="C6D9F1" w:themeFill="text2" w:themeFillTint="33"/>
            <w:hideMark/>
          </w:tcPr>
          <w:p w14:paraId="66F38BB1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DTEC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2842F732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WG2</w:t>
            </w:r>
          </w:p>
        </w:tc>
      </w:tr>
      <w:tr w:rsidR="00B667FA" w:rsidRPr="003F0FC1" w14:paraId="3EF06BAD" w14:textId="77777777" w:rsidTr="00B667FA">
        <w:trPr>
          <w:trHeight w:val="590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473A1B0B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1B2C4865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8.4.5</w:t>
            </w:r>
          </w:p>
        </w:tc>
        <w:tc>
          <w:tcPr>
            <w:tcW w:w="4410" w:type="dxa"/>
            <w:shd w:val="clear" w:color="auto" w:fill="C6D9F1" w:themeFill="text2" w:themeFillTint="33"/>
            <w:hideMark/>
          </w:tcPr>
          <w:p w14:paraId="0CE2048A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Liaison note to ARM on R1019 on provision of maritime services in the context of e-navigation (DTEC2-12.2.1.12)</w:t>
            </w:r>
          </w:p>
        </w:tc>
        <w:tc>
          <w:tcPr>
            <w:tcW w:w="2065" w:type="dxa"/>
            <w:shd w:val="clear" w:color="auto" w:fill="C6D9F1" w:themeFill="text2" w:themeFillTint="33"/>
            <w:hideMark/>
          </w:tcPr>
          <w:p w14:paraId="55D4DE4D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DTEC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62610457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WG2</w:t>
            </w:r>
          </w:p>
        </w:tc>
      </w:tr>
      <w:tr w:rsidR="00B667FA" w:rsidRPr="003F0FC1" w14:paraId="0B01AFDE" w14:textId="77777777" w:rsidTr="00B667FA">
        <w:trPr>
          <w:trHeight w:val="590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285F9F2B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776A0DDC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8.4.5.1</w:t>
            </w:r>
          </w:p>
        </w:tc>
        <w:tc>
          <w:tcPr>
            <w:tcW w:w="4410" w:type="dxa"/>
            <w:shd w:val="clear" w:color="auto" w:fill="C6D9F1" w:themeFill="text2" w:themeFillTint="33"/>
            <w:hideMark/>
          </w:tcPr>
          <w:p w14:paraId="3AA29793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 xml:space="preserve">Review R1019 on Provision of maritime services in the context of </w:t>
            </w:r>
            <w:proofErr w:type="spellStart"/>
            <w:r w:rsidRPr="003F0FC1">
              <w:rPr>
                <w:lang w:eastAsia="de-DE"/>
              </w:rPr>
              <w:t>eNavigation</w:t>
            </w:r>
            <w:proofErr w:type="spellEnd"/>
            <w:r w:rsidRPr="003F0FC1">
              <w:rPr>
                <w:lang w:eastAsia="de-DE"/>
              </w:rPr>
              <w:t xml:space="preserve"> in the domain of IALA (DTEC2-12.2.1.7)</w:t>
            </w:r>
          </w:p>
        </w:tc>
        <w:tc>
          <w:tcPr>
            <w:tcW w:w="2065" w:type="dxa"/>
            <w:shd w:val="clear" w:color="auto" w:fill="C6D9F1" w:themeFill="text2" w:themeFillTint="33"/>
            <w:hideMark/>
          </w:tcPr>
          <w:p w14:paraId="0A9DB68D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DTEC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5F70F206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WG2</w:t>
            </w:r>
          </w:p>
        </w:tc>
      </w:tr>
      <w:tr w:rsidR="00B667FA" w:rsidRPr="003F0FC1" w14:paraId="04C557F2" w14:textId="77777777" w:rsidTr="00B667FA">
        <w:trPr>
          <w:trHeight w:val="590"/>
        </w:trPr>
        <w:tc>
          <w:tcPr>
            <w:tcW w:w="983" w:type="dxa"/>
            <w:shd w:val="clear" w:color="auto" w:fill="C6D9F1" w:themeFill="text2" w:themeFillTint="33"/>
          </w:tcPr>
          <w:p w14:paraId="01C88C7D" w14:textId="1F90BA78" w:rsidR="00B667FA" w:rsidRPr="003F0FC1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</w:tcPr>
          <w:p w14:paraId="05C24E7D" w14:textId="77BEC710" w:rsidR="00B667FA" w:rsidRPr="003F0FC1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8.4.6</w:t>
            </w:r>
          </w:p>
        </w:tc>
        <w:tc>
          <w:tcPr>
            <w:tcW w:w="4410" w:type="dxa"/>
            <w:shd w:val="clear" w:color="auto" w:fill="C6D9F1" w:themeFill="text2" w:themeFillTint="33"/>
          </w:tcPr>
          <w:p w14:paraId="0A49B1EF" w14:textId="6899FC30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1B7521">
              <w:rPr>
                <w:lang w:eastAsia="de-DE"/>
              </w:rPr>
              <w:t>S-201 data model review_v2</w:t>
            </w:r>
          </w:p>
        </w:tc>
        <w:tc>
          <w:tcPr>
            <w:tcW w:w="2065" w:type="dxa"/>
            <w:shd w:val="clear" w:color="auto" w:fill="C6D9F1" w:themeFill="text2" w:themeFillTint="33"/>
          </w:tcPr>
          <w:p w14:paraId="483BE1D9" w14:textId="506CD155" w:rsidR="00B667FA" w:rsidRPr="003F0FC1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CCG</w:t>
            </w:r>
          </w:p>
        </w:tc>
        <w:tc>
          <w:tcPr>
            <w:tcW w:w="1144" w:type="dxa"/>
            <w:shd w:val="clear" w:color="auto" w:fill="C6D9F1" w:themeFill="text2" w:themeFillTint="33"/>
          </w:tcPr>
          <w:p w14:paraId="3C543015" w14:textId="64847918" w:rsidR="00B667FA" w:rsidRPr="003F0FC1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B667FA" w:rsidRPr="003F0FC1" w14:paraId="5D49BB54" w14:textId="77777777" w:rsidTr="00B667FA">
        <w:trPr>
          <w:trHeight w:val="590"/>
        </w:trPr>
        <w:tc>
          <w:tcPr>
            <w:tcW w:w="983" w:type="dxa"/>
            <w:shd w:val="clear" w:color="auto" w:fill="C6D9F1" w:themeFill="text2" w:themeFillTint="33"/>
          </w:tcPr>
          <w:p w14:paraId="6C6E7B08" w14:textId="41F00164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</w:tcPr>
          <w:p w14:paraId="6572D452" w14:textId="2FB3BFC6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8.4.7</w:t>
            </w:r>
          </w:p>
        </w:tc>
        <w:tc>
          <w:tcPr>
            <w:tcW w:w="4410" w:type="dxa"/>
            <w:shd w:val="clear" w:color="auto" w:fill="C6D9F1" w:themeFill="text2" w:themeFillTint="33"/>
          </w:tcPr>
          <w:p w14:paraId="014835B8" w14:textId="52D4B2C8" w:rsidR="00B667FA" w:rsidRPr="001B7521" w:rsidRDefault="00B667FA" w:rsidP="00B667FA">
            <w:pPr>
              <w:pStyle w:val="BodyText"/>
              <w:rPr>
                <w:lang w:eastAsia="de-DE"/>
              </w:rPr>
            </w:pPr>
            <w:r w:rsidRPr="001B620A">
              <w:rPr>
                <w:lang w:eastAsia="de-DE"/>
              </w:rPr>
              <w:t>Development of IALA questionnaire system based on S-200 testbed</w:t>
            </w:r>
          </w:p>
        </w:tc>
        <w:tc>
          <w:tcPr>
            <w:tcW w:w="2065" w:type="dxa"/>
            <w:shd w:val="clear" w:color="auto" w:fill="C6D9F1" w:themeFill="text2" w:themeFillTint="33"/>
          </w:tcPr>
          <w:p w14:paraId="4A4184D9" w14:textId="6F5DC218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KRISO</w:t>
            </w:r>
          </w:p>
        </w:tc>
        <w:tc>
          <w:tcPr>
            <w:tcW w:w="1144" w:type="dxa"/>
            <w:shd w:val="clear" w:color="auto" w:fill="C6D9F1" w:themeFill="text2" w:themeFillTint="33"/>
          </w:tcPr>
          <w:p w14:paraId="4E924ABB" w14:textId="43AE0369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B667FA" w:rsidRPr="003F0FC1" w14:paraId="73A1E31B" w14:textId="77777777" w:rsidTr="00B667FA">
        <w:trPr>
          <w:trHeight w:val="590"/>
        </w:trPr>
        <w:tc>
          <w:tcPr>
            <w:tcW w:w="983" w:type="dxa"/>
            <w:shd w:val="clear" w:color="auto" w:fill="C6D9F1" w:themeFill="text2" w:themeFillTint="33"/>
          </w:tcPr>
          <w:p w14:paraId="69023979" w14:textId="13BEF14C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</w:tcPr>
          <w:p w14:paraId="1563C854" w14:textId="0A03D6FB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8.4.8</w:t>
            </w:r>
          </w:p>
        </w:tc>
        <w:tc>
          <w:tcPr>
            <w:tcW w:w="4410" w:type="dxa"/>
            <w:shd w:val="clear" w:color="auto" w:fill="C6D9F1" w:themeFill="text2" w:themeFillTint="33"/>
          </w:tcPr>
          <w:p w14:paraId="3008EB2D" w14:textId="2522B345" w:rsidR="00B667FA" w:rsidRPr="001B620A" w:rsidRDefault="00B667FA" w:rsidP="00B667FA">
            <w:pPr>
              <w:pStyle w:val="BodyText"/>
              <w:rPr>
                <w:lang w:eastAsia="de-DE"/>
              </w:rPr>
            </w:pPr>
            <w:r w:rsidRPr="00CC67DB">
              <w:rPr>
                <w:lang w:eastAsia="de-DE"/>
              </w:rPr>
              <w:t>Need of open data format for Virtual Aton</w:t>
            </w:r>
          </w:p>
        </w:tc>
        <w:tc>
          <w:tcPr>
            <w:tcW w:w="2065" w:type="dxa"/>
            <w:shd w:val="clear" w:color="auto" w:fill="C6D9F1" w:themeFill="text2" w:themeFillTint="33"/>
          </w:tcPr>
          <w:p w14:paraId="6132DAB6" w14:textId="75333FE1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KRISO</w:t>
            </w:r>
          </w:p>
        </w:tc>
        <w:tc>
          <w:tcPr>
            <w:tcW w:w="1144" w:type="dxa"/>
            <w:shd w:val="clear" w:color="auto" w:fill="C6D9F1" w:themeFill="text2" w:themeFillTint="33"/>
          </w:tcPr>
          <w:p w14:paraId="76FD6F40" w14:textId="30C4979F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B667FA" w:rsidRPr="003F0FC1" w14:paraId="303670BC" w14:textId="77777777" w:rsidTr="00B667FA">
        <w:trPr>
          <w:trHeight w:val="590"/>
        </w:trPr>
        <w:tc>
          <w:tcPr>
            <w:tcW w:w="983" w:type="dxa"/>
            <w:shd w:val="clear" w:color="auto" w:fill="C6D9F1" w:themeFill="text2" w:themeFillTint="33"/>
          </w:tcPr>
          <w:p w14:paraId="0B40122C" w14:textId="0A586297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</w:tcPr>
          <w:p w14:paraId="3405EBF1" w14:textId="6D8245E6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8.4.9</w:t>
            </w:r>
          </w:p>
        </w:tc>
        <w:tc>
          <w:tcPr>
            <w:tcW w:w="4410" w:type="dxa"/>
            <w:shd w:val="clear" w:color="auto" w:fill="C6D9F1" w:themeFill="text2" w:themeFillTint="33"/>
          </w:tcPr>
          <w:p w14:paraId="62393ABD" w14:textId="75C55629" w:rsidR="00B667FA" w:rsidRPr="00CC67DB" w:rsidRDefault="00B667FA" w:rsidP="00B667FA">
            <w:pPr>
              <w:pStyle w:val="BodyText"/>
              <w:rPr>
                <w:lang w:eastAsia="de-DE"/>
              </w:rPr>
            </w:pPr>
            <w:r w:rsidRPr="00C02D0E">
              <w:rPr>
                <w:lang w:eastAsia="de-DE"/>
              </w:rPr>
              <w:t>Review of S-200 World image</w:t>
            </w:r>
          </w:p>
        </w:tc>
        <w:tc>
          <w:tcPr>
            <w:tcW w:w="2065" w:type="dxa"/>
            <w:shd w:val="clear" w:color="auto" w:fill="C6D9F1" w:themeFill="text2" w:themeFillTint="33"/>
          </w:tcPr>
          <w:p w14:paraId="488F5BB9" w14:textId="7CB45636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KRISO</w:t>
            </w:r>
          </w:p>
        </w:tc>
        <w:tc>
          <w:tcPr>
            <w:tcW w:w="1144" w:type="dxa"/>
            <w:shd w:val="clear" w:color="auto" w:fill="C6D9F1" w:themeFill="text2" w:themeFillTint="33"/>
          </w:tcPr>
          <w:p w14:paraId="3EBE93BC" w14:textId="6E1127CE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B667FA" w:rsidRPr="003F0FC1" w14:paraId="78580986" w14:textId="77777777" w:rsidTr="00B667FA">
        <w:trPr>
          <w:trHeight w:val="590"/>
        </w:trPr>
        <w:tc>
          <w:tcPr>
            <w:tcW w:w="983" w:type="dxa"/>
            <w:shd w:val="clear" w:color="auto" w:fill="C6D9F1" w:themeFill="text2" w:themeFillTint="33"/>
          </w:tcPr>
          <w:p w14:paraId="33792195" w14:textId="09848F06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</w:tcPr>
          <w:p w14:paraId="490A1550" w14:textId="62272AA0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8.4.10</w:t>
            </w:r>
          </w:p>
        </w:tc>
        <w:tc>
          <w:tcPr>
            <w:tcW w:w="4410" w:type="dxa"/>
            <w:shd w:val="clear" w:color="auto" w:fill="C6D9F1" w:themeFill="text2" w:themeFillTint="33"/>
          </w:tcPr>
          <w:p w14:paraId="22E08325" w14:textId="60AB0CA9" w:rsidR="00B667FA" w:rsidRPr="00C02D0E" w:rsidRDefault="00B667FA" w:rsidP="00B667FA">
            <w:pPr>
              <w:pStyle w:val="BodyText"/>
              <w:rPr>
                <w:lang w:eastAsia="de-DE"/>
              </w:rPr>
            </w:pPr>
            <w:r w:rsidRPr="00816F0A">
              <w:rPr>
                <w:lang w:eastAsia="de-DE"/>
              </w:rPr>
              <w:t xml:space="preserve">Terms and definition for remote monitoring of </w:t>
            </w:r>
            <w:r>
              <w:rPr>
                <w:lang w:eastAsia="de-DE"/>
              </w:rPr>
              <w:t>M</w:t>
            </w:r>
            <w:r w:rsidRPr="00816F0A">
              <w:rPr>
                <w:lang w:eastAsia="de-DE"/>
              </w:rPr>
              <w:t xml:space="preserve">arine </w:t>
            </w:r>
            <w:proofErr w:type="spellStart"/>
            <w:r w:rsidRPr="00816F0A">
              <w:rPr>
                <w:lang w:eastAsia="de-DE"/>
              </w:rPr>
              <w:t>Ato</w:t>
            </w:r>
            <w:r>
              <w:rPr>
                <w:lang w:eastAsia="de-DE"/>
              </w:rPr>
              <w:t>N</w:t>
            </w:r>
            <w:proofErr w:type="spellEnd"/>
          </w:p>
        </w:tc>
        <w:tc>
          <w:tcPr>
            <w:tcW w:w="2065" w:type="dxa"/>
            <w:shd w:val="clear" w:color="auto" w:fill="C6D9F1" w:themeFill="text2" w:themeFillTint="33"/>
          </w:tcPr>
          <w:p w14:paraId="1A13D732" w14:textId="5DC7866A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KRISO</w:t>
            </w:r>
          </w:p>
        </w:tc>
        <w:tc>
          <w:tcPr>
            <w:tcW w:w="1144" w:type="dxa"/>
            <w:shd w:val="clear" w:color="auto" w:fill="C6D9F1" w:themeFill="text2" w:themeFillTint="33"/>
          </w:tcPr>
          <w:p w14:paraId="063347D9" w14:textId="48EB34E7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B667FA" w:rsidRPr="003F0FC1" w14:paraId="352B1664" w14:textId="77777777" w:rsidTr="00B667FA">
        <w:trPr>
          <w:trHeight w:val="590"/>
        </w:trPr>
        <w:tc>
          <w:tcPr>
            <w:tcW w:w="983" w:type="dxa"/>
            <w:shd w:val="clear" w:color="auto" w:fill="C6D9F1" w:themeFill="text2" w:themeFillTint="33"/>
          </w:tcPr>
          <w:p w14:paraId="1E45C631" w14:textId="240FC89F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</w:tcPr>
          <w:p w14:paraId="75D0F946" w14:textId="5CB15C21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8.4.11</w:t>
            </w:r>
          </w:p>
        </w:tc>
        <w:tc>
          <w:tcPr>
            <w:tcW w:w="4410" w:type="dxa"/>
            <w:shd w:val="clear" w:color="auto" w:fill="C6D9F1" w:themeFill="text2" w:themeFillTint="33"/>
          </w:tcPr>
          <w:p w14:paraId="6CF7EA76" w14:textId="29EDC7CE" w:rsidR="00B667FA" w:rsidRPr="00816F0A" w:rsidRDefault="00B667FA" w:rsidP="00B667FA">
            <w:pPr>
              <w:pStyle w:val="BodyText"/>
              <w:rPr>
                <w:lang w:eastAsia="de-DE"/>
              </w:rPr>
            </w:pPr>
            <w:r w:rsidRPr="00B55EB0">
              <w:rPr>
                <w:lang w:eastAsia="de-DE"/>
              </w:rPr>
              <w:t>Update of S-200 test bed and proposed future plan</w:t>
            </w:r>
          </w:p>
        </w:tc>
        <w:tc>
          <w:tcPr>
            <w:tcW w:w="2065" w:type="dxa"/>
            <w:shd w:val="clear" w:color="auto" w:fill="C6D9F1" w:themeFill="text2" w:themeFillTint="33"/>
          </w:tcPr>
          <w:p w14:paraId="7DEAB0C4" w14:textId="1496812B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KRISO</w:t>
            </w:r>
          </w:p>
        </w:tc>
        <w:tc>
          <w:tcPr>
            <w:tcW w:w="1144" w:type="dxa"/>
            <w:shd w:val="clear" w:color="auto" w:fill="C6D9F1" w:themeFill="text2" w:themeFillTint="33"/>
          </w:tcPr>
          <w:p w14:paraId="2F8C51CE" w14:textId="3F473A1A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B667FA" w:rsidRPr="003F0FC1" w14:paraId="18A42FAA" w14:textId="77777777" w:rsidTr="00B667FA">
        <w:trPr>
          <w:trHeight w:val="590"/>
        </w:trPr>
        <w:tc>
          <w:tcPr>
            <w:tcW w:w="983" w:type="dxa"/>
            <w:shd w:val="clear" w:color="auto" w:fill="C6D9F1" w:themeFill="text2" w:themeFillTint="33"/>
          </w:tcPr>
          <w:p w14:paraId="20BABC3C" w14:textId="672CA3A6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ARM12-</w:t>
            </w:r>
          </w:p>
        </w:tc>
        <w:tc>
          <w:tcPr>
            <w:tcW w:w="1169" w:type="dxa"/>
            <w:shd w:val="clear" w:color="auto" w:fill="C6D9F1" w:themeFill="text2" w:themeFillTint="33"/>
          </w:tcPr>
          <w:p w14:paraId="36D40A76" w14:textId="1223C845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8.4.12</w:t>
            </w:r>
          </w:p>
        </w:tc>
        <w:tc>
          <w:tcPr>
            <w:tcW w:w="4410" w:type="dxa"/>
            <w:shd w:val="clear" w:color="auto" w:fill="C6D9F1" w:themeFill="text2" w:themeFillTint="33"/>
          </w:tcPr>
          <w:p w14:paraId="7FA22156" w14:textId="74504A77" w:rsidR="00B667FA" w:rsidRPr="00B55EB0" w:rsidRDefault="00B667FA" w:rsidP="00B667FA">
            <w:pPr>
              <w:pStyle w:val="BodyText"/>
              <w:rPr>
                <w:lang w:eastAsia="de-DE"/>
              </w:rPr>
            </w:pPr>
            <w:r w:rsidRPr="00562518">
              <w:rPr>
                <w:lang w:eastAsia="de-DE"/>
              </w:rPr>
              <w:t>Update of S-201 and S-125</w:t>
            </w:r>
          </w:p>
        </w:tc>
        <w:tc>
          <w:tcPr>
            <w:tcW w:w="2065" w:type="dxa"/>
            <w:shd w:val="clear" w:color="auto" w:fill="C6D9F1" w:themeFill="text2" w:themeFillTint="33"/>
          </w:tcPr>
          <w:p w14:paraId="09E5E398" w14:textId="521F5B2D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KRISO</w:t>
            </w:r>
          </w:p>
        </w:tc>
        <w:tc>
          <w:tcPr>
            <w:tcW w:w="1144" w:type="dxa"/>
            <w:shd w:val="clear" w:color="auto" w:fill="C6D9F1" w:themeFill="text2" w:themeFillTint="33"/>
          </w:tcPr>
          <w:p w14:paraId="535901BA" w14:textId="6136EA4B" w:rsidR="00B667FA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B667FA" w:rsidRPr="003F0FC1" w14:paraId="6A0C3EC7" w14:textId="77777777" w:rsidTr="00B667FA">
        <w:trPr>
          <w:trHeight w:val="590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5AC48966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40D7FF46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8.7.1</w:t>
            </w:r>
          </w:p>
        </w:tc>
        <w:tc>
          <w:tcPr>
            <w:tcW w:w="4410" w:type="dxa"/>
            <w:shd w:val="clear" w:color="auto" w:fill="C6D9F1" w:themeFill="text2" w:themeFillTint="33"/>
            <w:hideMark/>
          </w:tcPr>
          <w:p w14:paraId="3968E584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Liaison note from DTEC to ARM and ENG on Cyber Security guideline (DTEC2-12.2.1.1)</w:t>
            </w:r>
          </w:p>
        </w:tc>
        <w:tc>
          <w:tcPr>
            <w:tcW w:w="2065" w:type="dxa"/>
            <w:shd w:val="clear" w:color="auto" w:fill="C6D9F1" w:themeFill="text2" w:themeFillTint="33"/>
            <w:hideMark/>
          </w:tcPr>
          <w:p w14:paraId="0839BE91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DTEC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2A506A56" w14:textId="5C93502B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WG2</w:t>
            </w:r>
            <w:r>
              <w:rPr>
                <w:lang w:eastAsia="de-DE"/>
              </w:rPr>
              <w:t xml:space="preserve"> / 3</w:t>
            </w:r>
          </w:p>
        </w:tc>
      </w:tr>
      <w:tr w:rsidR="00B667FA" w:rsidRPr="003F0FC1" w14:paraId="132890F6" w14:textId="77777777" w:rsidTr="00B667FA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72D15AD1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  <w:hideMark/>
          </w:tcPr>
          <w:p w14:paraId="6495EDCC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8.7.1.1</w:t>
            </w:r>
          </w:p>
        </w:tc>
        <w:tc>
          <w:tcPr>
            <w:tcW w:w="4410" w:type="dxa"/>
            <w:shd w:val="clear" w:color="auto" w:fill="C6D9F1" w:themeFill="text2" w:themeFillTint="33"/>
            <w:hideMark/>
          </w:tcPr>
          <w:p w14:paraId="66D09E46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Draft Guideline on Cyber Security_v0.3</w:t>
            </w:r>
          </w:p>
        </w:tc>
        <w:tc>
          <w:tcPr>
            <w:tcW w:w="2065" w:type="dxa"/>
            <w:shd w:val="clear" w:color="auto" w:fill="C6D9F1" w:themeFill="text2" w:themeFillTint="33"/>
            <w:hideMark/>
          </w:tcPr>
          <w:p w14:paraId="6C54C43C" w14:textId="77777777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DTEC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0AF925B7" w14:textId="1B8BE4A0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3F0FC1">
              <w:rPr>
                <w:lang w:eastAsia="de-DE"/>
              </w:rPr>
              <w:t>WG2</w:t>
            </w:r>
            <w:r>
              <w:rPr>
                <w:lang w:eastAsia="de-DE"/>
              </w:rPr>
              <w:t xml:space="preserve"> / 3</w:t>
            </w:r>
          </w:p>
        </w:tc>
      </w:tr>
      <w:tr w:rsidR="004B77EF" w:rsidRPr="003F0FC1" w14:paraId="1A71BE05" w14:textId="77777777" w:rsidTr="00B667FA">
        <w:trPr>
          <w:trHeight w:val="295"/>
        </w:trPr>
        <w:tc>
          <w:tcPr>
            <w:tcW w:w="983" w:type="dxa"/>
            <w:shd w:val="clear" w:color="auto" w:fill="C6D9F1" w:themeFill="text2" w:themeFillTint="33"/>
          </w:tcPr>
          <w:p w14:paraId="2A041DB7" w14:textId="59571B56" w:rsidR="004B77EF" w:rsidRPr="003F0FC1" w:rsidRDefault="004B77EF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lastRenderedPageBreak/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</w:tcPr>
          <w:p w14:paraId="7AF4B4CB" w14:textId="08C53BF5" w:rsidR="004B77EF" w:rsidRPr="003F0FC1" w:rsidRDefault="004B77EF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8.7.2</w:t>
            </w:r>
          </w:p>
        </w:tc>
        <w:tc>
          <w:tcPr>
            <w:tcW w:w="4410" w:type="dxa"/>
            <w:shd w:val="clear" w:color="auto" w:fill="C6D9F1" w:themeFill="text2" w:themeFillTint="33"/>
          </w:tcPr>
          <w:p w14:paraId="18C8BC3F" w14:textId="2E4679EB" w:rsidR="004B77EF" w:rsidRPr="003F0FC1" w:rsidRDefault="004B77EF" w:rsidP="00B667FA">
            <w:pPr>
              <w:pStyle w:val="BodyText"/>
              <w:rPr>
                <w:lang w:eastAsia="de-DE"/>
              </w:rPr>
            </w:pPr>
            <w:r w:rsidRPr="004B77EF">
              <w:rPr>
                <w:lang w:eastAsia="de-DE"/>
              </w:rPr>
              <w:t>Liaison note from ENG to ARM on the Cyber Security guideline (ENG18-13.0.1)</w:t>
            </w:r>
          </w:p>
        </w:tc>
        <w:tc>
          <w:tcPr>
            <w:tcW w:w="2065" w:type="dxa"/>
            <w:shd w:val="clear" w:color="auto" w:fill="C6D9F1" w:themeFill="text2" w:themeFillTint="33"/>
          </w:tcPr>
          <w:p w14:paraId="67EA70F6" w14:textId="3B8909A7" w:rsidR="004B77EF" w:rsidRPr="003F0FC1" w:rsidRDefault="004B77EF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</w:t>
            </w:r>
          </w:p>
        </w:tc>
        <w:tc>
          <w:tcPr>
            <w:tcW w:w="1144" w:type="dxa"/>
            <w:shd w:val="clear" w:color="auto" w:fill="C6D9F1" w:themeFill="text2" w:themeFillTint="33"/>
          </w:tcPr>
          <w:p w14:paraId="27FC706D" w14:textId="24DC89C8" w:rsidR="004B77EF" w:rsidRPr="003F0FC1" w:rsidRDefault="004B77EF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4B77EF" w:rsidRPr="003F0FC1" w14:paraId="6C58824B" w14:textId="77777777" w:rsidTr="00B667FA">
        <w:trPr>
          <w:trHeight w:val="295"/>
        </w:trPr>
        <w:tc>
          <w:tcPr>
            <w:tcW w:w="983" w:type="dxa"/>
            <w:shd w:val="clear" w:color="auto" w:fill="C6D9F1" w:themeFill="text2" w:themeFillTint="33"/>
          </w:tcPr>
          <w:p w14:paraId="0A15C8F3" w14:textId="0FD44036" w:rsidR="004B77EF" w:rsidRPr="003F0FC1" w:rsidRDefault="004B77EF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</w:tcPr>
          <w:p w14:paraId="00CAD831" w14:textId="6C7F97D3" w:rsidR="004B77EF" w:rsidRPr="003F0FC1" w:rsidRDefault="004B77EF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8.7.2.1</w:t>
            </w:r>
          </w:p>
        </w:tc>
        <w:tc>
          <w:tcPr>
            <w:tcW w:w="4410" w:type="dxa"/>
            <w:shd w:val="clear" w:color="auto" w:fill="C6D9F1" w:themeFill="text2" w:themeFillTint="33"/>
          </w:tcPr>
          <w:p w14:paraId="00D46EFA" w14:textId="5795AF59" w:rsidR="004B77EF" w:rsidRPr="003F0FC1" w:rsidRDefault="004B77EF" w:rsidP="00B667FA">
            <w:pPr>
              <w:pStyle w:val="BodyText"/>
              <w:rPr>
                <w:lang w:eastAsia="de-DE"/>
              </w:rPr>
            </w:pPr>
            <w:r w:rsidRPr="004B77EF">
              <w:rPr>
                <w:lang w:eastAsia="de-DE"/>
              </w:rPr>
              <w:t>Draft Guideline on Cyber Security (ENG WG1 WG2 Edits) (ENG18-13.0.1.1)</w:t>
            </w:r>
          </w:p>
        </w:tc>
        <w:tc>
          <w:tcPr>
            <w:tcW w:w="2065" w:type="dxa"/>
            <w:shd w:val="clear" w:color="auto" w:fill="C6D9F1" w:themeFill="text2" w:themeFillTint="33"/>
          </w:tcPr>
          <w:p w14:paraId="70B20F83" w14:textId="016489D8" w:rsidR="004B77EF" w:rsidRPr="003F0FC1" w:rsidRDefault="004B77EF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</w:t>
            </w:r>
          </w:p>
        </w:tc>
        <w:tc>
          <w:tcPr>
            <w:tcW w:w="1144" w:type="dxa"/>
            <w:shd w:val="clear" w:color="auto" w:fill="C6D9F1" w:themeFill="text2" w:themeFillTint="33"/>
          </w:tcPr>
          <w:p w14:paraId="7A09FDBF" w14:textId="77BAE25B" w:rsidR="004B77EF" w:rsidRPr="003F0FC1" w:rsidRDefault="004B77EF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B667FA" w:rsidRPr="003F0FC1" w14:paraId="611DE29F" w14:textId="77777777" w:rsidTr="00B667FA">
        <w:trPr>
          <w:trHeight w:val="295"/>
        </w:trPr>
        <w:tc>
          <w:tcPr>
            <w:tcW w:w="983" w:type="dxa"/>
            <w:shd w:val="clear" w:color="auto" w:fill="C6D9F1" w:themeFill="text2" w:themeFillTint="33"/>
          </w:tcPr>
          <w:p w14:paraId="62F42C77" w14:textId="309FF640" w:rsidR="00B667FA" w:rsidRPr="003F0FC1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ARM18-</w:t>
            </w:r>
          </w:p>
        </w:tc>
        <w:tc>
          <w:tcPr>
            <w:tcW w:w="1169" w:type="dxa"/>
            <w:shd w:val="clear" w:color="auto" w:fill="C6D9F1" w:themeFill="text2" w:themeFillTint="33"/>
          </w:tcPr>
          <w:p w14:paraId="4C5AC8F7" w14:textId="5C3F8E63" w:rsidR="00B667FA" w:rsidRPr="003F0FC1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9.1.1</w:t>
            </w:r>
          </w:p>
        </w:tc>
        <w:tc>
          <w:tcPr>
            <w:tcW w:w="4410" w:type="dxa"/>
            <w:shd w:val="clear" w:color="auto" w:fill="C6D9F1" w:themeFill="text2" w:themeFillTint="33"/>
          </w:tcPr>
          <w:p w14:paraId="51DC8F9C" w14:textId="06EFFA8B" w:rsidR="00B667FA" w:rsidRPr="003407C7" w:rsidRDefault="00B667FA" w:rsidP="00B667FA">
            <w:pPr>
              <w:pStyle w:val="BodyText"/>
              <w:rPr>
                <w:lang w:eastAsia="de-DE"/>
              </w:rPr>
            </w:pPr>
            <w:bookmarkStart w:id="0" w:name="_Hlk163076588"/>
            <w:r w:rsidRPr="003407C7">
              <w:rPr>
                <w:lang w:eastAsia="de-DE"/>
              </w:rPr>
              <w:t>Risk Maturity Model For The Maritime Authorities</w:t>
            </w:r>
            <w:bookmarkEnd w:id="0"/>
          </w:p>
        </w:tc>
        <w:tc>
          <w:tcPr>
            <w:tcW w:w="2065" w:type="dxa"/>
            <w:shd w:val="clear" w:color="auto" w:fill="C6D9F1" w:themeFill="text2" w:themeFillTint="33"/>
          </w:tcPr>
          <w:p w14:paraId="157E3262" w14:textId="23F4D761" w:rsidR="00B667FA" w:rsidRPr="003F0FC1" w:rsidRDefault="00B667FA" w:rsidP="00B667FA">
            <w:pPr>
              <w:pStyle w:val="BodyText"/>
              <w:rPr>
                <w:lang w:eastAsia="de-DE"/>
              </w:rPr>
            </w:pPr>
            <w:r w:rsidRPr="00AD7D46">
              <w:rPr>
                <w:lang w:eastAsia="de-DE"/>
              </w:rPr>
              <w:t>Finnish Transport and Communications Agency</w:t>
            </w:r>
          </w:p>
        </w:tc>
        <w:tc>
          <w:tcPr>
            <w:tcW w:w="1144" w:type="dxa"/>
            <w:shd w:val="clear" w:color="auto" w:fill="C6D9F1" w:themeFill="text2" w:themeFillTint="33"/>
          </w:tcPr>
          <w:p w14:paraId="255FA3DC" w14:textId="785BDA36" w:rsidR="00B667FA" w:rsidRPr="003F0FC1" w:rsidRDefault="00B667FA" w:rsidP="00B667F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</w:tbl>
    <w:p w14:paraId="289E2B72" w14:textId="77777777" w:rsidR="003F0FC1" w:rsidRPr="000C390D" w:rsidRDefault="003F0FC1" w:rsidP="00032C3C">
      <w:pPr>
        <w:pStyle w:val="BodyText"/>
        <w:rPr>
          <w:lang w:eastAsia="de-DE"/>
        </w:rPr>
      </w:pPr>
    </w:p>
    <w:sectPr w:rsidR="003F0FC1" w:rsidRPr="000C390D" w:rsidSect="00CE073F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884C3" w14:textId="77777777" w:rsidR="00CE073F" w:rsidRDefault="00CE073F" w:rsidP="00362CD9">
      <w:r>
        <w:separator/>
      </w:r>
    </w:p>
  </w:endnote>
  <w:endnote w:type="continuationSeparator" w:id="0">
    <w:p w14:paraId="03C75114" w14:textId="77777777" w:rsidR="00CE073F" w:rsidRDefault="00CE073F" w:rsidP="00362CD9">
      <w:r>
        <w:continuationSeparator/>
      </w:r>
    </w:p>
  </w:endnote>
  <w:endnote w:type="continuationNotice" w:id="1">
    <w:p w14:paraId="4E9DAFD6" w14:textId="77777777" w:rsidR="00CE073F" w:rsidRDefault="00CE07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Microsoft Sans Serif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C4F3" w14:textId="77777777" w:rsidR="00CE073F" w:rsidRDefault="00CE073F" w:rsidP="00362CD9">
      <w:r>
        <w:separator/>
      </w:r>
    </w:p>
  </w:footnote>
  <w:footnote w:type="continuationSeparator" w:id="0">
    <w:p w14:paraId="470E331E" w14:textId="77777777" w:rsidR="00CE073F" w:rsidRDefault="00CE073F" w:rsidP="00362CD9">
      <w:r>
        <w:continuationSeparator/>
      </w:r>
    </w:p>
  </w:footnote>
  <w:footnote w:type="continuationNotice" w:id="1">
    <w:p w14:paraId="583BD158" w14:textId="77777777" w:rsidR="00CE073F" w:rsidRDefault="00CE07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628F" w14:textId="77777777" w:rsidR="00562518" w:rsidRDefault="008221A2" w:rsidP="00FC1723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2AA5">
      <w:rPr>
        <w:rFonts w:ascii="Calibri" w:hAnsi="Calibri"/>
      </w:rPr>
      <w:t>ARM1</w:t>
    </w:r>
    <w:r w:rsidR="00AC1976">
      <w:rPr>
        <w:rFonts w:ascii="Calibri" w:hAnsi="Calibri"/>
      </w:rPr>
      <w:t>8</w:t>
    </w:r>
    <w:r>
      <w:rPr>
        <w:rFonts w:ascii="Calibri" w:hAnsi="Calibri"/>
      </w:rPr>
      <w:t>-</w:t>
    </w:r>
    <w:r w:rsidR="00305BD3">
      <w:rPr>
        <w:rFonts w:ascii="Calibri" w:hAnsi="Calibri"/>
      </w:rPr>
      <w:t>6</w:t>
    </w:r>
    <w:r>
      <w:rPr>
        <w:rFonts w:ascii="Calibri" w:hAnsi="Calibri"/>
      </w:rPr>
      <w:t>.1.1</w:t>
    </w:r>
  </w:p>
  <w:p w14:paraId="0DFD5C55" w14:textId="21693B9A" w:rsidR="008221A2" w:rsidRPr="008221A2" w:rsidRDefault="00110A8B" w:rsidP="00FC1723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</w:rPr>
      <w:t>14</w:t>
    </w:r>
    <w:r w:rsidR="00562518">
      <w:rPr>
        <w:rFonts w:ascii="Calibri" w:hAnsi="Calibri"/>
      </w:rPr>
      <w:t>/04/24</w:t>
    </w:r>
    <w:r w:rsidR="008221A2">
      <w:rPr>
        <w:rFonts w:ascii="Calibri" w:hAnsi="Calibri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1489410">
    <w:abstractNumId w:val="19"/>
  </w:num>
  <w:num w:numId="2" w16cid:durableId="2072846301">
    <w:abstractNumId w:val="15"/>
  </w:num>
  <w:num w:numId="3" w16cid:durableId="737702248">
    <w:abstractNumId w:val="2"/>
  </w:num>
  <w:num w:numId="4" w16cid:durableId="1361737625">
    <w:abstractNumId w:val="22"/>
  </w:num>
  <w:num w:numId="5" w16cid:durableId="1811088680">
    <w:abstractNumId w:val="11"/>
  </w:num>
  <w:num w:numId="6" w16cid:durableId="1600942840">
    <w:abstractNumId w:val="8"/>
  </w:num>
  <w:num w:numId="7" w16cid:durableId="779422334">
    <w:abstractNumId w:val="17"/>
  </w:num>
  <w:num w:numId="8" w16cid:durableId="1179152959">
    <w:abstractNumId w:val="16"/>
  </w:num>
  <w:num w:numId="9" w16cid:durableId="1213495104">
    <w:abstractNumId w:val="21"/>
  </w:num>
  <w:num w:numId="10" w16cid:durableId="1026784363">
    <w:abstractNumId w:val="6"/>
  </w:num>
  <w:num w:numId="11" w16cid:durableId="1790120374">
    <w:abstractNumId w:val="18"/>
  </w:num>
  <w:num w:numId="12" w16cid:durableId="1066535703">
    <w:abstractNumId w:val="13"/>
  </w:num>
  <w:num w:numId="13" w16cid:durableId="530151342">
    <w:abstractNumId w:val="12"/>
  </w:num>
  <w:num w:numId="14" w16cid:durableId="1171261959">
    <w:abstractNumId w:val="4"/>
  </w:num>
  <w:num w:numId="15" w16cid:durableId="1358505014">
    <w:abstractNumId w:val="14"/>
  </w:num>
  <w:num w:numId="16" w16cid:durableId="917128718">
    <w:abstractNumId w:val="0"/>
  </w:num>
  <w:num w:numId="17" w16cid:durableId="838886231">
    <w:abstractNumId w:val="20"/>
  </w:num>
  <w:num w:numId="18" w16cid:durableId="376784719">
    <w:abstractNumId w:val="5"/>
  </w:num>
  <w:num w:numId="19" w16cid:durableId="1739933471">
    <w:abstractNumId w:val="9"/>
  </w:num>
  <w:num w:numId="20" w16cid:durableId="532809135">
    <w:abstractNumId w:val="3"/>
  </w:num>
  <w:num w:numId="21" w16cid:durableId="1187331610">
    <w:abstractNumId w:val="7"/>
  </w:num>
  <w:num w:numId="22" w16cid:durableId="2039354741">
    <w:abstractNumId w:val="4"/>
  </w:num>
  <w:num w:numId="23" w16cid:durableId="1859195696">
    <w:abstractNumId w:val="4"/>
  </w:num>
  <w:num w:numId="24" w16cid:durableId="1673795226">
    <w:abstractNumId w:val="4"/>
  </w:num>
  <w:num w:numId="25" w16cid:durableId="1100487853">
    <w:abstractNumId w:val="4"/>
  </w:num>
  <w:num w:numId="26" w16cid:durableId="589656553">
    <w:abstractNumId w:val="4"/>
  </w:num>
  <w:num w:numId="27" w16cid:durableId="1944143327">
    <w:abstractNumId w:val="4"/>
  </w:num>
  <w:num w:numId="28" w16cid:durableId="247422695">
    <w:abstractNumId w:val="10"/>
  </w:num>
  <w:num w:numId="29" w16cid:durableId="290672013">
    <w:abstractNumId w:val="4"/>
  </w:num>
  <w:num w:numId="30" w16cid:durableId="688415637">
    <w:abstractNumId w:val="1"/>
  </w:num>
  <w:num w:numId="31" w16cid:durableId="1419987272">
    <w:abstractNumId w:val="4"/>
  </w:num>
  <w:num w:numId="32" w16cid:durableId="29451909">
    <w:abstractNumId w:val="4"/>
  </w:num>
  <w:num w:numId="33" w16cid:durableId="859708791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8A1"/>
    <w:rsid w:val="000049D8"/>
    <w:rsid w:val="00004E2D"/>
    <w:rsid w:val="0001003A"/>
    <w:rsid w:val="00010AC9"/>
    <w:rsid w:val="000112ED"/>
    <w:rsid w:val="00016250"/>
    <w:rsid w:val="00022BB1"/>
    <w:rsid w:val="00025E48"/>
    <w:rsid w:val="00027674"/>
    <w:rsid w:val="00030AAB"/>
    <w:rsid w:val="00032C3C"/>
    <w:rsid w:val="00036B9E"/>
    <w:rsid w:val="00037DF4"/>
    <w:rsid w:val="000432D0"/>
    <w:rsid w:val="00046887"/>
    <w:rsid w:val="0004700E"/>
    <w:rsid w:val="00050B4F"/>
    <w:rsid w:val="0005655D"/>
    <w:rsid w:val="00060A64"/>
    <w:rsid w:val="00062283"/>
    <w:rsid w:val="00062A4E"/>
    <w:rsid w:val="00070C13"/>
    <w:rsid w:val="000715C9"/>
    <w:rsid w:val="000730BC"/>
    <w:rsid w:val="0007327A"/>
    <w:rsid w:val="000800D4"/>
    <w:rsid w:val="00082F1F"/>
    <w:rsid w:val="00083267"/>
    <w:rsid w:val="00084F33"/>
    <w:rsid w:val="00087A84"/>
    <w:rsid w:val="000904DC"/>
    <w:rsid w:val="00093C8F"/>
    <w:rsid w:val="00095573"/>
    <w:rsid w:val="000A1C2F"/>
    <w:rsid w:val="000A509F"/>
    <w:rsid w:val="000A77A7"/>
    <w:rsid w:val="000B1707"/>
    <w:rsid w:val="000B3BD0"/>
    <w:rsid w:val="000C0AAB"/>
    <w:rsid w:val="000C1B3E"/>
    <w:rsid w:val="000C390D"/>
    <w:rsid w:val="000C3D6C"/>
    <w:rsid w:val="000C4CB7"/>
    <w:rsid w:val="000C6F3A"/>
    <w:rsid w:val="000D299D"/>
    <w:rsid w:val="000D5C5F"/>
    <w:rsid w:val="000D7103"/>
    <w:rsid w:val="000E03A2"/>
    <w:rsid w:val="000E1ABA"/>
    <w:rsid w:val="000E2294"/>
    <w:rsid w:val="000E484F"/>
    <w:rsid w:val="000E7F7A"/>
    <w:rsid w:val="000F36A7"/>
    <w:rsid w:val="000F56E3"/>
    <w:rsid w:val="000F73D4"/>
    <w:rsid w:val="00102052"/>
    <w:rsid w:val="00102312"/>
    <w:rsid w:val="00110A8B"/>
    <w:rsid w:val="00110AE7"/>
    <w:rsid w:val="0011534B"/>
    <w:rsid w:val="00130589"/>
    <w:rsid w:val="00135BCD"/>
    <w:rsid w:val="0013638C"/>
    <w:rsid w:val="00137421"/>
    <w:rsid w:val="00141F6F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82665"/>
    <w:rsid w:val="001920C1"/>
    <w:rsid w:val="001922CE"/>
    <w:rsid w:val="00196492"/>
    <w:rsid w:val="001A5C93"/>
    <w:rsid w:val="001A5E44"/>
    <w:rsid w:val="001B2A2D"/>
    <w:rsid w:val="001B572E"/>
    <w:rsid w:val="001B620A"/>
    <w:rsid w:val="001B737D"/>
    <w:rsid w:val="001B7521"/>
    <w:rsid w:val="001C44A3"/>
    <w:rsid w:val="001D4DDB"/>
    <w:rsid w:val="001D692F"/>
    <w:rsid w:val="001E0E15"/>
    <w:rsid w:val="001E19F1"/>
    <w:rsid w:val="001E26C8"/>
    <w:rsid w:val="001E6029"/>
    <w:rsid w:val="001F00E7"/>
    <w:rsid w:val="001F0701"/>
    <w:rsid w:val="001F2A62"/>
    <w:rsid w:val="001F3B6D"/>
    <w:rsid w:val="001F528A"/>
    <w:rsid w:val="001F704E"/>
    <w:rsid w:val="00201722"/>
    <w:rsid w:val="00201966"/>
    <w:rsid w:val="00203DA4"/>
    <w:rsid w:val="002125B0"/>
    <w:rsid w:val="00217E71"/>
    <w:rsid w:val="00220659"/>
    <w:rsid w:val="00230266"/>
    <w:rsid w:val="00235B69"/>
    <w:rsid w:val="0023698F"/>
    <w:rsid w:val="00243228"/>
    <w:rsid w:val="00251483"/>
    <w:rsid w:val="002534B3"/>
    <w:rsid w:val="00255CAA"/>
    <w:rsid w:val="00263248"/>
    <w:rsid w:val="00264305"/>
    <w:rsid w:val="00267941"/>
    <w:rsid w:val="002709A4"/>
    <w:rsid w:val="00272813"/>
    <w:rsid w:val="0028222F"/>
    <w:rsid w:val="002827B9"/>
    <w:rsid w:val="00283EBC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55CC"/>
    <w:rsid w:val="002E6B74"/>
    <w:rsid w:val="002E6FCA"/>
    <w:rsid w:val="002E7740"/>
    <w:rsid w:val="00302470"/>
    <w:rsid w:val="00305BD3"/>
    <w:rsid w:val="00306D5F"/>
    <w:rsid w:val="0031014A"/>
    <w:rsid w:val="003171BC"/>
    <w:rsid w:val="00321ABF"/>
    <w:rsid w:val="00321F61"/>
    <w:rsid w:val="0032247F"/>
    <w:rsid w:val="003374D2"/>
    <w:rsid w:val="003375D9"/>
    <w:rsid w:val="003407C7"/>
    <w:rsid w:val="00343F4C"/>
    <w:rsid w:val="003464B5"/>
    <w:rsid w:val="00346972"/>
    <w:rsid w:val="00354870"/>
    <w:rsid w:val="00356CD0"/>
    <w:rsid w:val="00361D05"/>
    <w:rsid w:val="00362CD9"/>
    <w:rsid w:val="00364448"/>
    <w:rsid w:val="00364AD1"/>
    <w:rsid w:val="00364C58"/>
    <w:rsid w:val="003761CA"/>
    <w:rsid w:val="003769F0"/>
    <w:rsid w:val="00377E0A"/>
    <w:rsid w:val="00380DAF"/>
    <w:rsid w:val="00385BA0"/>
    <w:rsid w:val="00387F84"/>
    <w:rsid w:val="00391468"/>
    <w:rsid w:val="00392E07"/>
    <w:rsid w:val="003939BA"/>
    <w:rsid w:val="00394FCE"/>
    <w:rsid w:val="00395336"/>
    <w:rsid w:val="003972CE"/>
    <w:rsid w:val="003A431D"/>
    <w:rsid w:val="003A4E95"/>
    <w:rsid w:val="003A7F46"/>
    <w:rsid w:val="003B28F5"/>
    <w:rsid w:val="003B7B7D"/>
    <w:rsid w:val="003C54CB"/>
    <w:rsid w:val="003C7A2A"/>
    <w:rsid w:val="003D2DC1"/>
    <w:rsid w:val="003D407C"/>
    <w:rsid w:val="003D69D0"/>
    <w:rsid w:val="003D7DE3"/>
    <w:rsid w:val="003E5C6D"/>
    <w:rsid w:val="003E64A1"/>
    <w:rsid w:val="003E6583"/>
    <w:rsid w:val="003F0FC1"/>
    <w:rsid w:val="003F1F6B"/>
    <w:rsid w:val="003F2918"/>
    <w:rsid w:val="003F430E"/>
    <w:rsid w:val="003F4651"/>
    <w:rsid w:val="00400C64"/>
    <w:rsid w:val="0040324C"/>
    <w:rsid w:val="0041088C"/>
    <w:rsid w:val="00415232"/>
    <w:rsid w:val="00417AD5"/>
    <w:rsid w:val="00420A38"/>
    <w:rsid w:val="00420EAB"/>
    <w:rsid w:val="004227C5"/>
    <w:rsid w:val="00423C27"/>
    <w:rsid w:val="00431B19"/>
    <w:rsid w:val="00435AEC"/>
    <w:rsid w:val="004369B6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93978"/>
    <w:rsid w:val="00493E43"/>
    <w:rsid w:val="004A0BBE"/>
    <w:rsid w:val="004A1C8C"/>
    <w:rsid w:val="004B27BB"/>
    <w:rsid w:val="004B77EF"/>
    <w:rsid w:val="004C2CAD"/>
    <w:rsid w:val="004D1D85"/>
    <w:rsid w:val="004D3C3A"/>
    <w:rsid w:val="004D6B41"/>
    <w:rsid w:val="004D6E63"/>
    <w:rsid w:val="004E1CD1"/>
    <w:rsid w:val="004F0A7B"/>
    <w:rsid w:val="004F3C65"/>
    <w:rsid w:val="004F4A3E"/>
    <w:rsid w:val="004F5129"/>
    <w:rsid w:val="004F5E28"/>
    <w:rsid w:val="00501D51"/>
    <w:rsid w:val="00502E73"/>
    <w:rsid w:val="00506D6F"/>
    <w:rsid w:val="005101F4"/>
    <w:rsid w:val="005107EB"/>
    <w:rsid w:val="0051142F"/>
    <w:rsid w:val="00521345"/>
    <w:rsid w:val="00526DF0"/>
    <w:rsid w:val="00542C3E"/>
    <w:rsid w:val="00545CC4"/>
    <w:rsid w:val="005469C8"/>
    <w:rsid w:val="00547350"/>
    <w:rsid w:val="00547933"/>
    <w:rsid w:val="00547D1F"/>
    <w:rsid w:val="00551FFF"/>
    <w:rsid w:val="005607A2"/>
    <w:rsid w:val="005617F3"/>
    <w:rsid w:val="00562518"/>
    <w:rsid w:val="00565595"/>
    <w:rsid w:val="00567D89"/>
    <w:rsid w:val="0057198B"/>
    <w:rsid w:val="00573CFE"/>
    <w:rsid w:val="00577171"/>
    <w:rsid w:val="005877E0"/>
    <w:rsid w:val="00594B35"/>
    <w:rsid w:val="0059551E"/>
    <w:rsid w:val="005964A9"/>
    <w:rsid w:val="005969F2"/>
    <w:rsid w:val="00597FAE"/>
    <w:rsid w:val="005A67BD"/>
    <w:rsid w:val="005A713A"/>
    <w:rsid w:val="005B32A3"/>
    <w:rsid w:val="005B38BE"/>
    <w:rsid w:val="005C0D44"/>
    <w:rsid w:val="005C566C"/>
    <w:rsid w:val="005C7E69"/>
    <w:rsid w:val="005E262D"/>
    <w:rsid w:val="005E458C"/>
    <w:rsid w:val="005E52C3"/>
    <w:rsid w:val="005F17BE"/>
    <w:rsid w:val="005F1B75"/>
    <w:rsid w:val="005F23D3"/>
    <w:rsid w:val="005F56CF"/>
    <w:rsid w:val="005F7E20"/>
    <w:rsid w:val="00600589"/>
    <w:rsid w:val="00605E43"/>
    <w:rsid w:val="006113EB"/>
    <w:rsid w:val="006153BB"/>
    <w:rsid w:val="00626B2F"/>
    <w:rsid w:val="00630A2D"/>
    <w:rsid w:val="00636E41"/>
    <w:rsid w:val="00642CAC"/>
    <w:rsid w:val="006507EB"/>
    <w:rsid w:val="00654FE2"/>
    <w:rsid w:val="00661661"/>
    <w:rsid w:val="00664A1A"/>
    <w:rsid w:val="006652C3"/>
    <w:rsid w:val="00684E62"/>
    <w:rsid w:val="006878BF"/>
    <w:rsid w:val="00691119"/>
    <w:rsid w:val="0069154B"/>
    <w:rsid w:val="00691FD0"/>
    <w:rsid w:val="00692148"/>
    <w:rsid w:val="00694217"/>
    <w:rsid w:val="00695A7B"/>
    <w:rsid w:val="00695B56"/>
    <w:rsid w:val="006A10AE"/>
    <w:rsid w:val="006A1A1E"/>
    <w:rsid w:val="006A3E0B"/>
    <w:rsid w:val="006A5998"/>
    <w:rsid w:val="006A6428"/>
    <w:rsid w:val="006A65F6"/>
    <w:rsid w:val="006A78D5"/>
    <w:rsid w:val="006B4488"/>
    <w:rsid w:val="006B4820"/>
    <w:rsid w:val="006B684D"/>
    <w:rsid w:val="006C5948"/>
    <w:rsid w:val="006D2199"/>
    <w:rsid w:val="006E6EE3"/>
    <w:rsid w:val="006F2A74"/>
    <w:rsid w:val="0070063C"/>
    <w:rsid w:val="007045F8"/>
    <w:rsid w:val="007118F5"/>
    <w:rsid w:val="00712AA4"/>
    <w:rsid w:val="007146C4"/>
    <w:rsid w:val="00717A6A"/>
    <w:rsid w:val="007206BF"/>
    <w:rsid w:val="00721AA1"/>
    <w:rsid w:val="00724B67"/>
    <w:rsid w:val="007305EB"/>
    <w:rsid w:val="007547F8"/>
    <w:rsid w:val="00756622"/>
    <w:rsid w:val="00762ADD"/>
    <w:rsid w:val="00765622"/>
    <w:rsid w:val="00770B6C"/>
    <w:rsid w:val="007755F5"/>
    <w:rsid w:val="0077644F"/>
    <w:rsid w:val="00777021"/>
    <w:rsid w:val="007822E0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034A"/>
    <w:rsid w:val="007B2193"/>
    <w:rsid w:val="007C346C"/>
    <w:rsid w:val="007D18BF"/>
    <w:rsid w:val="007D4B00"/>
    <w:rsid w:val="007D4FD6"/>
    <w:rsid w:val="007E3F3E"/>
    <w:rsid w:val="007E5C21"/>
    <w:rsid w:val="007E7715"/>
    <w:rsid w:val="007F68B6"/>
    <w:rsid w:val="0080294B"/>
    <w:rsid w:val="0080382A"/>
    <w:rsid w:val="00810E96"/>
    <w:rsid w:val="00812779"/>
    <w:rsid w:val="00816F0A"/>
    <w:rsid w:val="00816F0E"/>
    <w:rsid w:val="008179D8"/>
    <w:rsid w:val="00821222"/>
    <w:rsid w:val="008221A2"/>
    <w:rsid w:val="0082480E"/>
    <w:rsid w:val="00831CE2"/>
    <w:rsid w:val="00850293"/>
    <w:rsid w:val="00851373"/>
    <w:rsid w:val="00851BA6"/>
    <w:rsid w:val="00852B82"/>
    <w:rsid w:val="0085654D"/>
    <w:rsid w:val="008565D7"/>
    <w:rsid w:val="00857F73"/>
    <w:rsid w:val="008602BB"/>
    <w:rsid w:val="00861160"/>
    <w:rsid w:val="008614F5"/>
    <w:rsid w:val="0086654F"/>
    <w:rsid w:val="0086689C"/>
    <w:rsid w:val="0088480D"/>
    <w:rsid w:val="00886421"/>
    <w:rsid w:val="0088701A"/>
    <w:rsid w:val="00890C0A"/>
    <w:rsid w:val="008927DF"/>
    <w:rsid w:val="008933B1"/>
    <w:rsid w:val="00894E97"/>
    <w:rsid w:val="00896F1C"/>
    <w:rsid w:val="008A356F"/>
    <w:rsid w:val="008A3F01"/>
    <w:rsid w:val="008A4653"/>
    <w:rsid w:val="008A4717"/>
    <w:rsid w:val="008A4E02"/>
    <w:rsid w:val="008A50CC"/>
    <w:rsid w:val="008B04BD"/>
    <w:rsid w:val="008B3D60"/>
    <w:rsid w:val="008B4798"/>
    <w:rsid w:val="008B71A4"/>
    <w:rsid w:val="008D1694"/>
    <w:rsid w:val="008D1D16"/>
    <w:rsid w:val="008D5721"/>
    <w:rsid w:val="008D6735"/>
    <w:rsid w:val="008D79CB"/>
    <w:rsid w:val="008E06B8"/>
    <w:rsid w:val="008E204C"/>
    <w:rsid w:val="008E5A9C"/>
    <w:rsid w:val="008F03B1"/>
    <w:rsid w:val="008F07BC"/>
    <w:rsid w:val="008F6733"/>
    <w:rsid w:val="008F765A"/>
    <w:rsid w:val="00900B11"/>
    <w:rsid w:val="0090403E"/>
    <w:rsid w:val="00917A6F"/>
    <w:rsid w:val="00921526"/>
    <w:rsid w:val="00921FED"/>
    <w:rsid w:val="0092692B"/>
    <w:rsid w:val="00927B22"/>
    <w:rsid w:val="00930F90"/>
    <w:rsid w:val="009373DF"/>
    <w:rsid w:val="00943E9C"/>
    <w:rsid w:val="00947074"/>
    <w:rsid w:val="00947773"/>
    <w:rsid w:val="00951923"/>
    <w:rsid w:val="00951BB9"/>
    <w:rsid w:val="00953F4D"/>
    <w:rsid w:val="00954682"/>
    <w:rsid w:val="00955310"/>
    <w:rsid w:val="00955765"/>
    <w:rsid w:val="009559B8"/>
    <w:rsid w:val="00960B53"/>
    <w:rsid w:val="00960BB8"/>
    <w:rsid w:val="00964F5C"/>
    <w:rsid w:val="009740D0"/>
    <w:rsid w:val="00976184"/>
    <w:rsid w:val="00976E19"/>
    <w:rsid w:val="009831C0"/>
    <w:rsid w:val="0099161D"/>
    <w:rsid w:val="00997E53"/>
    <w:rsid w:val="009A3528"/>
    <w:rsid w:val="009A4D5C"/>
    <w:rsid w:val="009B51B4"/>
    <w:rsid w:val="009C0FED"/>
    <w:rsid w:val="009C2C49"/>
    <w:rsid w:val="009C3631"/>
    <w:rsid w:val="009D37D6"/>
    <w:rsid w:val="009E0A34"/>
    <w:rsid w:val="009E118A"/>
    <w:rsid w:val="009E7C7C"/>
    <w:rsid w:val="009F01CD"/>
    <w:rsid w:val="009F0731"/>
    <w:rsid w:val="009F1F0E"/>
    <w:rsid w:val="009F3E32"/>
    <w:rsid w:val="00A0389B"/>
    <w:rsid w:val="00A070E9"/>
    <w:rsid w:val="00A212DB"/>
    <w:rsid w:val="00A215AD"/>
    <w:rsid w:val="00A24526"/>
    <w:rsid w:val="00A26A3D"/>
    <w:rsid w:val="00A32467"/>
    <w:rsid w:val="00A32C30"/>
    <w:rsid w:val="00A33AE9"/>
    <w:rsid w:val="00A34B6F"/>
    <w:rsid w:val="00A40C9F"/>
    <w:rsid w:val="00A442D4"/>
    <w:rsid w:val="00A446C9"/>
    <w:rsid w:val="00A44CC4"/>
    <w:rsid w:val="00A44FD3"/>
    <w:rsid w:val="00A5265A"/>
    <w:rsid w:val="00A533F1"/>
    <w:rsid w:val="00A54024"/>
    <w:rsid w:val="00A635D6"/>
    <w:rsid w:val="00A72018"/>
    <w:rsid w:val="00A72837"/>
    <w:rsid w:val="00A73A77"/>
    <w:rsid w:val="00A8553A"/>
    <w:rsid w:val="00A91DB3"/>
    <w:rsid w:val="00A93AED"/>
    <w:rsid w:val="00A94999"/>
    <w:rsid w:val="00AA2791"/>
    <w:rsid w:val="00AA5F67"/>
    <w:rsid w:val="00AA7E84"/>
    <w:rsid w:val="00AA7F5C"/>
    <w:rsid w:val="00AB4316"/>
    <w:rsid w:val="00AC1976"/>
    <w:rsid w:val="00AD7D46"/>
    <w:rsid w:val="00AE1319"/>
    <w:rsid w:val="00AE34BB"/>
    <w:rsid w:val="00AE4B71"/>
    <w:rsid w:val="00AE5F9C"/>
    <w:rsid w:val="00AE678B"/>
    <w:rsid w:val="00AF67EA"/>
    <w:rsid w:val="00B015E6"/>
    <w:rsid w:val="00B027E0"/>
    <w:rsid w:val="00B02F7C"/>
    <w:rsid w:val="00B04683"/>
    <w:rsid w:val="00B10801"/>
    <w:rsid w:val="00B12644"/>
    <w:rsid w:val="00B14187"/>
    <w:rsid w:val="00B21E6D"/>
    <w:rsid w:val="00B226F2"/>
    <w:rsid w:val="00B258ED"/>
    <w:rsid w:val="00B266A0"/>
    <w:rsid w:val="00B274DF"/>
    <w:rsid w:val="00B327FC"/>
    <w:rsid w:val="00B37E69"/>
    <w:rsid w:val="00B41ED5"/>
    <w:rsid w:val="00B53A1B"/>
    <w:rsid w:val="00B55EB0"/>
    <w:rsid w:val="00B56B31"/>
    <w:rsid w:val="00B56BDF"/>
    <w:rsid w:val="00B62AA5"/>
    <w:rsid w:val="00B62E89"/>
    <w:rsid w:val="00B6348F"/>
    <w:rsid w:val="00B65812"/>
    <w:rsid w:val="00B667FA"/>
    <w:rsid w:val="00B70CFB"/>
    <w:rsid w:val="00B734BE"/>
    <w:rsid w:val="00B778CF"/>
    <w:rsid w:val="00B8034B"/>
    <w:rsid w:val="00B805FE"/>
    <w:rsid w:val="00B80970"/>
    <w:rsid w:val="00B81874"/>
    <w:rsid w:val="00B85CD6"/>
    <w:rsid w:val="00B873EA"/>
    <w:rsid w:val="00B8776B"/>
    <w:rsid w:val="00B90A27"/>
    <w:rsid w:val="00B90C13"/>
    <w:rsid w:val="00B9554D"/>
    <w:rsid w:val="00B96497"/>
    <w:rsid w:val="00BA2989"/>
    <w:rsid w:val="00BA7FB2"/>
    <w:rsid w:val="00BB2B9F"/>
    <w:rsid w:val="00BB5F18"/>
    <w:rsid w:val="00BB7D9E"/>
    <w:rsid w:val="00BC2334"/>
    <w:rsid w:val="00BD389B"/>
    <w:rsid w:val="00BD3CB8"/>
    <w:rsid w:val="00BD4B0D"/>
    <w:rsid w:val="00BD4E6F"/>
    <w:rsid w:val="00BF1103"/>
    <w:rsid w:val="00BF32F0"/>
    <w:rsid w:val="00BF3ADC"/>
    <w:rsid w:val="00BF4011"/>
    <w:rsid w:val="00BF4DCE"/>
    <w:rsid w:val="00BF5894"/>
    <w:rsid w:val="00BF771E"/>
    <w:rsid w:val="00C00BB8"/>
    <w:rsid w:val="00C02D0E"/>
    <w:rsid w:val="00C05CE5"/>
    <w:rsid w:val="00C0600A"/>
    <w:rsid w:val="00C109BC"/>
    <w:rsid w:val="00C20417"/>
    <w:rsid w:val="00C21618"/>
    <w:rsid w:val="00C21722"/>
    <w:rsid w:val="00C34C24"/>
    <w:rsid w:val="00C37425"/>
    <w:rsid w:val="00C37EE8"/>
    <w:rsid w:val="00C40C21"/>
    <w:rsid w:val="00C457E4"/>
    <w:rsid w:val="00C461CC"/>
    <w:rsid w:val="00C4688F"/>
    <w:rsid w:val="00C52FAC"/>
    <w:rsid w:val="00C6171E"/>
    <w:rsid w:val="00C64133"/>
    <w:rsid w:val="00C704FC"/>
    <w:rsid w:val="00C85C09"/>
    <w:rsid w:val="00C94300"/>
    <w:rsid w:val="00C94553"/>
    <w:rsid w:val="00C948FC"/>
    <w:rsid w:val="00CA6966"/>
    <w:rsid w:val="00CA6F2C"/>
    <w:rsid w:val="00CC0831"/>
    <w:rsid w:val="00CC21CA"/>
    <w:rsid w:val="00CC244E"/>
    <w:rsid w:val="00CC67DB"/>
    <w:rsid w:val="00CE073F"/>
    <w:rsid w:val="00CE1C7E"/>
    <w:rsid w:val="00CE63B2"/>
    <w:rsid w:val="00CE6449"/>
    <w:rsid w:val="00CE756C"/>
    <w:rsid w:val="00CF1871"/>
    <w:rsid w:val="00CF21C3"/>
    <w:rsid w:val="00CF2856"/>
    <w:rsid w:val="00CF7AA2"/>
    <w:rsid w:val="00D019CE"/>
    <w:rsid w:val="00D02C3F"/>
    <w:rsid w:val="00D065AA"/>
    <w:rsid w:val="00D07ECC"/>
    <w:rsid w:val="00D102D6"/>
    <w:rsid w:val="00D1133E"/>
    <w:rsid w:val="00D13A8A"/>
    <w:rsid w:val="00D17A34"/>
    <w:rsid w:val="00D21495"/>
    <w:rsid w:val="00D22FB2"/>
    <w:rsid w:val="00D26628"/>
    <w:rsid w:val="00D332B3"/>
    <w:rsid w:val="00D436DB"/>
    <w:rsid w:val="00D447B4"/>
    <w:rsid w:val="00D55207"/>
    <w:rsid w:val="00D6023F"/>
    <w:rsid w:val="00D641E7"/>
    <w:rsid w:val="00D65064"/>
    <w:rsid w:val="00D81801"/>
    <w:rsid w:val="00D85C13"/>
    <w:rsid w:val="00D900A6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C70DF"/>
    <w:rsid w:val="00DD6E01"/>
    <w:rsid w:val="00DE0572"/>
    <w:rsid w:val="00DE2FEE"/>
    <w:rsid w:val="00DF1C8F"/>
    <w:rsid w:val="00DF1D7F"/>
    <w:rsid w:val="00E00BE9"/>
    <w:rsid w:val="00E0484D"/>
    <w:rsid w:val="00E07AD4"/>
    <w:rsid w:val="00E22A11"/>
    <w:rsid w:val="00E23301"/>
    <w:rsid w:val="00E23926"/>
    <w:rsid w:val="00E31E5C"/>
    <w:rsid w:val="00E355FC"/>
    <w:rsid w:val="00E43A96"/>
    <w:rsid w:val="00E44DD2"/>
    <w:rsid w:val="00E558C3"/>
    <w:rsid w:val="00E55927"/>
    <w:rsid w:val="00E57ED4"/>
    <w:rsid w:val="00E60B3D"/>
    <w:rsid w:val="00E71837"/>
    <w:rsid w:val="00E750DE"/>
    <w:rsid w:val="00E81131"/>
    <w:rsid w:val="00E90842"/>
    <w:rsid w:val="00E912A6"/>
    <w:rsid w:val="00E9478B"/>
    <w:rsid w:val="00E94AA6"/>
    <w:rsid w:val="00EA156B"/>
    <w:rsid w:val="00EA2711"/>
    <w:rsid w:val="00EA4844"/>
    <w:rsid w:val="00EA4D9C"/>
    <w:rsid w:val="00EA5A97"/>
    <w:rsid w:val="00EA5F87"/>
    <w:rsid w:val="00EA7866"/>
    <w:rsid w:val="00EB5479"/>
    <w:rsid w:val="00EB5860"/>
    <w:rsid w:val="00EB6FC3"/>
    <w:rsid w:val="00EB75EE"/>
    <w:rsid w:val="00EC12B9"/>
    <w:rsid w:val="00EC44AE"/>
    <w:rsid w:val="00EE3F37"/>
    <w:rsid w:val="00EE4C1D"/>
    <w:rsid w:val="00EE64E1"/>
    <w:rsid w:val="00EF3685"/>
    <w:rsid w:val="00EF5910"/>
    <w:rsid w:val="00EF76EC"/>
    <w:rsid w:val="00F04350"/>
    <w:rsid w:val="00F04641"/>
    <w:rsid w:val="00F04DA7"/>
    <w:rsid w:val="00F053AB"/>
    <w:rsid w:val="00F12EDF"/>
    <w:rsid w:val="00F133DB"/>
    <w:rsid w:val="00F159EB"/>
    <w:rsid w:val="00F22203"/>
    <w:rsid w:val="00F232DF"/>
    <w:rsid w:val="00F25BF4"/>
    <w:rsid w:val="00F267DB"/>
    <w:rsid w:val="00F33B4B"/>
    <w:rsid w:val="00F43687"/>
    <w:rsid w:val="00F46F6F"/>
    <w:rsid w:val="00F5178E"/>
    <w:rsid w:val="00F60608"/>
    <w:rsid w:val="00F62217"/>
    <w:rsid w:val="00F63625"/>
    <w:rsid w:val="00F707AB"/>
    <w:rsid w:val="00F71FF5"/>
    <w:rsid w:val="00F724DF"/>
    <w:rsid w:val="00F74CF4"/>
    <w:rsid w:val="00F76B0C"/>
    <w:rsid w:val="00F80593"/>
    <w:rsid w:val="00F838F2"/>
    <w:rsid w:val="00F8751B"/>
    <w:rsid w:val="00F87B1E"/>
    <w:rsid w:val="00F971F8"/>
    <w:rsid w:val="00FA4468"/>
    <w:rsid w:val="00FA771D"/>
    <w:rsid w:val="00FB17A9"/>
    <w:rsid w:val="00FB2EAF"/>
    <w:rsid w:val="00FB3327"/>
    <w:rsid w:val="00FB4CC0"/>
    <w:rsid w:val="00FB527C"/>
    <w:rsid w:val="00FB558A"/>
    <w:rsid w:val="00FB6F75"/>
    <w:rsid w:val="00FC0EB3"/>
    <w:rsid w:val="00FC1723"/>
    <w:rsid w:val="00FC294F"/>
    <w:rsid w:val="00FD675E"/>
    <w:rsid w:val="00FD6CF3"/>
    <w:rsid w:val="00FE113A"/>
    <w:rsid w:val="00FE33B7"/>
    <w:rsid w:val="00FE457C"/>
    <w:rsid w:val="00FE5674"/>
    <w:rsid w:val="00FE5E61"/>
    <w:rsid w:val="00FE7CBB"/>
    <w:rsid w:val="00FF25B1"/>
    <w:rsid w:val="00FF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875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4C2ACD-27C3-4C3C-8159-67F164820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23</cp:revision>
  <cp:lastPrinted>2021-09-02T05:25:00Z</cp:lastPrinted>
  <dcterms:created xsi:type="dcterms:W3CDTF">2024-04-04T08:26:00Z</dcterms:created>
  <dcterms:modified xsi:type="dcterms:W3CDTF">2024-04-14T07:56:00Z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