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F86DE" w14:textId="678094BE" w:rsidR="00493DDE" w:rsidRDefault="0008137C">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Fonts w:ascii="Calibri" w:eastAsia="SimSun" w:hAnsi="Calibri" w:hint="eastAsia"/>
          <w:b/>
          <w:bCs/>
          <w:color w:val="00558C"/>
          <w:sz w:val="24"/>
          <w:szCs w:val="24"/>
          <w:lang w:val="en-US" w:eastAsia="zh-CN"/>
        </w:rPr>
        <w:t>ARM</w:t>
      </w:r>
      <w:r>
        <w:rPr>
          <w:rFonts w:ascii="Calibri" w:hAnsi="Calibri"/>
          <w:color w:val="00558C"/>
          <w:sz w:val="24"/>
          <w:szCs w:val="24"/>
        </w:rPr>
        <w:t>-7.6.1</w:t>
      </w:r>
    </w:p>
    <w:p w14:paraId="39AF86DF" w14:textId="77777777" w:rsidR="00493DDE" w:rsidRDefault="00493DDE">
      <w:pPr>
        <w:pStyle w:val="BodyText"/>
        <w:tabs>
          <w:tab w:val="left" w:pos="2835"/>
        </w:tabs>
        <w:rPr>
          <w:rFonts w:ascii="Calibri" w:hAnsi="Calibri"/>
        </w:rPr>
      </w:pPr>
    </w:p>
    <w:p w14:paraId="39AF86E0" w14:textId="77777777" w:rsidR="00493DDE" w:rsidRDefault="0008137C">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39AF86E1" w14:textId="77777777" w:rsidR="00493DDE" w:rsidRDefault="0008137C">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39AF86E2" w14:textId="77777777" w:rsidR="00493DDE" w:rsidRDefault="0008137C">
      <w:pPr>
        <w:pStyle w:val="BodyText"/>
        <w:tabs>
          <w:tab w:val="left" w:pos="1843"/>
        </w:tabs>
        <w:rPr>
          <w:rFonts w:ascii="Calibri" w:hAnsi="Calibri" w:cs="Arial"/>
          <w:b/>
        </w:rPr>
      </w:pPr>
      <w:sdt>
        <w:sdtPr>
          <w:rPr>
            <w:rFonts w:ascii="Calibri" w:hAnsi="Calibri" w:cs="Arial"/>
            <w:b/>
            <w:sz w:val="24"/>
            <w:szCs w:val="24"/>
          </w:rPr>
          <w:id w:val="-2075572951"/>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39AF86E3" w14:textId="77777777" w:rsidR="00493DDE" w:rsidRDefault="0008137C">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w:t>
      </w:r>
      <w:r>
        <w:rPr>
          <w:rFonts w:ascii="Calibri" w:eastAsia="SimSun" w:hAnsi="Calibri" w:cs="Arial" w:hint="eastAsia"/>
          <w:lang w:val="en-US" w:eastAsia="zh-CN"/>
        </w:rPr>
        <w:t>DTEC</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39AF86E4" w14:textId="77777777" w:rsidR="00493DDE" w:rsidRDefault="00493DDE">
      <w:pPr>
        <w:pStyle w:val="BodyText"/>
        <w:tabs>
          <w:tab w:val="left" w:pos="2835"/>
        </w:tabs>
        <w:rPr>
          <w:rFonts w:ascii="Calibri" w:hAnsi="Calibri"/>
        </w:rPr>
      </w:pPr>
    </w:p>
    <w:p w14:paraId="39AF86E5" w14:textId="77777777" w:rsidR="00493DDE" w:rsidRDefault="0008137C">
      <w:pPr>
        <w:pStyle w:val="BodyText"/>
        <w:tabs>
          <w:tab w:val="left" w:pos="2835"/>
        </w:tabs>
        <w:rPr>
          <w:rFonts w:ascii="Calibri" w:eastAsia="SimSun" w:hAnsi="Calibri"/>
          <w:lang w:val="en-US" w:eastAsia="zh-CN"/>
        </w:rPr>
      </w:pPr>
      <w:r>
        <w:rPr>
          <w:rFonts w:ascii="Calibri" w:hAnsi="Calibri"/>
          <w:b/>
          <w:bCs/>
          <w:color w:val="00558C"/>
          <w:sz w:val="24"/>
          <w:szCs w:val="24"/>
        </w:rPr>
        <w:t>Agenda item</w:t>
      </w:r>
      <w:r>
        <w:rPr>
          <w:rFonts w:ascii="Calibri" w:hAnsi="Calibri"/>
        </w:rPr>
        <w:t xml:space="preserve"> </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7</w:t>
      </w:r>
      <w:r>
        <w:rPr>
          <w:rFonts w:ascii="Calibri" w:hAnsi="Calibri"/>
        </w:rPr>
        <w:t>.</w:t>
      </w:r>
      <w:r>
        <w:rPr>
          <w:rFonts w:ascii="Calibri" w:eastAsia="SimSun" w:hAnsi="Calibri" w:hint="eastAsia"/>
          <w:lang w:val="en-US" w:eastAsia="zh-CN"/>
        </w:rPr>
        <w:t>6</w:t>
      </w:r>
    </w:p>
    <w:p w14:paraId="39AF86E6" w14:textId="77777777" w:rsidR="00493DDE" w:rsidRDefault="0008137C">
      <w:pPr>
        <w:pStyle w:val="BodyText"/>
        <w:tabs>
          <w:tab w:val="left" w:pos="2835"/>
        </w:tabs>
        <w:rPr>
          <w:rFonts w:ascii="Calibri" w:eastAsia="SimSun" w:hAnsi="Calibri"/>
          <w:lang w:val="en-US" w:eastAsia="zh-CN"/>
        </w:rPr>
      </w:pPr>
      <w:r>
        <w:rPr>
          <w:rFonts w:ascii="Calibri" w:hAnsi="Calibri"/>
          <w:b/>
          <w:bCs/>
          <w:color w:val="00558C"/>
          <w:sz w:val="24"/>
          <w:szCs w:val="24"/>
        </w:rPr>
        <w:t>Technical domain/ Task number</w:t>
      </w:r>
      <w:r>
        <w:rPr>
          <w:rFonts w:ascii="Calibri" w:hAnsi="Calibri"/>
        </w:rPr>
        <w:t xml:space="preserve"> </w:t>
      </w:r>
      <w:r>
        <w:rPr>
          <w:rFonts w:ascii="Calibri" w:hAnsi="Calibri"/>
        </w:rPr>
        <w:tab/>
      </w:r>
      <w:r>
        <w:rPr>
          <w:rFonts w:ascii="Calibri" w:eastAsia="SimSun" w:hAnsi="Calibri" w:hint="eastAsia"/>
          <w:lang w:val="en-US" w:eastAsia="zh-CN"/>
        </w:rPr>
        <w:t>1.2.9</w:t>
      </w:r>
    </w:p>
    <w:p w14:paraId="39AF86E7" w14:textId="77777777" w:rsidR="00493DDE" w:rsidRDefault="0008137C">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lang w:val="en-US" w:eastAsia="zh-CN"/>
        </w:rPr>
        <w:t>C</w:t>
      </w:r>
      <w:r>
        <w:rPr>
          <w:rFonts w:ascii="Calibri" w:eastAsia="SimSun" w:hAnsi="Calibri" w:hint="eastAsia"/>
          <w:lang w:val="en-US" w:eastAsia="zh-CN"/>
        </w:rPr>
        <w:t>hina MSA</w:t>
      </w:r>
    </w:p>
    <w:p w14:paraId="39AF86E8" w14:textId="77777777" w:rsidR="00493DDE" w:rsidRDefault="0008137C">
      <w:pPr>
        <w:pStyle w:val="BodyText"/>
        <w:tabs>
          <w:tab w:val="left" w:pos="7860"/>
        </w:tabs>
        <w:rPr>
          <w:rFonts w:ascii="Calibri" w:hAnsi="Calibri"/>
        </w:rPr>
      </w:pPr>
      <w:r>
        <w:rPr>
          <w:rFonts w:ascii="Calibri" w:hAnsi="Calibri"/>
        </w:rPr>
        <w:tab/>
      </w:r>
    </w:p>
    <w:p w14:paraId="39AF86E9" w14:textId="77777777" w:rsidR="00493DDE" w:rsidRDefault="0008137C">
      <w:pPr>
        <w:pStyle w:val="Title"/>
      </w:pPr>
      <w:r>
        <w:rPr>
          <w:rFonts w:hint="eastAsia"/>
        </w:rPr>
        <w:t xml:space="preserve">Proposal on the update of terms </w:t>
      </w:r>
      <w:r>
        <w:rPr>
          <w:rFonts w:eastAsia="SimSun" w:hint="eastAsia"/>
          <w:lang w:val="en-US" w:eastAsia="zh-CN"/>
        </w:rPr>
        <w:t>OF</w:t>
      </w:r>
      <w:r>
        <w:rPr>
          <w:rFonts w:hint="eastAsia"/>
        </w:rPr>
        <w:t xml:space="preserve"> NAVGUIDE</w:t>
      </w:r>
      <w:r>
        <w:rPr>
          <w:rFonts w:eastAsia="SimSun" w:hint="eastAsia"/>
          <w:lang w:val="en-US" w:eastAsia="zh-CN"/>
        </w:rPr>
        <w:t xml:space="preserve"> </w:t>
      </w:r>
      <w:r>
        <w:rPr>
          <w:rFonts w:hint="eastAsia"/>
        </w:rPr>
        <w:t xml:space="preserve">and IALA Dictionary </w:t>
      </w:r>
    </w:p>
    <w:p w14:paraId="39AF86EA" w14:textId="77777777" w:rsidR="00493DDE" w:rsidRDefault="0008137C">
      <w:pPr>
        <w:pStyle w:val="Heading1"/>
      </w:pPr>
      <w:r>
        <w:t xml:space="preserve">Summary </w:t>
      </w:r>
    </w:p>
    <w:p w14:paraId="39AF86EB" w14:textId="77777777" w:rsidR="00493DDE" w:rsidRDefault="0008137C">
      <w:pPr>
        <w:pStyle w:val="BodyText"/>
        <w:rPr>
          <w:rFonts w:ascii="Calibri" w:hAnsi="Calibri"/>
        </w:rPr>
      </w:pPr>
      <w:r>
        <w:rPr>
          <w:rFonts w:ascii="Calibri" w:hAnsi="Calibri" w:hint="eastAsia"/>
        </w:rPr>
        <w:t xml:space="preserve">This paper proposes </w:t>
      </w:r>
      <w:r>
        <w:rPr>
          <w:rFonts w:ascii="Calibri" w:eastAsia="SimSun" w:hAnsi="Calibri" w:hint="eastAsia"/>
          <w:lang w:val="en-US" w:eastAsia="zh-CN"/>
        </w:rPr>
        <w:t>updates</w:t>
      </w:r>
      <w:r>
        <w:rPr>
          <w:rFonts w:ascii="Calibri" w:hAnsi="Calibri" w:hint="eastAsia"/>
        </w:rPr>
        <w:t xml:space="preserve"> for </w:t>
      </w:r>
      <w:r>
        <w:rPr>
          <w:rFonts w:ascii="Calibri" w:eastAsia="SimSun" w:hAnsi="Calibri" w:hint="eastAsia"/>
          <w:lang w:val="en-US" w:eastAsia="zh-CN"/>
        </w:rPr>
        <w:t xml:space="preserve">both </w:t>
      </w:r>
      <w:r>
        <w:rPr>
          <w:rFonts w:ascii="Calibri" w:hAnsi="Calibri" w:hint="eastAsia"/>
        </w:rPr>
        <w:t xml:space="preserve">IALA Dictionary </w:t>
      </w:r>
      <w:r>
        <w:rPr>
          <w:rFonts w:ascii="Calibri" w:eastAsia="SimSun" w:hAnsi="Calibri" w:hint="eastAsia"/>
          <w:lang w:val="en-US" w:eastAsia="zh-CN"/>
        </w:rPr>
        <w:t xml:space="preserve">and CHAPTER 2 CONCEPTS AND ACCURACY OF NAVIGATION of NAVGUIDE by comparing the </w:t>
      </w:r>
      <w:r>
        <w:rPr>
          <w:rFonts w:ascii="Calibri" w:hAnsi="Calibri" w:hint="eastAsia"/>
        </w:rPr>
        <w:t>definitions and acronyms</w:t>
      </w:r>
      <w:r>
        <w:rPr>
          <w:rFonts w:ascii="Calibri" w:eastAsia="SimSun" w:hAnsi="Calibri" w:hint="eastAsia"/>
          <w:lang w:val="en-US" w:eastAsia="zh-CN"/>
        </w:rPr>
        <w:t xml:space="preserve"> in the NAVGUIDE with those in the IALA </w:t>
      </w:r>
      <w:r>
        <w:rPr>
          <w:rFonts w:ascii="Calibri" w:hAnsi="Calibri" w:hint="eastAsia"/>
        </w:rPr>
        <w:t>Dictionary</w:t>
      </w:r>
      <w:r>
        <w:rPr>
          <w:rFonts w:ascii="Calibri" w:eastAsia="SimSun" w:hAnsi="Calibri" w:hint="eastAsia"/>
          <w:lang w:val="en-US" w:eastAsia="zh-CN"/>
        </w:rPr>
        <w:t>. China MSA would be willing to undertake the subsequent related work under the instruction of the committee</w:t>
      </w:r>
      <w:r>
        <w:rPr>
          <w:rFonts w:ascii="Calibri" w:hAnsi="Calibri"/>
        </w:rPr>
        <w:t>.</w:t>
      </w:r>
    </w:p>
    <w:p w14:paraId="39AF86EC" w14:textId="77777777" w:rsidR="00493DDE" w:rsidRDefault="0008137C">
      <w:pPr>
        <w:pStyle w:val="Heading2"/>
      </w:pPr>
      <w:r>
        <w:t xml:space="preserve">Purpose of the document </w:t>
      </w:r>
    </w:p>
    <w:p w14:paraId="39AF86ED"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 xml:space="preserve">This paper aims to provide assistance in promoting the revision of NAVGUIDE and the update of IALA </w:t>
      </w:r>
      <w:r>
        <w:rPr>
          <w:rFonts w:ascii="Calibri" w:hAnsi="Calibri" w:hint="eastAsia"/>
        </w:rPr>
        <w:t>Dictionary</w:t>
      </w:r>
      <w:r>
        <w:rPr>
          <w:rFonts w:ascii="Calibri" w:eastAsia="SimSun" w:hAnsi="Calibri" w:hint="eastAsia"/>
          <w:lang w:val="en-US" w:eastAsia="zh-CN"/>
        </w:rPr>
        <w:t>.</w:t>
      </w:r>
    </w:p>
    <w:p w14:paraId="39AF86EE" w14:textId="77777777" w:rsidR="00493DDE" w:rsidRDefault="0008137C">
      <w:pPr>
        <w:pStyle w:val="Heading2"/>
      </w:pPr>
      <w:r>
        <w:t>Related documents</w:t>
      </w:r>
    </w:p>
    <w:p w14:paraId="39AF86EF" w14:textId="77777777" w:rsidR="00493DDE" w:rsidRDefault="0008137C">
      <w:pPr>
        <w:pStyle w:val="BodyText"/>
        <w:rPr>
          <w:rFonts w:ascii="Calibri" w:hAnsi="Calibri"/>
        </w:rPr>
      </w:pPr>
      <w:r>
        <w:rPr>
          <w:rFonts w:ascii="Calibri" w:hAnsi="Calibri" w:hint="eastAsia"/>
        </w:rPr>
        <w:t>[1]IALA-Committee-work-programme-2023-2027NAVGUIDE-2023</w:t>
      </w:r>
    </w:p>
    <w:p w14:paraId="39AF86F0" w14:textId="77777777" w:rsidR="00493DDE" w:rsidRDefault="0008137C">
      <w:pPr>
        <w:pStyle w:val="BodyText"/>
        <w:rPr>
          <w:rFonts w:ascii="Calibri" w:hAnsi="Calibri"/>
        </w:rPr>
      </w:pPr>
      <w:r>
        <w:rPr>
          <w:rFonts w:ascii="Calibri" w:hAnsi="Calibri" w:hint="eastAsia"/>
        </w:rPr>
        <w:t>[2]ARM18-5.1.1 Task Plan 2023-2027</w:t>
      </w:r>
    </w:p>
    <w:p w14:paraId="39AF86F1" w14:textId="77777777" w:rsidR="00493DDE" w:rsidRDefault="0008137C">
      <w:pPr>
        <w:pStyle w:val="BodyText"/>
        <w:rPr>
          <w:rFonts w:ascii="Calibri" w:hAnsi="Calibri"/>
        </w:rPr>
      </w:pPr>
      <w:r>
        <w:rPr>
          <w:rFonts w:ascii="Calibri" w:hAnsi="Calibri" w:hint="eastAsia"/>
        </w:rPr>
        <w:t>[3]ARM18-12.1 Report of ARM18</w:t>
      </w:r>
    </w:p>
    <w:p w14:paraId="39AF86F2" w14:textId="77777777" w:rsidR="00493DDE" w:rsidRDefault="0008137C">
      <w:pPr>
        <w:pStyle w:val="BodyText"/>
        <w:rPr>
          <w:rFonts w:ascii="Calibri" w:hAnsi="Calibri"/>
        </w:rPr>
      </w:pPr>
      <w:r>
        <w:rPr>
          <w:rFonts w:ascii="Calibri" w:hAnsi="Calibri" w:hint="eastAsia"/>
        </w:rPr>
        <w:t>[4]NAVGUIDE-2023</w:t>
      </w:r>
    </w:p>
    <w:p w14:paraId="39AF86F3" w14:textId="77777777" w:rsidR="00493DDE" w:rsidRDefault="0008137C">
      <w:pPr>
        <w:pStyle w:val="Heading1"/>
      </w:pPr>
      <w:r>
        <w:t>Background</w:t>
      </w:r>
    </w:p>
    <w:p w14:paraId="39AF86F4" w14:textId="77777777" w:rsidR="00493DDE" w:rsidRDefault="0008137C">
      <w:pPr>
        <w:pStyle w:val="BodyText"/>
        <w:rPr>
          <w:rFonts w:ascii="Calibri" w:eastAsia="SimSun" w:hAnsi="Calibri"/>
          <w:b/>
          <w:bCs/>
          <w:lang w:val="en-US" w:eastAsia="zh-CN"/>
        </w:rPr>
      </w:pPr>
      <w:r>
        <w:rPr>
          <w:rFonts w:ascii="Calibri" w:hAnsi="Calibri" w:hint="eastAsia"/>
        </w:rPr>
        <w:t>According to the report of ARM18,  work on the NAVGUIDE itself will start during ARM19 and run through ARM</w:t>
      </w:r>
      <w:r>
        <w:rPr>
          <w:rFonts w:ascii="Calibri" w:hAnsi="Calibri" w:hint="eastAsia"/>
        </w:rPr>
        <w:t>‐</w:t>
      </w:r>
      <w:r>
        <w:rPr>
          <w:rFonts w:ascii="Calibri" w:hAnsi="Calibri" w:hint="eastAsia"/>
        </w:rPr>
        <w:t>23. There will be a focus during future ARM meetings to match terms in the NAVGUIDE with those in the IALA Dictionary. To facilitate the revision of NAVGUIDE and the update of IALA Dictionary, China MSA conducted the work on sorting out the difference of terms in the NAVGUIDE with those in the IALA Dictionary</w:t>
      </w:r>
      <w:r>
        <w:rPr>
          <w:rFonts w:ascii="Calibri" w:eastAsia="SimSun" w:hAnsi="Calibri" w:hint="eastAsia"/>
          <w:lang w:val="en-US" w:eastAsia="zh-CN"/>
        </w:rPr>
        <w:t>. And China MSA would like to keep undertaking the subsequent related work under the instruction of the committee and submit the proposed amendments to the committee for consideration.</w:t>
      </w:r>
    </w:p>
    <w:p w14:paraId="39AF86F5" w14:textId="77777777" w:rsidR="00493DDE" w:rsidRDefault="0008137C">
      <w:pPr>
        <w:pStyle w:val="Heading1"/>
      </w:pPr>
      <w:r>
        <w:t>Discussion</w:t>
      </w:r>
    </w:p>
    <w:p w14:paraId="39AF86F6" w14:textId="77777777" w:rsidR="00493DDE" w:rsidRDefault="0008137C">
      <w:pPr>
        <w:pStyle w:val="BodyText"/>
        <w:rPr>
          <w:rFonts w:ascii="Calibri" w:eastAsia="SimSun" w:hAnsi="Calibri"/>
          <w:b/>
          <w:bCs/>
          <w:lang w:val="en-US" w:eastAsia="zh-CN"/>
        </w:rPr>
      </w:pPr>
      <w:r>
        <w:rPr>
          <w:rFonts w:ascii="Calibri" w:eastAsia="SimSun" w:hAnsi="Calibri" w:hint="eastAsia"/>
          <w:lang w:val="en-US" w:eastAsia="zh-CN"/>
        </w:rPr>
        <w:t>B</w:t>
      </w:r>
      <w:r>
        <w:rPr>
          <w:rFonts w:ascii="Calibri" w:hAnsi="Calibri" w:hint="eastAsia"/>
        </w:rPr>
        <w:t>y comparing the definitions and acronyms in the NAVGUIDE with those in the IALA Dictionary</w:t>
      </w:r>
      <w:r>
        <w:rPr>
          <w:rFonts w:ascii="Calibri" w:eastAsia="SimSun" w:hAnsi="Calibri" w:hint="eastAsia"/>
          <w:lang w:val="en-US" w:eastAsia="zh-CN"/>
        </w:rPr>
        <w:t xml:space="preserve">, some proposed amendments are identified as shown in the Annex A and Annex B. </w:t>
      </w:r>
    </w:p>
    <w:p w14:paraId="39AF86F7" w14:textId="77777777" w:rsidR="00493DDE" w:rsidRDefault="0008137C">
      <w:pPr>
        <w:pStyle w:val="Heading2"/>
      </w:pPr>
      <w:r>
        <w:rPr>
          <w:rFonts w:hint="eastAsia"/>
        </w:rPr>
        <w:lastRenderedPageBreak/>
        <w:t>Amended Definitions for navguide 2023</w:t>
      </w:r>
    </w:p>
    <w:p w14:paraId="39AF86F8" w14:textId="77777777" w:rsidR="00493DDE" w:rsidRDefault="0008137C">
      <w:pPr>
        <w:pStyle w:val="BodyText"/>
        <w:suppressAutoHyphens/>
      </w:pPr>
      <w:bookmarkStart w:id="1" w:name="_Hlk59196357"/>
      <w:r>
        <w:rPr>
          <w:rFonts w:hint="eastAsia"/>
        </w:rPr>
        <w:t>For some newly updated definitions of the terms in the IALA Dictionary,</w:t>
      </w:r>
      <w:r>
        <w:rPr>
          <w:rFonts w:eastAsia="SimSun" w:hint="eastAsia"/>
          <w:lang w:val="en-US" w:eastAsia="zh-CN"/>
        </w:rPr>
        <w:t xml:space="preserve"> </w:t>
      </w:r>
      <w:r>
        <w:rPr>
          <w:rFonts w:hint="eastAsia"/>
        </w:rPr>
        <w:t xml:space="preserve">including Absolute Accuracy, it is proposed that the definitions of relevant term in the NAVGUIDE are revised. </w:t>
      </w:r>
    </w:p>
    <w:p w14:paraId="39AF86F9" w14:textId="77777777" w:rsidR="00493DDE" w:rsidRDefault="0008137C">
      <w:pPr>
        <w:pStyle w:val="BodyText"/>
        <w:suppressAutoHyphens/>
      </w:pPr>
      <w:r>
        <w:rPr>
          <w:rFonts w:hint="eastAsia"/>
        </w:rPr>
        <w:t>For the terms originated from the IHO Dictionary, including Highest Astronomical Tide(HAT), it is proposed that the IHO number of those definitions of relevant terms in the NAVGUIDE are revised accordingly to keep consistent with the  definitions from IHO website.</w:t>
      </w:r>
    </w:p>
    <w:p w14:paraId="39AF86FA" w14:textId="77777777" w:rsidR="00493DDE" w:rsidRDefault="0008137C">
      <w:pPr>
        <w:pStyle w:val="BodyText"/>
        <w:suppressAutoHyphens/>
      </w:pPr>
      <w:r>
        <w:rPr>
          <w:rFonts w:hint="eastAsia"/>
        </w:rPr>
        <w:t>For the acronyms that exist in the IALA Dictionary and body text of NAVGUIDE, including HAT, it is proposed that relevant acronyms are added to the table of ABBREVIATIONS in the NAVGUIDE.</w:t>
      </w:r>
    </w:p>
    <w:p w14:paraId="39AF86FB" w14:textId="77777777" w:rsidR="00493DDE" w:rsidRDefault="0008137C">
      <w:pPr>
        <w:pStyle w:val="Heading2"/>
      </w:pPr>
      <w:r>
        <w:rPr>
          <w:rFonts w:hint="eastAsia"/>
        </w:rPr>
        <w:t>Amended Definitions</w:t>
      </w:r>
      <w:r>
        <w:rPr>
          <w:rFonts w:eastAsia="SimSun" w:hint="eastAsia"/>
          <w:lang w:val="en-US" w:eastAsia="zh-CN"/>
        </w:rPr>
        <w:t xml:space="preserve"> for </w:t>
      </w:r>
      <w:r>
        <w:rPr>
          <w:rFonts w:eastAsia="SimSun" w:hint="eastAsia"/>
          <w:lang w:val="en-US" w:eastAsia="zh-CN"/>
        </w:rPr>
        <w:t>IALA Dictionary</w:t>
      </w:r>
    </w:p>
    <w:p w14:paraId="39AF86FC"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 xml:space="preserve">For the inconsistent definition of the term NAVIGATION which is said in the NAVGUIDE that the definition originated from the IALA Dictionary, it is proposed that the definition of the term  in the IALA Dictionary is revised.  </w:t>
      </w:r>
    </w:p>
    <w:p w14:paraId="39AF86FD"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 xml:space="preserve">For other inconsistent definition of the terms, including Predictable Accuracy which stands in the original IALA Dictionary edition (1970-1989), it is proposed that the definition of the terms  in the IALA Dictionary is revised.  </w:t>
      </w:r>
    </w:p>
    <w:p w14:paraId="39AF86FE"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For the term RADIONAVIGATION originated from ITU which stands in the original IALA Dictionary edition (1970-1989), it is proposed that the definition in the IALA Dictionary is revised according to the  NAVGUIDE, which still need to be considered and determined by the task group.</w:t>
      </w:r>
    </w:p>
    <w:p w14:paraId="39AF86FF"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 xml:space="preserve">For the inconsistent definition of the terms, including CHART DATUM and Mean Sea Level, which can also be found in the IHO Dictionary, it is proposed that the definition of the terms in the IALA Dictionary is revised according to the NAVGUIDE or the IHO Dictionary.  </w:t>
      </w:r>
    </w:p>
    <w:p w14:paraId="39AF8700"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For the definitions that only exist in NAVGUIDE, including Accuracy of a Position Fix, it is proposed that relevant definitions are added to the IALA Dictionary.</w:t>
      </w:r>
    </w:p>
    <w:p w14:paraId="39AF8701" w14:textId="77777777" w:rsidR="00493DDE" w:rsidRDefault="0008137C">
      <w:pPr>
        <w:pStyle w:val="Heading2"/>
      </w:pPr>
      <w:r>
        <w:rPr>
          <w:rFonts w:eastAsia="SimSun" w:hint="eastAsia"/>
          <w:lang w:val="en-US" w:eastAsia="zh-CN"/>
        </w:rPr>
        <w:t>proposal</w:t>
      </w:r>
    </w:p>
    <w:p w14:paraId="39AF8702" w14:textId="77777777" w:rsidR="00493DDE" w:rsidRDefault="0008137C">
      <w:pPr>
        <w:pStyle w:val="BodyText"/>
        <w:rPr>
          <w:rFonts w:ascii="Calibri" w:eastAsia="SimSun" w:hAnsi="Calibri"/>
          <w:lang w:val="en-US" w:eastAsia="zh-CN"/>
        </w:rPr>
      </w:pPr>
      <w:r>
        <w:rPr>
          <w:rFonts w:ascii="Calibri" w:eastAsia="SimSun" w:hAnsi="Calibri" w:hint="eastAsia"/>
          <w:lang w:val="en-US" w:eastAsia="zh-CN"/>
        </w:rPr>
        <w:t>It is recommended that the committee considers the proposed amendments to the definition of the terms in NAVGUIDE and the IALA Dictionary in the ANNEX A and ANNEX B .</w:t>
      </w:r>
    </w:p>
    <w:bookmarkEnd w:id="1"/>
    <w:p w14:paraId="39AF8703" w14:textId="77777777" w:rsidR="00493DDE" w:rsidRDefault="0008137C">
      <w:pPr>
        <w:pStyle w:val="Heading1"/>
      </w:pPr>
      <w:r>
        <w:t>References</w:t>
      </w:r>
    </w:p>
    <w:p w14:paraId="39AF8704" w14:textId="77777777" w:rsidR="00493DDE" w:rsidRDefault="0008137C">
      <w:pPr>
        <w:pStyle w:val="Reference"/>
      </w:pPr>
      <w:r>
        <w:rPr>
          <w:rFonts w:hint="eastAsia"/>
        </w:rPr>
        <w:t>NAVGUIDE-2023</w:t>
      </w:r>
    </w:p>
    <w:p w14:paraId="39AF8705" w14:textId="77777777" w:rsidR="00493DDE" w:rsidRDefault="0008137C">
      <w:pPr>
        <w:pStyle w:val="Heading1"/>
      </w:pPr>
      <w:r>
        <w:t>Action requested of the Committee</w:t>
      </w:r>
    </w:p>
    <w:p w14:paraId="39AF8706" w14:textId="77777777" w:rsidR="00493DDE" w:rsidRDefault="0008137C">
      <w:pPr>
        <w:pStyle w:val="BodyText"/>
        <w:rPr>
          <w:rFonts w:ascii="Calibri" w:hAnsi="Calibri"/>
        </w:rPr>
      </w:pPr>
      <w:r>
        <w:rPr>
          <w:rFonts w:ascii="Calibri" w:hAnsi="Calibri"/>
        </w:rPr>
        <w:t xml:space="preserve">The Committee is requested to: </w:t>
      </w:r>
    </w:p>
    <w:p w14:paraId="39AF8707" w14:textId="77777777" w:rsidR="00493DDE" w:rsidRDefault="0008137C">
      <w:pPr>
        <w:pStyle w:val="List1"/>
        <w:numPr>
          <w:ilvl w:val="0"/>
          <w:numId w:val="25"/>
        </w:numPr>
      </w:pPr>
      <w:r>
        <w:rPr>
          <w:rFonts w:ascii="Calibri" w:eastAsia="SimSun" w:hAnsi="Calibri" w:hint="eastAsia"/>
          <w:lang w:val="en-US" w:eastAsia="zh-CN"/>
        </w:rPr>
        <w:t>consider the proposal in section 3.3.</w:t>
      </w:r>
    </w:p>
    <w:p w14:paraId="39AF8708" w14:textId="77777777" w:rsidR="00493DDE" w:rsidRDefault="0008137C">
      <w:pPr>
        <w:pStyle w:val="List1"/>
        <w:numPr>
          <w:ilvl w:val="0"/>
          <w:numId w:val="25"/>
        </w:numPr>
      </w:pPr>
      <w:r>
        <w:rPr>
          <w:rFonts w:ascii="Calibri" w:eastAsia="SimSun" w:hAnsi="Calibri" w:hint="eastAsia"/>
          <w:lang w:val="en-US" w:eastAsia="zh-CN"/>
        </w:rPr>
        <w:t>and take actions as appropriate.</w:t>
      </w:r>
    </w:p>
    <w:sectPr w:rsidR="00493DDE">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F870B" w14:textId="77777777" w:rsidR="00493DDE" w:rsidRDefault="0008137C">
      <w:pPr>
        <w:spacing w:line="240" w:lineRule="auto"/>
      </w:pPr>
      <w:r>
        <w:separator/>
      </w:r>
    </w:p>
  </w:endnote>
  <w:endnote w:type="continuationSeparator" w:id="0">
    <w:p w14:paraId="39AF870C" w14:textId="77777777" w:rsidR="00493DDE" w:rsidRDefault="00081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870E" w14:textId="77777777" w:rsidR="00493DDE" w:rsidRDefault="0008137C">
    <w:pPr>
      <w:pStyle w:val="Footerportrait"/>
    </w:pPr>
    <w:r>
      <w:rPr>
        <w:rFonts w:hint="eastAsia"/>
      </w:rPr>
      <w:t xml:space="preserve">Proposal on the update of terms OF NAVGUIDE and IALA Dictionary </w:t>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39AF870F" w14:textId="77777777" w:rsidR="00493DDE" w:rsidRDefault="00493DDE">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F8709" w14:textId="77777777" w:rsidR="00493DDE" w:rsidRDefault="0008137C">
      <w:pPr>
        <w:spacing w:line="240" w:lineRule="auto"/>
      </w:pPr>
      <w:r>
        <w:separator/>
      </w:r>
    </w:p>
  </w:footnote>
  <w:footnote w:type="continuationSeparator" w:id="0">
    <w:p w14:paraId="39AF870A" w14:textId="77777777" w:rsidR="00493DDE" w:rsidRDefault="000813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F870D" w14:textId="77777777" w:rsidR="00493DDE" w:rsidRDefault="0008137C">
    <w:pPr>
      <w:pStyle w:val="Header"/>
      <w:jc w:val="right"/>
    </w:pPr>
    <w:r>
      <w:rPr>
        <w:noProof/>
        <w:lang w:val="nl-NL" w:eastAsia="nl-NL"/>
      </w:rPr>
      <w:drawing>
        <wp:anchor distT="0" distB="0" distL="114300" distR="114300" simplePos="0" relativeHeight="251659264" behindDoc="0" locked="0" layoutInCell="1" allowOverlap="1" wp14:anchorId="39AF8710" wp14:editId="39AF8711">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119174609">
    <w:abstractNumId w:val="19"/>
  </w:num>
  <w:num w:numId="2" w16cid:durableId="1356346117">
    <w:abstractNumId w:val="0"/>
  </w:num>
  <w:num w:numId="3" w16cid:durableId="699160679">
    <w:abstractNumId w:val="3"/>
  </w:num>
  <w:num w:numId="4" w16cid:durableId="134762281">
    <w:abstractNumId w:val="14"/>
  </w:num>
  <w:num w:numId="5" w16cid:durableId="721640436">
    <w:abstractNumId w:val="1"/>
  </w:num>
  <w:num w:numId="6" w16cid:durableId="738600549">
    <w:abstractNumId w:val="20"/>
  </w:num>
  <w:num w:numId="7" w16cid:durableId="1146048591">
    <w:abstractNumId w:val="15"/>
  </w:num>
  <w:num w:numId="8" w16cid:durableId="1167398795">
    <w:abstractNumId w:val="23"/>
  </w:num>
  <w:num w:numId="9" w16cid:durableId="666056104">
    <w:abstractNumId w:val="22"/>
  </w:num>
  <w:num w:numId="10" w16cid:durableId="1870875340">
    <w:abstractNumId w:val="18"/>
  </w:num>
  <w:num w:numId="11" w16cid:durableId="8141211">
    <w:abstractNumId w:val="13"/>
  </w:num>
  <w:num w:numId="12" w16cid:durableId="142236213">
    <w:abstractNumId w:val="16"/>
  </w:num>
  <w:num w:numId="13" w16cid:durableId="2003044730">
    <w:abstractNumId w:val="12"/>
  </w:num>
  <w:num w:numId="14" w16cid:durableId="550115558">
    <w:abstractNumId w:val="5"/>
  </w:num>
  <w:num w:numId="15" w16cid:durableId="1539703375">
    <w:abstractNumId w:val="2"/>
  </w:num>
  <w:num w:numId="16" w16cid:durableId="773983841">
    <w:abstractNumId w:val="4"/>
  </w:num>
  <w:num w:numId="17" w16cid:durableId="881483365">
    <w:abstractNumId w:val="21"/>
  </w:num>
  <w:num w:numId="18" w16cid:durableId="840582783">
    <w:abstractNumId w:val="8"/>
  </w:num>
  <w:num w:numId="19" w16cid:durableId="485167577">
    <w:abstractNumId w:val="9"/>
  </w:num>
  <w:num w:numId="20" w16cid:durableId="1526482605">
    <w:abstractNumId w:val="7"/>
  </w:num>
  <w:num w:numId="21" w16cid:durableId="1393387218">
    <w:abstractNumId w:val="6"/>
  </w:num>
  <w:num w:numId="22" w16cid:durableId="1342703386">
    <w:abstractNumId w:val="17"/>
  </w:num>
  <w:num w:numId="23" w16cid:durableId="1520391919">
    <w:abstractNumId w:val="11"/>
  </w:num>
  <w:num w:numId="24" w16cid:durableId="1037045795">
    <w:abstractNumId w:val="10"/>
  </w:num>
  <w:num w:numId="25" w16cid:durableId="20704234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jkyZGJmZjFjMWUzMzMwYWJhODA4MGM5ZTI3NDgzYjIifQ=="/>
  </w:docVars>
  <w:rsids>
    <w:rsidRoot w:val="00FE5674"/>
    <w:rsid w:val="000005D3"/>
    <w:rsid w:val="000049D8"/>
    <w:rsid w:val="00036B9E"/>
    <w:rsid w:val="00037DF4"/>
    <w:rsid w:val="0004700E"/>
    <w:rsid w:val="00057FCA"/>
    <w:rsid w:val="00070C13"/>
    <w:rsid w:val="000715C9"/>
    <w:rsid w:val="0008137C"/>
    <w:rsid w:val="00084F33"/>
    <w:rsid w:val="000A77A7"/>
    <w:rsid w:val="000B1707"/>
    <w:rsid w:val="000C1B3E"/>
    <w:rsid w:val="000C349E"/>
    <w:rsid w:val="00110203"/>
    <w:rsid w:val="00110AE7"/>
    <w:rsid w:val="001241C8"/>
    <w:rsid w:val="00177F4D"/>
    <w:rsid w:val="00180DDA"/>
    <w:rsid w:val="001B2A2D"/>
    <w:rsid w:val="001B737D"/>
    <w:rsid w:val="001C14C6"/>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93DDE"/>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 w:val="15972072"/>
    <w:rsid w:val="1979601E"/>
    <w:rsid w:val="3204001F"/>
    <w:rsid w:val="45DA7F43"/>
    <w:rsid w:val="478B3950"/>
    <w:rsid w:val="4C6A5C59"/>
    <w:rsid w:val="54C5155A"/>
    <w:rsid w:val="726C163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AF86DE"/>
  <w15:docId w15:val="{9553DE5A-04DF-44F0-BE25-A751D338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autoRedefine/>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autoRedefine/>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autoRedefine/>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eastAsia="en-US"/>
    </w:rPr>
  </w:style>
  <w:style w:type="paragraph" w:styleId="Header">
    <w:name w:val="header"/>
    <w:basedOn w:val="Normal"/>
    <w:link w:val="HeaderChar"/>
    <w:qFormat/>
    <w:pPr>
      <w:spacing w:line="240" w:lineRule="exact"/>
    </w:p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autoRedefine/>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autoRedefine/>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autoRedefine/>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autoRedefine/>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autoRedefine/>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hAnsiTheme="majorHAnsi" w:cs="Calibri"/>
      <w:b/>
      <w:bCs/>
      <w:caps/>
      <w:color w:val="00558C"/>
      <w:sz w:val="28"/>
      <w:szCs w:val="28"/>
      <w:lang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autoRedefine/>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Revision1">
    <w:name w:val="Revision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autoRedefine/>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datastoreItem>
</file>

<file path=customXml/itemProps2.xml><?xml version="1.0" encoding="utf-8"?>
<ds:datastoreItem xmlns:ds="http://schemas.openxmlformats.org/officeDocument/2006/customXml" ds:itemID="{0B933708-CD0F-43EA-926F-279592BCEFA8}">
  <ds:schemaRefs/>
</ds:datastoreItem>
</file>

<file path=customXml/itemProps3.xml><?xml version="1.0" encoding="utf-8"?>
<ds:datastoreItem xmlns:ds="http://schemas.openxmlformats.org/officeDocument/2006/customXml" ds:itemID="{986D50FA-A5A0-4F42-A33A-FB0A50376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506A-077E-4413-A6DB-798D7CA8083A}">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594</Words>
  <Characters>3388</Characters>
  <Application>Microsoft Office Word</Application>
  <DocSecurity>0</DocSecurity>
  <Lines>28</Lines>
  <Paragraphs>7</Paragraphs>
  <ScaleCrop>false</ScaleCrop>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54</cp:revision>
  <dcterms:created xsi:type="dcterms:W3CDTF">2021-08-28T15:13:00Z</dcterms:created>
  <dcterms:modified xsi:type="dcterms:W3CDTF">2024-09-29T11:31:00Z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2052-12.1.0.17857</vt:lpwstr>
  </property>
  <property fmtid="{D5CDD505-2E9C-101B-9397-08002B2CF9AE}" pid="4" name="ICV">
    <vt:lpwstr>8847BE2839AD4268BABC01D8DF0B3880_13</vt:lpwstr>
  </property>
  <property fmtid="{D5CDD505-2E9C-101B-9397-08002B2CF9AE}" pid="5" name="MediaServiceImageTags">
    <vt:lpwstr/>
  </property>
</Properties>
</file>