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1727EEBE" w14:textId="77777777" w:rsidTr="00050DA7">
        <w:tc>
          <w:tcPr>
            <w:tcW w:w="4428" w:type="dxa"/>
          </w:tcPr>
          <w:p w14:paraId="5667FC1B" w14:textId="68D6921D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DE4262">
              <w:t>DTEC</w:t>
            </w:r>
            <w:r w:rsidR="00CA04AF" w:rsidRPr="00AA2626">
              <w:t xml:space="preserve"> </w:t>
            </w:r>
            <w:r w:rsidRPr="006E3810">
              <w:t>C</w:t>
            </w:r>
            <w:r w:rsidR="00050DA7" w:rsidRPr="006E3810">
              <w:t>ommittee</w:t>
            </w:r>
          </w:p>
        </w:tc>
        <w:tc>
          <w:tcPr>
            <w:tcW w:w="5461" w:type="dxa"/>
          </w:tcPr>
          <w:p w14:paraId="6E3F8D98" w14:textId="77777777" w:rsidR="000348ED" w:rsidRPr="00AA2626" w:rsidRDefault="001A654A" w:rsidP="008F4DC3">
            <w:pPr>
              <w:jc w:val="right"/>
              <w:rPr>
                <w:highlight w:val="yellow"/>
              </w:rPr>
            </w:pPr>
            <w:r w:rsidRPr="00AA2626">
              <w:rPr>
                <w:highlight w:val="yellow"/>
              </w:rPr>
              <w:t xml:space="preserve">### </w:t>
            </w:r>
            <w:r w:rsidR="005D05AC" w:rsidRPr="00AA2626">
              <w:rPr>
                <w:highlight w:val="yellow"/>
              </w:rPr>
              <w:t>#</w:t>
            </w:r>
            <w:r w:rsidR="005D05AC" w:rsidRPr="00AA2626">
              <w:t>/output/</w:t>
            </w:r>
            <w:r w:rsidR="005D05AC" w:rsidRPr="00AA2626">
              <w:rPr>
                <w:highlight w:val="yellow"/>
              </w:rPr>
              <w:t>#</w:t>
            </w:r>
          </w:p>
        </w:tc>
      </w:tr>
      <w:tr w:rsidR="000348ED" w:rsidRPr="00AA2626" w14:paraId="573A17E5" w14:textId="77777777" w:rsidTr="00050DA7">
        <w:tc>
          <w:tcPr>
            <w:tcW w:w="4428" w:type="dxa"/>
          </w:tcPr>
          <w:p w14:paraId="71FE9F80" w14:textId="0070FEBF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DE4262">
              <w:t>IALA Council</w:t>
            </w:r>
          </w:p>
        </w:tc>
        <w:tc>
          <w:tcPr>
            <w:tcW w:w="5461" w:type="dxa"/>
          </w:tcPr>
          <w:p w14:paraId="5039DF58" w14:textId="77777777" w:rsidR="000348ED" w:rsidRPr="00AA2626" w:rsidRDefault="005D05AC" w:rsidP="008F4DC3">
            <w:pPr>
              <w:jc w:val="right"/>
            </w:pPr>
            <w:r w:rsidRPr="00AA2626">
              <w:rPr>
                <w:highlight w:val="yellow"/>
              </w:rPr>
              <w:t>dd Month</w:t>
            </w:r>
            <w:r w:rsidRPr="00AA2626">
              <w:t xml:space="preserve"> 20</w:t>
            </w:r>
            <w:r w:rsidR="001A654A" w:rsidRPr="00AA2626">
              <w:t>1</w:t>
            </w:r>
            <w:r w:rsidRPr="00AA2626">
              <w:rPr>
                <w:highlight w:val="yellow"/>
              </w:rPr>
              <w:t>#</w:t>
            </w:r>
          </w:p>
        </w:tc>
      </w:tr>
    </w:tbl>
    <w:p w14:paraId="6AB39FBB" w14:textId="77777777" w:rsidR="000348ED" w:rsidRPr="00AA2626" w:rsidRDefault="00AA2626" w:rsidP="002B0236">
      <w:pPr>
        <w:pStyle w:val="Title"/>
      </w:pPr>
      <w:r>
        <w:t>LIAISON NOTE</w:t>
      </w:r>
    </w:p>
    <w:p w14:paraId="0803A639" w14:textId="67E42D51" w:rsidR="000348ED" w:rsidRPr="00AA2626" w:rsidRDefault="00DE4262" w:rsidP="002B0236">
      <w:pPr>
        <w:pStyle w:val="Title"/>
      </w:pPr>
      <w:r>
        <w:t xml:space="preserve">Introduction to the </w:t>
      </w:r>
      <w:r>
        <w:br/>
        <w:t>Maritime Connective Platform</w:t>
      </w:r>
      <w:r>
        <w:br/>
        <w:t>and Status Report</w:t>
      </w:r>
    </w:p>
    <w:p w14:paraId="0F0C91A8" w14:textId="0F5227B1" w:rsidR="0064435F" w:rsidRPr="00AA2626" w:rsidRDefault="008E7A45" w:rsidP="002B0236">
      <w:pPr>
        <w:pStyle w:val="Heading1"/>
      </w:pPr>
      <w:r w:rsidRPr="00AA2626">
        <w:t>INTRODUCTION</w:t>
      </w:r>
      <w:r w:rsidR="00774C9E">
        <w:t xml:space="preserve"> </w:t>
      </w:r>
    </w:p>
    <w:p w14:paraId="69C5AFA7" w14:textId="14E901C5" w:rsidR="0085613E" w:rsidRDefault="00621E89" w:rsidP="00E53EA7">
      <w:pPr>
        <w:pStyle w:val="BodyText"/>
      </w:pPr>
      <w:r>
        <w:t xml:space="preserve">This </w:t>
      </w:r>
      <w:r w:rsidR="00E711A6">
        <w:t xml:space="preserve">note </w:t>
      </w:r>
      <w:r w:rsidR="00467B5B">
        <w:t>provides an overview of</w:t>
      </w:r>
      <w:r w:rsidR="00E711A6">
        <w:t xml:space="preserve"> the M</w:t>
      </w:r>
      <w:r>
        <w:t xml:space="preserve">aritime </w:t>
      </w:r>
      <w:r w:rsidR="00E711A6">
        <w:t>C</w:t>
      </w:r>
      <w:r>
        <w:t xml:space="preserve">onnectivity </w:t>
      </w:r>
      <w:r w:rsidR="00E711A6">
        <w:t>P</w:t>
      </w:r>
      <w:r>
        <w:t>latform</w:t>
      </w:r>
      <w:r w:rsidR="00DE30BE">
        <w:t xml:space="preserve"> (MCP)</w:t>
      </w:r>
      <w:r w:rsidR="00EB2869">
        <w:t xml:space="preserve">, </w:t>
      </w:r>
      <w:r w:rsidR="003C48DB">
        <w:t>its current</w:t>
      </w:r>
      <w:r w:rsidR="00E711A6">
        <w:t xml:space="preserve"> status</w:t>
      </w:r>
      <w:r w:rsidR="003C48DB">
        <w:t>,</w:t>
      </w:r>
      <w:r w:rsidR="00F23084">
        <w:t xml:space="preserve"> and </w:t>
      </w:r>
      <w:r w:rsidR="00DE30BE">
        <w:t xml:space="preserve">the </w:t>
      </w:r>
      <w:r w:rsidR="007F6CF1">
        <w:t>supporting role</w:t>
      </w:r>
      <w:r w:rsidR="00DE30BE">
        <w:t xml:space="preserve"> of the Digital Technology Committee (DTEC)</w:t>
      </w:r>
      <w:r w:rsidR="007F6CF1">
        <w:t>.</w:t>
      </w:r>
      <w:r w:rsidR="00A73B54">
        <w:t xml:space="preserve"> </w:t>
      </w:r>
    </w:p>
    <w:p w14:paraId="111D35BB" w14:textId="241FBB37" w:rsidR="00F825F6" w:rsidRDefault="00F825F6" w:rsidP="00E53EA7">
      <w:pPr>
        <w:pStyle w:val="BodyText"/>
      </w:pPr>
      <w:r>
        <w:t xml:space="preserve">It is important to </w:t>
      </w:r>
      <w:r w:rsidR="007F6CF1">
        <w:t>understand</w:t>
      </w:r>
      <w:r>
        <w:t xml:space="preserve"> that M</w:t>
      </w:r>
      <w:r w:rsidR="00771388">
        <w:t>CP</w:t>
      </w:r>
      <w:r>
        <w:t xml:space="preserve"> is a set of</w:t>
      </w:r>
      <w:r w:rsidR="001F453E">
        <w:t xml:space="preserve"> </w:t>
      </w:r>
      <w:r w:rsidR="0078086B">
        <w:t xml:space="preserve">concepts defining </w:t>
      </w:r>
      <w:r w:rsidR="00692718">
        <w:t xml:space="preserve">a </w:t>
      </w:r>
      <w:r w:rsidR="009D7687">
        <w:t xml:space="preserve">specific </w:t>
      </w:r>
      <w:r w:rsidR="00692718">
        <w:t xml:space="preserve">type of </w:t>
      </w:r>
      <w:r w:rsidR="001F453E">
        <w:t>digital communication platform.</w:t>
      </w:r>
      <w:r>
        <w:t xml:space="preserve"> </w:t>
      </w:r>
      <w:r w:rsidR="001F453E">
        <w:t xml:space="preserve">It is </w:t>
      </w:r>
      <w:r>
        <w:t xml:space="preserve">not </w:t>
      </w:r>
      <w:r w:rsidR="00FB6B68">
        <w:t xml:space="preserve">a </w:t>
      </w:r>
      <w:r w:rsidR="00B7622B">
        <w:t xml:space="preserve">mandatory infrastructure or </w:t>
      </w:r>
      <w:r w:rsidR="00FB6B68">
        <w:t>system to be operated by IALA</w:t>
      </w:r>
      <w:r>
        <w:t>. Information provider</w:t>
      </w:r>
      <w:r w:rsidR="001F453E">
        <w:t>s</w:t>
      </w:r>
      <w:r>
        <w:t xml:space="preserve"> and consumer</w:t>
      </w:r>
      <w:r w:rsidR="001F453E">
        <w:t>s</w:t>
      </w:r>
      <w:r>
        <w:t xml:space="preserve"> </w:t>
      </w:r>
      <w:r w:rsidR="009D7687">
        <w:t>may</w:t>
      </w:r>
      <w:r>
        <w:t xml:space="preserve"> make use of the </w:t>
      </w:r>
      <w:r w:rsidR="009D7687">
        <w:t xml:space="preserve">MCP </w:t>
      </w:r>
      <w:r>
        <w:t>concepts without restriction</w:t>
      </w:r>
      <w:r w:rsidR="00DD1B28">
        <w:t xml:space="preserve">. </w:t>
      </w:r>
      <w:r w:rsidR="00B07325">
        <w:t xml:space="preserve">Interested </w:t>
      </w:r>
      <w:r w:rsidR="00E0506D">
        <w:t>p</w:t>
      </w:r>
      <w:r w:rsidR="00DD1B28">
        <w:t xml:space="preserve">arties </w:t>
      </w:r>
      <w:r w:rsidR="00E0506D">
        <w:t>may</w:t>
      </w:r>
      <w:r w:rsidR="00DD1B28">
        <w:t xml:space="preserve"> </w:t>
      </w:r>
      <w:r w:rsidR="00125C20">
        <w:t>utilize</w:t>
      </w:r>
      <w:r w:rsidR="00DD1B28">
        <w:t xml:space="preserve"> MCP </w:t>
      </w:r>
      <w:r w:rsidR="00125C20">
        <w:t>i</w:t>
      </w:r>
      <w:r w:rsidR="00DD1B28">
        <w:t xml:space="preserve">nstances to provide </w:t>
      </w:r>
      <w:r w:rsidR="00622E75">
        <w:t xml:space="preserve">reliable </w:t>
      </w:r>
      <w:r w:rsidR="009C4CE8">
        <w:t>and secure</w:t>
      </w:r>
      <w:r w:rsidR="00F90CF6">
        <w:t xml:space="preserve"> platforms for</w:t>
      </w:r>
      <w:r w:rsidR="00DD1B28">
        <w:t xml:space="preserve"> digital </w:t>
      </w:r>
      <w:r w:rsidR="009C4CE8">
        <w:t xml:space="preserve">communication </w:t>
      </w:r>
      <w:r w:rsidR="00F90CF6">
        <w:t xml:space="preserve">in the global maritime environment. </w:t>
      </w:r>
    </w:p>
    <w:p w14:paraId="3FF02C61" w14:textId="1E7AEB64" w:rsidR="00DE4262" w:rsidRDefault="00DE4262" w:rsidP="00DE4262">
      <w:pPr>
        <w:pStyle w:val="Heading1"/>
      </w:pPr>
      <w:r>
        <w:t>Digital Services and Platfo</w:t>
      </w:r>
      <w:r w:rsidR="00016FC1">
        <w:t>rms</w:t>
      </w:r>
    </w:p>
    <w:p w14:paraId="733921F2" w14:textId="05060DCB" w:rsidR="00F4388C" w:rsidRDefault="00016FC1" w:rsidP="00E01375">
      <w:pPr>
        <w:jc w:val="both"/>
        <w:rPr>
          <w:lang w:eastAsia="de-DE"/>
        </w:rPr>
      </w:pPr>
      <w:r>
        <w:rPr>
          <w:lang w:eastAsia="de-DE"/>
        </w:rPr>
        <w:t xml:space="preserve">Digitalisation has the power to </w:t>
      </w:r>
      <w:r w:rsidR="00BD7A4C">
        <w:rPr>
          <w:lang w:eastAsia="de-DE"/>
        </w:rPr>
        <w:t>increase safety, efficiency, and sustainability of shipping</w:t>
      </w:r>
      <w:r w:rsidR="0086497D">
        <w:rPr>
          <w:lang w:eastAsia="de-DE"/>
        </w:rPr>
        <w:t xml:space="preserve">. </w:t>
      </w:r>
      <w:r w:rsidR="00BD7A4C">
        <w:rPr>
          <w:lang w:eastAsia="de-DE"/>
        </w:rPr>
        <w:t xml:space="preserve"> </w:t>
      </w:r>
      <w:r w:rsidR="00A83B01">
        <w:rPr>
          <w:lang w:eastAsia="de-DE"/>
        </w:rPr>
        <w:t xml:space="preserve">Broadband communication </w:t>
      </w:r>
      <w:r w:rsidR="007C77D8">
        <w:rPr>
          <w:lang w:eastAsia="de-DE"/>
        </w:rPr>
        <w:t>provided by L</w:t>
      </w:r>
      <w:r w:rsidR="006607F3">
        <w:rPr>
          <w:lang w:eastAsia="de-DE"/>
        </w:rPr>
        <w:t xml:space="preserve">ow </w:t>
      </w:r>
      <w:r w:rsidR="007C77D8">
        <w:rPr>
          <w:lang w:eastAsia="de-DE"/>
        </w:rPr>
        <w:t>E</w:t>
      </w:r>
      <w:r w:rsidR="006607F3">
        <w:rPr>
          <w:lang w:eastAsia="de-DE"/>
        </w:rPr>
        <w:t xml:space="preserve">arth </w:t>
      </w:r>
      <w:r w:rsidR="007C77D8">
        <w:rPr>
          <w:lang w:eastAsia="de-DE"/>
        </w:rPr>
        <w:t>O</w:t>
      </w:r>
      <w:r w:rsidR="006607F3">
        <w:rPr>
          <w:lang w:eastAsia="de-DE"/>
        </w:rPr>
        <w:t>rbit (LEO) satellites</w:t>
      </w:r>
      <w:r w:rsidR="007C77D8">
        <w:rPr>
          <w:lang w:eastAsia="de-DE"/>
        </w:rPr>
        <w:t>, Maritime LTE</w:t>
      </w:r>
      <w:r w:rsidR="006607F3">
        <w:rPr>
          <w:lang w:eastAsia="de-DE"/>
        </w:rPr>
        <w:t>,</w:t>
      </w:r>
      <w:r w:rsidR="007C77D8">
        <w:rPr>
          <w:lang w:eastAsia="de-DE"/>
        </w:rPr>
        <w:t xml:space="preserve"> and others </w:t>
      </w:r>
      <w:r w:rsidR="00A83B01">
        <w:rPr>
          <w:lang w:eastAsia="de-DE"/>
        </w:rPr>
        <w:t xml:space="preserve">is </w:t>
      </w:r>
      <w:r w:rsidR="001F453E">
        <w:rPr>
          <w:lang w:eastAsia="de-DE"/>
        </w:rPr>
        <w:t xml:space="preserve">a central </w:t>
      </w:r>
      <w:r w:rsidR="00A83B01">
        <w:rPr>
          <w:lang w:eastAsia="de-DE"/>
        </w:rPr>
        <w:t>enabler of digitalisation</w:t>
      </w:r>
      <w:r w:rsidR="00BD7946">
        <w:rPr>
          <w:lang w:eastAsia="de-DE"/>
        </w:rPr>
        <w:t xml:space="preserve"> by providing a </w:t>
      </w:r>
      <w:r w:rsidR="00257DCB">
        <w:rPr>
          <w:lang w:eastAsia="de-DE"/>
        </w:rPr>
        <w:t xml:space="preserve">necessary </w:t>
      </w:r>
      <w:r w:rsidR="00BD7946">
        <w:rPr>
          <w:lang w:eastAsia="de-DE"/>
        </w:rPr>
        <w:t xml:space="preserve">means of data </w:t>
      </w:r>
      <w:r w:rsidR="00253DB8">
        <w:rPr>
          <w:lang w:eastAsia="de-DE"/>
        </w:rPr>
        <w:t xml:space="preserve">transfer between vessels and </w:t>
      </w:r>
      <w:r w:rsidR="00C26728">
        <w:rPr>
          <w:lang w:eastAsia="de-DE"/>
        </w:rPr>
        <w:t xml:space="preserve">shoreside authorities and infrastructure. </w:t>
      </w:r>
      <w:r w:rsidR="00386004">
        <w:rPr>
          <w:lang w:eastAsia="de-DE"/>
        </w:rPr>
        <w:t xml:space="preserve"> </w:t>
      </w:r>
      <w:r w:rsidR="00E1471E">
        <w:rPr>
          <w:lang w:eastAsia="de-DE"/>
        </w:rPr>
        <w:t>Systems with s</w:t>
      </w:r>
      <w:r w:rsidR="00386004">
        <w:rPr>
          <w:lang w:eastAsia="de-DE"/>
        </w:rPr>
        <w:t xml:space="preserve">ufficient bandwidth </w:t>
      </w:r>
      <w:r w:rsidR="00B81009">
        <w:rPr>
          <w:lang w:eastAsia="de-DE"/>
        </w:rPr>
        <w:t>allow</w:t>
      </w:r>
      <w:r w:rsidR="006F4DC8">
        <w:rPr>
          <w:lang w:eastAsia="de-DE"/>
        </w:rPr>
        <w:t>s</w:t>
      </w:r>
      <w:r w:rsidR="00B81009">
        <w:rPr>
          <w:lang w:eastAsia="de-DE"/>
        </w:rPr>
        <w:t xml:space="preserve"> for</w:t>
      </w:r>
      <w:r w:rsidR="00A929CE">
        <w:rPr>
          <w:lang w:eastAsia="de-DE"/>
        </w:rPr>
        <w:t xml:space="preserve"> </w:t>
      </w:r>
      <w:r w:rsidR="005415B9">
        <w:rPr>
          <w:lang w:eastAsia="de-DE"/>
        </w:rPr>
        <w:t>more secure communication</w:t>
      </w:r>
      <w:r w:rsidR="00F45EA3">
        <w:rPr>
          <w:lang w:eastAsia="de-DE"/>
        </w:rPr>
        <w:t xml:space="preserve"> than is possible </w:t>
      </w:r>
      <w:r w:rsidR="0028073B">
        <w:rPr>
          <w:lang w:eastAsia="de-DE"/>
        </w:rPr>
        <w:t>through</w:t>
      </w:r>
      <w:r w:rsidR="00F45EA3">
        <w:rPr>
          <w:lang w:eastAsia="de-DE"/>
        </w:rPr>
        <w:t xml:space="preserve"> legacy communication technologies like Automatic Identification Systems (AIS) and NAVTEX</w:t>
      </w:r>
      <w:r w:rsidR="005415B9">
        <w:rPr>
          <w:lang w:eastAsia="de-DE"/>
        </w:rPr>
        <w:t xml:space="preserve"> by providing the op</w:t>
      </w:r>
      <w:r w:rsidR="008928C0">
        <w:rPr>
          <w:lang w:eastAsia="de-DE"/>
        </w:rPr>
        <w:t>portunity</w:t>
      </w:r>
      <w:r w:rsidR="005415B9">
        <w:rPr>
          <w:lang w:eastAsia="de-DE"/>
        </w:rPr>
        <w:t xml:space="preserve"> to exchange authentication information like digital signature</w:t>
      </w:r>
      <w:r w:rsidR="00A73B54">
        <w:rPr>
          <w:lang w:eastAsia="de-DE"/>
        </w:rPr>
        <w:t>s for messages</w:t>
      </w:r>
      <w:r w:rsidR="005415B9">
        <w:rPr>
          <w:lang w:eastAsia="de-DE"/>
        </w:rPr>
        <w:t xml:space="preserve">. </w:t>
      </w:r>
    </w:p>
    <w:p w14:paraId="5C1713D8" w14:textId="38A6D4A9" w:rsidR="00F4388C" w:rsidRDefault="00F4388C" w:rsidP="00E01375">
      <w:pPr>
        <w:jc w:val="both"/>
        <w:rPr>
          <w:lang w:eastAsia="de-DE"/>
        </w:rPr>
      </w:pPr>
      <w:r>
        <w:rPr>
          <w:lang w:eastAsia="de-DE"/>
        </w:rPr>
        <w:t xml:space="preserve"> </w:t>
      </w:r>
    </w:p>
    <w:p w14:paraId="3593A1B5" w14:textId="32422CDE" w:rsidR="006148EE" w:rsidRDefault="00D23111" w:rsidP="00BB0C4E">
      <w:pPr>
        <w:jc w:val="both"/>
        <w:rPr>
          <w:lang w:eastAsia="de-DE"/>
        </w:rPr>
      </w:pPr>
      <w:r>
        <w:rPr>
          <w:lang w:eastAsia="de-DE"/>
        </w:rPr>
        <w:t xml:space="preserve">A digital service is </w:t>
      </w:r>
      <w:r w:rsidR="00C77034">
        <w:rPr>
          <w:lang w:eastAsia="de-DE"/>
        </w:rPr>
        <w:t xml:space="preserve">defined </w:t>
      </w:r>
      <w:r w:rsidR="00F77E62">
        <w:rPr>
          <w:lang w:eastAsia="de-DE"/>
        </w:rPr>
        <w:t xml:space="preserve">simply </w:t>
      </w:r>
      <w:r w:rsidR="00C77034">
        <w:rPr>
          <w:lang w:eastAsia="de-DE"/>
        </w:rPr>
        <w:t xml:space="preserve">as </w:t>
      </w:r>
      <w:r>
        <w:rPr>
          <w:lang w:eastAsia="de-DE"/>
        </w:rPr>
        <w:t xml:space="preserve">a computer system </w:t>
      </w:r>
      <w:r w:rsidR="00C77034">
        <w:rPr>
          <w:lang w:eastAsia="de-DE"/>
        </w:rPr>
        <w:t>that communicate</w:t>
      </w:r>
      <w:r w:rsidR="006F4DC8">
        <w:rPr>
          <w:lang w:eastAsia="de-DE"/>
        </w:rPr>
        <w:t>s</w:t>
      </w:r>
      <w:r w:rsidR="00C77034">
        <w:rPr>
          <w:lang w:eastAsia="de-DE"/>
        </w:rPr>
        <w:t xml:space="preserve"> </w:t>
      </w:r>
      <w:r w:rsidR="00F4388C">
        <w:rPr>
          <w:lang w:eastAsia="de-DE"/>
        </w:rPr>
        <w:t>information to another computer system on request</w:t>
      </w:r>
      <w:r>
        <w:rPr>
          <w:lang w:eastAsia="de-DE"/>
        </w:rPr>
        <w:t xml:space="preserve">. </w:t>
      </w:r>
      <w:r w:rsidR="0055704F">
        <w:rPr>
          <w:lang w:eastAsia="de-DE"/>
        </w:rPr>
        <w:t xml:space="preserve">Digitalised services will provide </w:t>
      </w:r>
      <w:r w:rsidR="001A69B0">
        <w:rPr>
          <w:lang w:eastAsia="de-DE"/>
        </w:rPr>
        <w:t xml:space="preserve">means to exchange </w:t>
      </w:r>
      <w:r w:rsidR="0055704F">
        <w:rPr>
          <w:lang w:eastAsia="de-DE"/>
        </w:rPr>
        <w:t>necessary information and are the basis for a safe cooperation ship to ship</w:t>
      </w:r>
      <w:r w:rsidR="00084FDF">
        <w:rPr>
          <w:lang w:eastAsia="de-DE"/>
        </w:rPr>
        <w:t>, ship to shore,</w:t>
      </w:r>
      <w:r w:rsidR="0055704F">
        <w:rPr>
          <w:lang w:eastAsia="de-DE"/>
        </w:rPr>
        <w:t xml:space="preserve"> and shore to shore. </w:t>
      </w:r>
      <w:r w:rsidR="0093792C">
        <w:rPr>
          <w:lang w:eastAsia="de-DE"/>
        </w:rPr>
        <w:t>D</w:t>
      </w:r>
      <w:r w:rsidR="00D9703B">
        <w:rPr>
          <w:lang w:eastAsia="de-DE"/>
        </w:rPr>
        <w:t xml:space="preserve">igital services </w:t>
      </w:r>
      <w:r w:rsidR="00084FDF">
        <w:rPr>
          <w:lang w:eastAsia="de-DE"/>
        </w:rPr>
        <w:t>are fundamental in</w:t>
      </w:r>
      <w:r w:rsidR="00D9703B">
        <w:rPr>
          <w:lang w:eastAsia="de-DE"/>
        </w:rPr>
        <w:t xml:space="preserve"> implement</w:t>
      </w:r>
      <w:r w:rsidR="0059399E">
        <w:rPr>
          <w:lang w:eastAsia="de-DE"/>
        </w:rPr>
        <w:t>ing the</w:t>
      </w:r>
      <w:r w:rsidR="00D9703B">
        <w:rPr>
          <w:lang w:eastAsia="de-DE"/>
        </w:rPr>
        <w:t xml:space="preserve"> Maritime Services in the context of e-</w:t>
      </w:r>
      <w:r w:rsidR="0093792C">
        <w:rPr>
          <w:lang w:eastAsia="de-DE"/>
        </w:rPr>
        <w:t>n</w:t>
      </w:r>
      <w:r w:rsidR="00D9703B">
        <w:rPr>
          <w:lang w:eastAsia="de-DE"/>
        </w:rPr>
        <w:t>avigation as defined by IMO (</w:t>
      </w:r>
      <w:r w:rsidR="00D9703B" w:rsidRPr="007C77D8">
        <w:rPr>
          <w:lang w:eastAsia="de-DE"/>
        </w:rPr>
        <w:t>MSC.1/Circ.1610</w:t>
      </w:r>
      <w:r w:rsidR="00D9703B">
        <w:rPr>
          <w:lang w:eastAsia="de-DE"/>
        </w:rPr>
        <w:t>)</w:t>
      </w:r>
      <w:r w:rsidR="0093792C">
        <w:rPr>
          <w:lang w:eastAsia="de-DE"/>
        </w:rPr>
        <w:t xml:space="preserve">. </w:t>
      </w:r>
    </w:p>
    <w:p w14:paraId="01112AA3" w14:textId="0A22A302" w:rsidR="006148EE" w:rsidRDefault="00966FA0" w:rsidP="00BB0C4E">
      <w:pPr>
        <w:jc w:val="both"/>
        <w:rPr>
          <w:lang w:eastAsia="de-DE"/>
        </w:rPr>
      </w:pPr>
      <w:r>
        <w:rPr>
          <w:lang w:eastAsia="de-DE"/>
        </w:rPr>
        <w:t>I</w:t>
      </w:r>
      <w:r w:rsidR="006148EE">
        <w:rPr>
          <w:lang w:eastAsia="de-DE"/>
        </w:rPr>
        <w:t>mportant enablers for this are:</w:t>
      </w:r>
    </w:p>
    <w:p w14:paraId="0A9D6312" w14:textId="77777777" w:rsidR="006148EE" w:rsidRDefault="006148EE" w:rsidP="00BB0C4E">
      <w:pPr>
        <w:pStyle w:val="Bullet1"/>
        <w:jc w:val="both"/>
      </w:pPr>
      <w:r>
        <w:t>A way for users and machines to securely verify identities and authenticate messages.</w:t>
      </w:r>
    </w:p>
    <w:p w14:paraId="52EE5154" w14:textId="00B9D57F" w:rsidR="006148EE" w:rsidRDefault="006148EE" w:rsidP="00BB0C4E">
      <w:pPr>
        <w:pStyle w:val="Bullet1"/>
        <w:jc w:val="both"/>
      </w:pPr>
      <w:r>
        <w:t>A</w:t>
      </w:r>
      <w:r w:rsidR="007D5942">
        <w:t xml:space="preserve"> method </w:t>
      </w:r>
      <w:r>
        <w:t xml:space="preserve">to increase the discoverability of services to </w:t>
      </w:r>
      <w:r w:rsidR="001D1E24">
        <w:t xml:space="preserve">mariners. </w:t>
      </w:r>
    </w:p>
    <w:p w14:paraId="5A6D328D" w14:textId="5663125B" w:rsidR="006148EE" w:rsidRDefault="006148EE" w:rsidP="00BB0C4E">
      <w:pPr>
        <w:pStyle w:val="Bullet1"/>
        <w:jc w:val="both"/>
      </w:pPr>
      <w:r>
        <w:t xml:space="preserve">An efficient way to </w:t>
      </w:r>
      <w:r w:rsidR="005B696D">
        <w:t xml:space="preserve">exchange </w:t>
      </w:r>
      <w:r>
        <w:t xml:space="preserve">information </w:t>
      </w:r>
      <w:r w:rsidR="005B696D">
        <w:t>and deliver new digital</w:t>
      </w:r>
      <w:r>
        <w:t xml:space="preserve"> functionalities.</w:t>
      </w:r>
    </w:p>
    <w:p w14:paraId="4FD0CCA0" w14:textId="77777777" w:rsidR="006148EE" w:rsidRDefault="006148EE" w:rsidP="00BB0C4E">
      <w:pPr>
        <w:jc w:val="both"/>
        <w:rPr>
          <w:lang w:eastAsia="de-DE"/>
        </w:rPr>
      </w:pPr>
    </w:p>
    <w:p w14:paraId="5A08DA38" w14:textId="17771B52" w:rsidR="00FE6E1C" w:rsidRDefault="0093792C" w:rsidP="00BB0C4E">
      <w:pPr>
        <w:jc w:val="both"/>
        <w:rPr>
          <w:lang w:eastAsia="de-DE"/>
        </w:rPr>
      </w:pPr>
      <w:r>
        <w:rPr>
          <w:lang w:eastAsia="de-DE"/>
        </w:rPr>
        <w:t>It is anticipated that digital services will become more and more independent from communication carriers</w:t>
      </w:r>
      <w:r w:rsidR="00086C1E">
        <w:rPr>
          <w:lang w:eastAsia="de-DE"/>
        </w:rPr>
        <w:t xml:space="preserve"> over time, </w:t>
      </w:r>
      <w:r>
        <w:rPr>
          <w:lang w:eastAsia="de-DE"/>
        </w:rPr>
        <w:t>increas</w:t>
      </w:r>
      <w:r w:rsidR="00086C1E">
        <w:rPr>
          <w:lang w:eastAsia="de-DE"/>
        </w:rPr>
        <w:t>ing</w:t>
      </w:r>
      <w:r>
        <w:rPr>
          <w:lang w:eastAsia="de-DE"/>
        </w:rPr>
        <w:t xml:space="preserve"> availability and service quality</w:t>
      </w:r>
      <w:r w:rsidR="00086C1E">
        <w:rPr>
          <w:lang w:eastAsia="de-DE"/>
        </w:rPr>
        <w:t>.</w:t>
      </w:r>
      <w:r>
        <w:rPr>
          <w:lang w:eastAsia="de-DE"/>
        </w:rPr>
        <w:t xml:space="preserve"> </w:t>
      </w:r>
      <w:r w:rsidR="002C2DA4">
        <w:rPr>
          <w:lang w:eastAsia="de-DE"/>
        </w:rPr>
        <w:t>E</w:t>
      </w:r>
      <w:r w:rsidR="00D23111">
        <w:rPr>
          <w:lang w:eastAsia="de-DE"/>
        </w:rPr>
        <w:t>xample</w:t>
      </w:r>
      <w:r w:rsidR="002C2DA4">
        <w:rPr>
          <w:lang w:eastAsia="de-DE"/>
        </w:rPr>
        <w:t>s of digital services may include:</w:t>
      </w:r>
      <w:r w:rsidR="00D23111">
        <w:rPr>
          <w:lang w:eastAsia="de-DE"/>
        </w:rPr>
        <w:t xml:space="preserve"> </w:t>
      </w:r>
    </w:p>
    <w:p w14:paraId="37D4F331" w14:textId="2DF45AC3" w:rsidR="00C1396F" w:rsidRDefault="00C1396F" w:rsidP="00BB0C4E">
      <w:pPr>
        <w:pStyle w:val="ListParagraph"/>
        <w:numPr>
          <w:ilvl w:val="0"/>
          <w:numId w:val="30"/>
        </w:numPr>
        <w:jc w:val="both"/>
        <w:rPr>
          <w:lang w:eastAsia="de-DE"/>
        </w:rPr>
      </w:pPr>
      <w:r>
        <w:rPr>
          <w:lang w:eastAsia="de-DE"/>
        </w:rPr>
        <w:t>A computer system on board a vessel can request a weather report for a particular area from a digital service provided by a computer system on shore.</w:t>
      </w:r>
    </w:p>
    <w:p w14:paraId="137EDD0B" w14:textId="16CFAAB7" w:rsidR="00C1396F" w:rsidRDefault="00C1396F" w:rsidP="00BB0C4E">
      <w:pPr>
        <w:pStyle w:val="ListParagraph"/>
        <w:numPr>
          <w:ilvl w:val="0"/>
          <w:numId w:val="30"/>
        </w:numPr>
        <w:jc w:val="both"/>
        <w:rPr>
          <w:lang w:eastAsia="de-DE"/>
        </w:rPr>
      </w:pPr>
      <w:r>
        <w:rPr>
          <w:lang w:eastAsia="de-DE"/>
        </w:rPr>
        <w:t>Coastal states authorities are able to provide Maritime Safety Information (MSI) or updates on AtoN to mariners in a secure way.</w:t>
      </w:r>
    </w:p>
    <w:p w14:paraId="4A1C4C1E" w14:textId="23EF8127" w:rsidR="00A73B54" w:rsidRDefault="00FE6E1C" w:rsidP="00BB0C4E">
      <w:pPr>
        <w:pStyle w:val="ListParagraph"/>
        <w:numPr>
          <w:ilvl w:val="0"/>
          <w:numId w:val="30"/>
        </w:numPr>
        <w:jc w:val="both"/>
        <w:rPr>
          <w:lang w:eastAsia="de-DE"/>
        </w:rPr>
      </w:pPr>
      <w:r>
        <w:rPr>
          <w:lang w:eastAsia="de-DE"/>
        </w:rPr>
        <w:lastRenderedPageBreak/>
        <w:t>V</w:t>
      </w:r>
      <w:r w:rsidR="007C77D8">
        <w:rPr>
          <w:lang w:eastAsia="de-DE"/>
        </w:rPr>
        <w:t xml:space="preserve">essels </w:t>
      </w:r>
      <w:r w:rsidR="00E45337">
        <w:rPr>
          <w:lang w:eastAsia="de-DE"/>
        </w:rPr>
        <w:t xml:space="preserve">are </w:t>
      </w:r>
      <w:r w:rsidR="007C77D8">
        <w:rPr>
          <w:lang w:eastAsia="de-DE"/>
        </w:rPr>
        <w:t>able to exchange information on routes and intended behaviour to each o</w:t>
      </w:r>
      <w:r w:rsidR="00CE083E">
        <w:rPr>
          <w:lang w:eastAsia="de-DE"/>
        </w:rPr>
        <w:t>th</w:t>
      </w:r>
      <w:r w:rsidR="007C77D8">
        <w:rPr>
          <w:lang w:eastAsia="de-DE"/>
        </w:rPr>
        <w:t>er and</w:t>
      </w:r>
      <w:r w:rsidR="00D9703B">
        <w:rPr>
          <w:lang w:eastAsia="de-DE"/>
        </w:rPr>
        <w:t>/or</w:t>
      </w:r>
      <w:r w:rsidR="007C77D8">
        <w:rPr>
          <w:lang w:eastAsia="de-DE"/>
        </w:rPr>
        <w:t xml:space="preserve"> VTS Cent</w:t>
      </w:r>
      <w:r w:rsidR="00CE083E">
        <w:rPr>
          <w:lang w:eastAsia="de-DE"/>
        </w:rPr>
        <w:t>res</w:t>
      </w:r>
      <w:r w:rsidR="00C77034">
        <w:rPr>
          <w:lang w:eastAsia="de-DE"/>
        </w:rPr>
        <w:t>;</w:t>
      </w:r>
      <w:r w:rsidR="007C77D8">
        <w:rPr>
          <w:lang w:eastAsia="de-DE"/>
        </w:rPr>
        <w:t xml:space="preserve"> VTS Centr</w:t>
      </w:r>
      <w:r w:rsidR="00CE083E">
        <w:rPr>
          <w:lang w:eastAsia="de-DE"/>
        </w:rPr>
        <w:t>es</w:t>
      </w:r>
      <w:r w:rsidR="007C77D8">
        <w:rPr>
          <w:lang w:eastAsia="de-DE"/>
        </w:rPr>
        <w:t xml:space="preserve"> </w:t>
      </w:r>
      <w:r w:rsidR="00CE083E">
        <w:rPr>
          <w:lang w:eastAsia="de-DE"/>
        </w:rPr>
        <w:t xml:space="preserve">can </w:t>
      </w:r>
      <w:r w:rsidR="007C77D8">
        <w:rPr>
          <w:lang w:eastAsia="de-DE"/>
        </w:rPr>
        <w:t xml:space="preserve">provide information for optimal traffic flow. </w:t>
      </w:r>
    </w:p>
    <w:p w14:paraId="74958AF7" w14:textId="77777777" w:rsidR="00CE083E" w:rsidRDefault="00CE083E" w:rsidP="00BB0C4E">
      <w:pPr>
        <w:jc w:val="both"/>
        <w:rPr>
          <w:lang w:eastAsia="de-DE"/>
        </w:rPr>
      </w:pPr>
    </w:p>
    <w:p w14:paraId="715484B8" w14:textId="080C9A23" w:rsidR="005E023A" w:rsidRDefault="002819E0" w:rsidP="00BB0C4E">
      <w:pPr>
        <w:jc w:val="both"/>
        <w:rPr>
          <w:lang w:eastAsia="de-DE"/>
        </w:rPr>
      </w:pPr>
      <w:r>
        <w:rPr>
          <w:lang w:eastAsia="de-DE"/>
        </w:rPr>
        <w:t xml:space="preserve">A </w:t>
      </w:r>
      <w:r w:rsidR="006003BE">
        <w:rPr>
          <w:lang w:eastAsia="de-DE"/>
        </w:rPr>
        <w:t>digital communication platform</w:t>
      </w:r>
      <w:r w:rsidR="00C14D47">
        <w:rPr>
          <w:lang w:eastAsia="de-DE"/>
        </w:rPr>
        <w:t>,</w:t>
      </w:r>
      <w:r w:rsidR="00D019E0">
        <w:rPr>
          <w:lang w:eastAsia="de-DE"/>
        </w:rPr>
        <w:t xml:space="preserve"> </w:t>
      </w:r>
      <w:r>
        <w:rPr>
          <w:lang w:eastAsia="de-DE"/>
        </w:rPr>
        <w:t xml:space="preserve">making use of </w:t>
      </w:r>
      <w:r w:rsidR="00D019E0">
        <w:rPr>
          <w:lang w:eastAsia="de-DE"/>
        </w:rPr>
        <w:t xml:space="preserve">MCP </w:t>
      </w:r>
      <w:r>
        <w:rPr>
          <w:lang w:eastAsia="de-DE"/>
        </w:rPr>
        <w:t>core features, provides a foundation for the development of digital maritime services.</w:t>
      </w:r>
    </w:p>
    <w:p w14:paraId="118AC547" w14:textId="1FE80999" w:rsidR="00D019E0" w:rsidRDefault="00DE4262" w:rsidP="00D376B8">
      <w:pPr>
        <w:pStyle w:val="Heading1"/>
      </w:pPr>
      <w:r>
        <w:t>Maritime Connectivity Platform</w:t>
      </w:r>
      <w:r w:rsidR="00172906">
        <w:t xml:space="preserve"> (MCP)</w:t>
      </w:r>
      <w:r w:rsidR="00BA5AAC">
        <w:t xml:space="preserve"> </w:t>
      </w:r>
    </w:p>
    <w:p w14:paraId="1C8E4000" w14:textId="135ACD7B" w:rsidR="00D019E0" w:rsidRDefault="001F453E" w:rsidP="00D019E0">
      <w:pPr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50BDAD74" wp14:editId="32E2C3A1">
            <wp:extent cx="6332855" cy="3352800"/>
            <wp:effectExtent l="0" t="0" r="0" b="0"/>
            <wp:docPr id="1" name="Grafi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9B529" w14:textId="06204BDA" w:rsidR="00D019E0" w:rsidRPr="00D019E0" w:rsidRDefault="00E65E7F" w:rsidP="00E65E7F">
      <w:pPr>
        <w:pStyle w:val="Caption"/>
        <w:rPr>
          <w:lang w:eastAsia="de-DE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: </w:t>
      </w:r>
      <w:r w:rsidR="00D019E0" w:rsidRPr="00D019E0">
        <w:rPr>
          <w:lang w:eastAsia="de-DE"/>
        </w:rPr>
        <w:t>Overall Concept of the Maritime Connectivity Platform</w:t>
      </w:r>
    </w:p>
    <w:p w14:paraId="4667F902" w14:textId="77777777" w:rsidR="001F453E" w:rsidRDefault="001F453E" w:rsidP="00E65E7F">
      <w:pPr>
        <w:rPr>
          <w:lang w:eastAsia="de-DE"/>
        </w:rPr>
      </w:pPr>
    </w:p>
    <w:p w14:paraId="6A1B8B77" w14:textId="0E69B04D" w:rsidR="00E65E7F" w:rsidRDefault="00E65E7F" w:rsidP="00BB0C4E">
      <w:pPr>
        <w:jc w:val="both"/>
        <w:rPr>
          <w:lang w:eastAsia="de-DE"/>
        </w:rPr>
      </w:pPr>
      <w:r>
        <w:rPr>
          <w:lang w:eastAsia="de-DE"/>
        </w:rPr>
        <w:t xml:space="preserve">MCP </w:t>
      </w:r>
      <w:r w:rsidR="002905C9">
        <w:rPr>
          <w:lang w:eastAsia="de-DE"/>
        </w:rPr>
        <w:t>leverages</w:t>
      </w:r>
      <w:r>
        <w:rPr>
          <w:lang w:eastAsia="de-DE"/>
        </w:rPr>
        <w:t xml:space="preserve"> proven internet standards to </w:t>
      </w:r>
      <w:r w:rsidR="002905C9">
        <w:rPr>
          <w:lang w:eastAsia="de-DE"/>
        </w:rPr>
        <w:t xml:space="preserve">support </w:t>
      </w:r>
      <w:r>
        <w:rPr>
          <w:lang w:eastAsia="de-DE"/>
        </w:rPr>
        <w:t>maritime navigation and transportation systems</w:t>
      </w:r>
      <w:r w:rsidR="009C508B">
        <w:rPr>
          <w:lang w:eastAsia="de-DE"/>
        </w:rPr>
        <w:t xml:space="preserve">. </w:t>
      </w:r>
      <w:r w:rsidR="00E94639" w:rsidRPr="00E94639">
        <w:rPr>
          <w:lang w:eastAsia="de-DE"/>
        </w:rPr>
        <w:t xml:space="preserve">It is a decentralised framework that will enable efficient, secure, reliable, and seamless digital service provision and information exchange between all authorised maritime stakeholders across </w:t>
      </w:r>
      <w:r w:rsidR="00553530">
        <w:rPr>
          <w:lang w:eastAsia="de-DE"/>
        </w:rPr>
        <w:t>various</w:t>
      </w:r>
      <w:r w:rsidR="00E94639" w:rsidRPr="00E94639">
        <w:rPr>
          <w:lang w:eastAsia="de-DE"/>
        </w:rPr>
        <w:t xml:space="preserve"> communication systems (</w:t>
      </w:r>
      <w:r w:rsidR="00E42077">
        <w:rPr>
          <w:lang w:eastAsia="de-DE"/>
        </w:rPr>
        <w:t>e.g.</w:t>
      </w:r>
      <w:r w:rsidR="00E94639" w:rsidRPr="00E94639">
        <w:rPr>
          <w:lang w:eastAsia="de-DE"/>
        </w:rPr>
        <w:t xml:space="preserve"> VDES, LEO, 4G/5G). It will enable maritime actors to use digital services to exchange both public and private information</w:t>
      </w:r>
      <w:r w:rsidR="00E513D0">
        <w:rPr>
          <w:lang w:eastAsia="de-DE"/>
        </w:rPr>
        <w:t xml:space="preserve"> and</w:t>
      </w:r>
      <w:r w:rsidR="009C508B">
        <w:rPr>
          <w:lang w:eastAsia="de-DE"/>
        </w:rPr>
        <w:t xml:space="preserve"> is </w:t>
      </w:r>
      <w:r w:rsidR="00F321C5">
        <w:rPr>
          <w:lang w:eastAsia="de-DE"/>
        </w:rPr>
        <w:t>predicated</w:t>
      </w:r>
      <w:r w:rsidR="009C508B">
        <w:rPr>
          <w:lang w:eastAsia="de-DE"/>
        </w:rPr>
        <w:t xml:space="preserve"> on </w:t>
      </w:r>
      <w:r>
        <w:rPr>
          <w:lang w:eastAsia="de-DE"/>
        </w:rPr>
        <w:t>open, standardised</w:t>
      </w:r>
      <w:r w:rsidR="00C1396F">
        <w:rPr>
          <w:lang w:eastAsia="de-DE"/>
        </w:rPr>
        <w:t>,</w:t>
      </w:r>
      <w:r>
        <w:rPr>
          <w:lang w:eastAsia="de-DE"/>
        </w:rPr>
        <w:t xml:space="preserve"> and powerful vendor-neutral technologies. MCP was initially created to address the goals of IMO</w:t>
      </w:r>
      <w:r w:rsidR="00F92356">
        <w:rPr>
          <w:lang w:eastAsia="de-DE"/>
        </w:rPr>
        <w:t>’s</w:t>
      </w:r>
      <w:r>
        <w:rPr>
          <w:lang w:eastAsia="de-DE"/>
        </w:rPr>
        <w:t xml:space="preserve"> e-navigation initiative. However, MCP has the potential to support</w:t>
      </w:r>
      <w:r w:rsidR="00F92356">
        <w:rPr>
          <w:lang w:eastAsia="de-DE"/>
        </w:rPr>
        <w:t xml:space="preserve"> d</w:t>
      </w:r>
      <w:r>
        <w:rPr>
          <w:lang w:eastAsia="de-DE"/>
        </w:rPr>
        <w:t>igitalisation across a</w:t>
      </w:r>
      <w:r w:rsidR="00F92356">
        <w:rPr>
          <w:lang w:eastAsia="de-DE"/>
        </w:rPr>
        <w:t xml:space="preserve"> </w:t>
      </w:r>
      <w:r>
        <w:rPr>
          <w:lang w:eastAsia="de-DE"/>
        </w:rPr>
        <w:t>much wider maritime domain</w:t>
      </w:r>
      <w:r w:rsidR="00A31425">
        <w:rPr>
          <w:lang w:eastAsia="de-DE"/>
        </w:rPr>
        <w:t xml:space="preserve"> using </w:t>
      </w:r>
      <w:r>
        <w:rPr>
          <w:lang w:eastAsia="de-DE"/>
        </w:rPr>
        <w:t>the concept of Web Services</w:t>
      </w:r>
      <w:r w:rsidR="00A31425">
        <w:rPr>
          <w:lang w:eastAsia="de-DE"/>
        </w:rPr>
        <w:t xml:space="preserve"> </w:t>
      </w:r>
      <w:r>
        <w:rPr>
          <w:lang w:eastAsia="de-DE"/>
        </w:rPr>
        <w:t>for identity and service management</w:t>
      </w:r>
      <w:r w:rsidR="00A31425">
        <w:rPr>
          <w:lang w:eastAsia="de-DE"/>
        </w:rPr>
        <w:t xml:space="preserve">. </w:t>
      </w:r>
      <w:r>
        <w:rPr>
          <w:lang w:eastAsia="de-DE"/>
        </w:rPr>
        <w:t xml:space="preserve">MCP consists of three </w:t>
      </w:r>
      <w:r w:rsidR="001F0ED6">
        <w:rPr>
          <w:lang w:eastAsia="de-DE"/>
        </w:rPr>
        <w:t xml:space="preserve">core </w:t>
      </w:r>
      <w:r>
        <w:rPr>
          <w:lang w:eastAsia="de-DE"/>
        </w:rPr>
        <w:t>components</w:t>
      </w:r>
      <w:r w:rsidR="007B6271">
        <w:rPr>
          <w:lang w:eastAsia="de-DE"/>
        </w:rPr>
        <w:t xml:space="preserve"> described below</w:t>
      </w:r>
      <w:r w:rsidR="009C508B">
        <w:rPr>
          <w:lang w:eastAsia="de-DE"/>
        </w:rPr>
        <w:t xml:space="preserve"> </w:t>
      </w:r>
      <w:r>
        <w:rPr>
          <w:lang w:eastAsia="de-DE"/>
        </w:rPr>
        <w:t>(</w:t>
      </w:r>
      <w:r w:rsidR="007B6271">
        <w:rPr>
          <w:lang w:eastAsia="de-DE"/>
        </w:rPr>
        <w:t xml:space="preserve">See also </w:t>
      </w:r>
      <w:r>
        <w:rPr>
          <w:lang w:eastAsia="de-DE"/>
        </w:rPr>
        <w:t>Figure 1)</w:t>
      </w:r>
      <w:r w:rsidR="009C508B">
        <w:rPr>
          <w:lang w:eastAsia="de-DE"/>
        </w:rPr>
        <w:t>.</w:t>
      </w:r>
      <w:r w:rsidR="00991D4E" w:rsidRPr="00991D4E">
        <w:t xml:space="preserve"> </w:t>
      </w:r>
      <w:r w:rsidR="006501A4">
        <w:t xml:space="preserve">The </w:t>
      </w:r>
      <w:r w:rsidR="006501A4">
        <w:rPr>
          <w:lang w:eastAsia="de-DE"/>
        </w:rPr>
        <w:t>c</w:t>
      </w:r>
      <w:r w:rsidR="00634B24">
        <w:rPr>
          <w:lang w:eastAsia="de-DE"/>
        </w:rPr>
        <w:t>ore services may be used in concert</w:t>
      </w:r>
      <w:r w:rsidR="006501A4">
        <w:rPr>
          <w:lang w:eastAsia="de-DE"/>
        </w:rPr>
        <w:t>, individually, or a</w:t>
      </w:r>
      <w:r w:rsidR="005B729C">
        <w:rPr>
          <w:lang w:eastAsia="de-DE"/>
        </w:rPr>
        <w:t xml:space="preserve"> combination</w:t>
      </w:r>
      <w:r w:rsidR="00991D4E" w:rsidRPr="00991D4E">
        <w:rPr>
          <w:lang w:eastAsia="de-DE"/>
        </w:rPr>
        <w:t xml:space="preserve"> </w:t>
      </w:r>
      <w:r w:rsidR="00C1396F">
        <w:rPr>
          <w:lang w:eastAsia="de-DE"/>
        </w:rPr>
        <w:t>thereof</w:t>
      </w:r>
      <w:r w:rsidR="00991D4E">
        <w:rPr>
          <w:lang w:eastAsia="de-DE"/>
        </w:rPr>
        <w:t>.</w:t>
      </w:r>
    </w:p>
    <w:p w14:paraId="357C4A8B" w14:textId="77777777" w:rsidR="00E65E7F" w:rsidRDefault="00E65E7F" w:rsidP="00BB0C4E">
      <w:pPr>
        <w:jc w:val="both"/>
        <w:rPr>
          <w:lang w:eastAsia="de-DE"/>
        </w:rPr>
      </w:pPr>
    </w:p>
    <w:p w14:paraId="7EB1B011" w14:textId="4885A403" w:rsidR="00E65E7F" w:rsidRDefault="00E65E7F" w:rsidP="00BB0C4E">
      <w:pPr>
        <w:pStyle w:val="Bullet1"/>
        <w:jc w:val="both"/>
      </w:pPr>
      <w:r w:rsidRPr="00F14B9C">
        <w:rPr>
          <w:b/>
        </w:rPr>
        <w:t>Maritime Identity Registry (MIR)</w:t>
      </w:r>
      <w:r>
        <w:t xml:space="preserve"> </w:t>
      </w:r>
      <w:r w:rsidR="009C508B">
        <w:t>–</w:t>
      </w:r>
      <w:r w:rsidR="002819E0">
        <w:t xml:space="preserve"> </w:t>
      </w:r>
      <w:r w:rsidR="00CE04B1">
        <w:t>MIR s</w:t>
      </w:r>
      <w:r w:rsidR="005F2D88">
        <w:t xml:space="preserve">upports authentication </w:t>
      </w:r>
      <w:r w:rsidR="00D15B4E">
        <w:t xml:space="preserve">for secure and reliable exchange of information by managing trusted identities and digital certificates. </w:t>
      </w:r>
      <w:r w:rsidR="00834490">
        <w:t xml:space="preserve">MIR is used across </w:t>
      </w:r>
      <w:r w:rsidR="00CE0AF3">
        <w:t xml:space="preserve">all digital services </w:t>
      </w:r>
      <w:r w:rsidR="00D22699">
        <w:t xml:space="preserve">to </w:t>
      </w:r>
      <w:r>
        <w:t>facilitat</w:t>
      </w:r>
      <w:r w:rsidR="00D22699">
        <w:t>e</w:t>
      </w:r>
      <w:r>
        <w:t xml:space="preserve"> confidentiality, integrity and authenticity in information exchange between </w:t>
      </w:r>
      <w:r w:rsidR="00522297">
        <w:t>machines (</w:t>
      </w:r>
      <w:r>
        <w:t>users</w:t>
      </w:r>
      <w:r w:rsidR="00522297">
        <w:t>)</w:t>
      </w:r>
      <w:r>
        <w:t xml:space="preserve">. </w:t>
      </w:r>
    </w:p>
    <w:p w14:paraId="13DC1B4A" w14:textId="49F1F3BC" w:rsidR="00E65E7F" w:rsidRDefault="00E65E7F" w:rsidP="00BB0C4E">
      <w:pPr>
        <w:pStyle w:val="Bullet1"/>
        <w:jc w:val="both"/>
      </w:pPr>
      <w:r w:rsidRPr="00F14B9C">
        <w:rPr>
          <w:b/>
        </w:rPr>
        <w:t>Maritime Service Registry (MSR)</w:t>
      </w:r>
      <w:r>
        <w:t xml:space="preserve"> </w:t>
      </w:r>
      <w:r w:rsidR="00D22699">
        <w:t>–</w:t>
      </w:r>
      <w:r w:rsidR="002819E0">
        <w:t xml:space="preserve"> </w:t>
      </w:r>
      <w:r w:rsidR="001C7057">
        <w:t xml:space="preserve">MSR provides a means </w:t>
      </w:r>
      <w:r>
        <w:t>for registering and discovering relevant e-navigation services</w:t>
      </w:r>
      <w:r w:rsidR="00F54B42">
        <w:t xml:space="preserve"> (</w:t>
      </w:r>
      <w:r>
        <w:t>commercial and non-commercial</w:t>
      </w:r>
      <w:r w:rsidR="00F54B42">
        <w:t>).</w:t>
      </w:r>
      <w:r>
        <w:t xml:space="preserve"> MSR can be seen as a sophisticated ‘yellow pages’ phone book of maritime services that can be searched using a number of different criteria.</w:t>
      </w:r>
    </w:p>
    <w:p w14:paraId="16A4ECB0" w14:textId="6C6035AE" w:rsidR="00A007A5" w:rsidRDefault="00E65E7F" w:rsidP="00BB0C4E">
      <w:pPr>
        <w:pStyle w:val="Bullet1"/>
        <w:jc w:val="both"/>
      </w:pPr>
      <w:r w:rsidRPr="00F14B9C">
        <w:rPr>
          <w:b/>
        </w:rPr>
        <w:lastRenderedPageBreak/>
        <w:t>Maritime Messaging Service (MMS)</w:t>
      </w:r>
      <w:r>
        <w:t xml:space="preserve"> –</w:t>
      </w:r>
      <w:r w:rsidR="002819E0">
        <w:t xml:space="preserve"> </w:t>
      </w:r>
      <w:r w:rsidR="00C01BEE">
        <w:t>MMS</w:t>
      </w:r>
      <w:r>
        <w:t xml:space="preserve"> allow</w:t>
      </w:r>
      <w:r w:rsidR="00C01BEE">
        <w:t>s</w:t>
      </w:r>
      <w:r>
        <w:t xml:space="preserve"> maritime stakeholders to send and receive messages in an efficient, </w:t>
      </w:r>
      <w:r w:rsidR="00C1396F">
        <w:t>reliable,</w:t>
      </w:r>
      <w:r>
        <w:t xml:space="preserve"> and seamless manner </w:t>
      </w:r>
      <w:r w:rsidR="00D14545">
        <w:t>using various communication technolog</w:t>
      </w:r>
      <w:r w:rsidR="00DE2BEF">
        <w:t>ies</w:t>
      </w:r>
      <w:r>
        <w:t xml:space="preserve">.  MMS </w:t>
      </w:r>
      <w:r w:rsidR="005F56BD">
        <w:t xml:space="preserve">may be used in conjunction with a </w:t>
      </w:r>
      <w:proofErr w:type="gramStart"/>
      <w:r w:rsidR="005F56BD">
        <w:t xml:space="preserve">variety </w:t>
      </w:r>
      <w:r>
        <w:t>communication technologies</w:t>
      </w:r>
      <w:proofErr w:type="gramEnd"/>
      <w:r w:rsidR="006F726E">
        <w:t xml:space="preserve"> (e.g. VHF Data Exchange System </w:t>
      </w:r>
      <w:r w:rsidR="00824F67">
        <w:t xml:space="preserve">– </w:t>
      </w:r>
      <w:r w:rsidR="006F726E">
        <w:t>VDES</w:t>
      </w:r>
      <w:r w:rsidR="00824F67">
        <w:t>)</w:t>
      </w:r>
      <w:r w:rsidR="00F14B9C">
        <w:t>,</w:t>
      </w:r>
      <w:r w:rsidR="00824F67">
        <w:t xml:space="preserve"> including those with limited bandwidth.  </w:t>
      </w:r>
    </w:p>
    <w:p w14:paraId="29A1F001" w14:textId="77777777" w:rsidR="00991D4E" w:rsidRPr="00A007A5" w:rsidRDefault="00991D4E" w:rsidP="00991D4E">
      <w:pPr>
        <w:pStyle w:val="Bullet1"/>
        <w:numPr>
          <w:ilvl w:val="0"/>
          <w:numId w:val="0"/>
        </w:numPr>
        <w:ind w:left="360"/>
      </w:pPr>
    </w:p>
    <w:p w14:paraId="188D90CB" w14:textId="4590A53D" w:rsidR="00DE4262" w:rsidRDefault="00476F9B" w:rsidP="00DE4262">
      <w:pPr>
        <w:pStyle w:val="Heading1"/>
      </w:pPr>
      <w:r>
        <w:t>Building a Digital Information Supply Chain for</w:t>
      </w:r>
      <w:r w:rsidR="00DE4262">
        <w:t xml:space="preserve"> the Maritime World</w:t>
      </w:r>
    </w:p>
    <w:p w14:paraId="249E1AEA" w14:textId="3F7F92DC" w:rsidR="00991D4E" w:rsidRDefault="00D23111" w:rsidP="00164687">
      <w:pPr>
        <w:jc w:val="both"/>
        <w:rPr>
          <w:lang w:eastAsia="de-DE"/>
        </w:rPr>
      </w:pPr>
      <w:r>
        <w:rPr>
          <w:lang w:eastAsia="de-DE"/>
        </w:rPr>
        <w:t xml:space="preserve">Digital </w:t>
      </w:r>
      <w:r w:rsidR="00031D77">
        <w:rPr>
          <w:lang w:eastAsia="de-DE"/>
        </w:rPr>
        <w:t>communication platforms</w:t>
      </w:r>
      <w:r w:rsidR="00C1396F">
        <w:rPr>
          <w:lang w:eastAsia="de-DE"/>
        </w:rPr>
        <w:t>,</w:t>
      </w:r>
      <w:r w:rsidR="00031D77">
        <w:rPr>
          <w:lang w:eastAsia="de-DE"/>
        </w:rPr>
        <w:t xml:space="preserve"> </w:t>
      </w:r>
      <w:r w:rsidR="00A57346">
        <w:rPr>
          <w:lang w:eastAsia="de-DE"/>
        </w:rPr>
        <w:t xml:space="preserve">such </w:t>
      </w:r>
      <w:r>
        <w:rPr>
          <w:lang w:eastAsia="de-DE"/>
        </w:rPr>
        <w:t>as MCP</w:t>
      </w:r>
      <w:r w:rsidR="00C1396F">
        <w:rPr>
          <w:lang w:eastAsia="de-DE"/>
        </w:rPr>
        <w:t>,</w:t>
      </w:r>
      <w:r>
        <w:rPr>
          <w:lang w:eastAsia="de-DE"/>
        </w:rPr>
        <w:t xml:space="preserve"> will support </w:t>
      </w:r>
      <w:r w:rsidR="00DE3031">
        <w:rPr>
          <w:lang w:eastAsia="de-DE"/>
        </w:rPr>
        <w:t>an “</w:t>
      </w:r>
      <w:r>
        <w:rPr>
          <w:lang w:eastAsia="de-DE"/>
        </w:rPr>
        <w:t>information supply</w:t>
      </w:r>
      <w:r w:rsidR="00DE3031">
        <w:rPr>
          <w:lang w:eastAsia="de-DE"/>
        </w:rPr>
        <w:t xml:space="preserve"> chain”</w:t>
      </w:r>
      <w:r>
        <w:rPr>
          <w:lang w:eastAsia="de-DE"/>
        </w:rPr>
        <w:t xml:space="preserve"> and exchange between </w:t>
      </w:r>
      <w:r w:rsidR="00004B45">
        <w:rPr>
          <w:lang w:eastAsia="de-DE"/>
        </w:rPr>
        <w:t xml:space="preserve">ship(s) and </w:t>
      </w:r>
      <w:r>
        <w:rPr>
          <w:lang w:eastAsia="de-DE"/>
        </w:rPr>
        <w:t>shore</w:t>
      </w:r>
      <w:r w:rsidR="00004B45">
        <w:rPr>
          <w:lang w:eastAsia="de-DE"/>
        </w:rPr>
        <w:t xml:space="preserve">. </w:t>
      </w:r>
      <w:r w:rsidR="008E31D0">
        <w:rPr>
          <w:lang w:eastAsia="de-DE"/>
        </w:rPr>
        <w:t xml:space="preserve">The platforms should be agnostic to the communication method used </w:t>
      </w:r>
      <w:r w:rsidR="00443056">
        <w:rPr>
          <w:lang w:eastAsia="de-DE"/>
        </w:rPr>
        <w:t>(</w:t>
      </w:r>
      <w:r w:rsidR="0014177C">
        <w:rPr>
          <w:lang w:eastAsia="de-DE"/>
        </w:rPr>
        <w:t>LEO, Maritime LTE</w:t>
      </w:r>
      <w:r w:rsidR="00031D77">
        <w:rPr>
          <w:lang w:eastAsia="de-DE"/>
        </w:rPr>
        <w:t>, etc</w:t>
      </w:r>
      <w:r w:rsidR="0014177C">
        <w:rPr>
          <w:lang w:eastAsia="de-DE"/>
        </w:rPr>
        <w:t>.</w:t>
      </w:r>
      <w:r w:rsidR="00443056">
        <w:rPr>
          <w:lang w:eastAsia="de-DE"/>
        </w:rPr>
        <w:t xml:space="preserve">)  </w:t>
      </w:r>
      <w:r w:rsidR="0091716A">
        <w:rPr>
          <w:lang w:eastAsia="de-DE"/>
        </w:rPr>
        <w:t xml:space="preserve">As a common </w:t>
      </w:r>
      <w:r w:rsidR="00443056">
        <w:rPr>
          <w:lang w:eastAsia="de-DE"/>
        </w:rPr>
        <w:t>example,</w:t>
      </w:r>
      <w:r w:rsidR="0014177C">
        <w:rPr>
          <w:lang w:eastAsia="de-DE"/>
        </w:rPr>
        <w:t xml:space="preserve"> </w:t>
      </w:r>
      <w:r w:rsidR="00C12FAC">
        <w:rPr>
          <w:lang w:eastAsia="de-DE"/>
        </w:rPr>
        <w:t xml:space="preserve">someone </w:t>
      </w:r>
      <w:r w:rsidR="0014177C">
        <w:rPr>
          <w:lang w:eastAsia="de-DE"/>
        </w:rPr>
        <w:t xml:space="preserve">accessing a secure online banking service </w:t>
      </w:r>
      <w:r w:rsidR="000D2831">
        <w:rPr>
          <w:lang w:eastAsia="de-DE"/>
        </w:rPr>
        <w:t xml:space="preserve">does not need to be concerned </w:t>
      </w:r>
      <w:r w:rsidR="000D4967">
        <w:rPr>
          <w:lang w:eastAsia="de-DE"/>
        </w:rPr>
        <w:t xml:space="preserve">as to </w:t>
      </w:r>
      <w:r w:rsidR="0014177C">
        <w:rPr>
          <w:lang w:eastAsia="de-DE"/>
        </w:rPr>
        <w:t xml:space="preserve">whether the </w:t>
      </w:r>
      <w:r w:rsidR="000D4967">
        <w:rPr>
          <w:lang w:eastAsia="de-DE"/>
        </w:rPr>
        <w:t xml:space="preserve">digital </w:t>
      </w:r>
      <w:r w:rsidR="0014177C">
        <w:rPr>
          <w:lang w:eastAsia="de-DE"/>
        </w:rPr>
        <w:t xml:space="preserve">communication is </w:t>
      </w:r>
      <w:r w:rsidR="00C14D47">
        <w:rPr>
          <w:lang w:eastAsia="de-DE"/>
        </w:rPr>
        <w:t>using</w:t>
      </w:r>
      <w:r w:rsidR="0014177C">
        <w:rPr>
          <w:lang w:eastAsia="de-DE"/>
        </w:rPr>
        <w:t xml:space="preserve"> 4G/5G, fibre, copper </w:t>
      </w:r>
      <w:r w:rsidR="00FB61F9" w:rsidRPr="00FB61F9">
        <w:rPr>
          <w:lang w:eastAsia="de-DE"/>
        </w:rPr>
        <w:t>Asymmetric Digital Subscriber Line</w:t>
      </w:r>
      <w:r w:rsidR="000D4967">
        <w:rPr>
          <w:lang w:eastAsia="de-DE"/>
        </w:rPr>
        <w:t xml:space="preserve"> (ADSL)</w:t>
      </w:r>
      <w:r w:rsidR="0014177C">
        <w:rPr>
          <w:lang w:eastAsia="de-DE"/>
        </w:rPr>
        <w:t xml:space="preserve"> or </w:t>
      </w:r>
      <w:r w:rsidR="00F14635">
        <w:rPr>
          <w:lang w:eastAsia="de-DE"/>
        </w:rPr>
        <w:t>Wi-Fi</w:t>
      </w:r>
      <w:r w:rsidR="0014177C">
        <w:rPr>
          <w:lang w:eastAsia="de-DE"/>
        </w:rPr>
        <w:t xml:space="preserve">. </w:t>
      </w:r>
      <w:r w:rsidR="00BA477B">
        <w:rPr>
          <w:lang w:eastAsia="de-DE"/>
        </w:rPr>
        <w:t xml:space="preserve"> The </w:t>
      </w:r>
      <w:r w:rsidR="0014177C">
        <w:rPr>
          <w:lang w:eastAsia="de-DE"/>
        </w:rPr>
        <w:t>online banking</w:t>
      </w:r>
      <w:r w:rsidR="00BA477B">
        <w:rPr>
          <w:lang w:eastAsia="de-DE"/>
        </w:rPr>
        <w:t xml:space="preserve"> service is </w:t>
      </w:r>
      <w:r w:rsidR="00A042FA">
        <w:rPr>
          <w:lang w:eastAsia="de-DE"/>
        </w:rPr>
        <w:t>discovered</w:t>
      </w:r>
      <w:r w:rsidR="0014177C">
        <w:rPr>
          <w:lang w:eastAsia="de-DE"/>
        </w:rPr>
        <w:t xml:space="preserve"> </w:t>
      </w:r>
      <w:r w:rsidR="00122007">
        <w:rPr>
          <w:lang w:eastAsia="de-DE"/>
        </w:rPr>
        <w:t>using</w:t>
      </w:r>
      <w:r w:rsidR="0014177C">
        <w:rPr>
          <w:lang w:eastAsia="de-DE"/>
        </w:rPr>
        <w:t xml:space="preserve"> a domain name </w:t>
      </w:r>
      <w:r w:rsidR="00031D77">
        <w:rPr>
          <w:lang w:eastAsia="de-DE"/>
        </w:rPr>
        <w:t>service</w:t>
      </w:r>
      <w:r w:rsidR="00AF1B74" w:rsidRPr="00AF1B74">
        <w:rPr>
          <w:lang w:eastAsia="de-DE"/>
        </w:rPr>
        <w:t xml:space="preserve"> </w:t>
      </w:r>
      <w:r w:rsidR="00AF1B74">
        <w:rPr>
          <w:lang w:eastAsia="de-DE"/>
        </w:rPr>
        <w:t>and the communication channel is secured through</w:t>
      </w:r>
      <w:r w:rsidR="0014177C">
        <w:rPr>
          <w:lang w:eastAsia="de-DE"/>
        </w:rPr>
        <w:t xml:space="preserve"> a public key architecture</w:t>
      </w:r>
      <w:r w:rsidR="00391287">
        <w:rPr>
          <w:lang w:eastAsia="de-DE"/>
        </w:rPr>
        <w:t xml:space="preserve"> (PKI)</w:t>
      </w:r>
      <w:r w:rsidR="0014177C">
        <w:rPr>
          <w:lang w:eastAsia="de-DE"/>
        </w:rPr>
        <w:t xml:space="preserve">. </w:t>
      </w:r>
    </w:p>
    <w:p w14:paraId="7844B1D7" w14:textId="708A2CA4" w:rsidR="00391287" w:rsidRDefault="00CA0CFD" w:rsidP="009F53B3">
      <w:pPr>
        <w:pStyle w:val="Heading2"/>
      </w:pPr>
      <w:r>
        <w:t>Maritime Services</w:t>
      </w:r>
    </w:p>
    <w:p w14:paraId="1E965BD3" w14:textId="1C31C642" w:rsidR="00CA0CFD" w:rsidRDefault="00391287" w:rsidP="00056BCE">
      <w:pPr>
        <w:jc w:val="both"/>
      </w:pPr>
      <w:r>
        <w:rPr>
          <w:lang w:eastAsia="de-DE"/>
        </w:rPr>
        <w:t xml:space="preserve">The concepts presented </w:t>
      </w:r>
      <w:r w:rsidR="00987450">
        <w:rPr>
          <w:lang w:eastAsia="de-DE"/>
        </w:rPr>
        <w:t xml:space="preserve">in this document provide a </w:t>
      </w:r>
      <w:r>
        <w:rPr>
          <w:lang w:eastAsia="de-DE"/>
        </w:rPr>
        <w:t>technical</w:t>
      </w:r>
      <w:r w:rsidR="00987450">
        <w:rPr>
          <w:lang w:eastAsia="de-DE"/>
        </w:rPr>
        <w:t xml:space="preserve"> means to</w:t>
      </w:r>
      <w:r>
        <w:rPr>
          <w:lang w:eastAsia="de-DE"/>
        </w:rPr>
        <w:t xml:space="preserve"> implement Maritime Services </w:t>
      </w:r>
      <w:r w:rsidR="00CC7CD8">
        <w:rPr>
          <w:lang w:eastAsia="de-DE"/>
        </w:rPr>
        <w:t xml:space="preserve">(MS) </w:t>
      </w:r>
      <w:r>
        <w:rPr>
          <w:lang w:eastAsia="de-DE"/>
        </w:rPr>
        <w:t>in the context of e-</w:t>
      </w:r>
      <w:r w:rsidR="00124B1E">
        <w:rPr>
          <w:lang w:eastAsia="de-DE"/>
        </w:rPr>
        <w:t>n</w:t>
      </w:r>
      <w:r>
        <w:rPr>
          <w:lang w:eastAsia="de-DE"/>
        </w:rPr>
        <w:t>avigation (</w:t>
      </w:r>
      <w:r w:rsidRPr="007C77D8">
        <w:t>MSC.1/Circ.1610</w:t>
      </w:r>
      <w:r>
        <w:t xml:space="preserve">). </w:t>
      </w:r>
      <w:r w:rsidR="00980F3C">
        <w:t>Digital information delivered as part of a</w:t>
      </w:r>
      <w:r>
        <w:t xml:space="preserve"> Maritime Service</w:t>
      </w:r>
      <w:r w:rsidR="00980F3C">
        <w:t xml:space="preserve"> (e.g.</w:t>
      </w:r>
      <w:r w:rsidR="00EF7797">
        <w:t xml:space="preserve"> </w:t>
      </w:r>
      <w:r>
        <w:t>Maritime Safety Information</w:t>
      </w:r>
      <w:r w:rsidR="00EF7797">
        <w:t xml:space="preserve"> - MSI) should be </w:t>
      </w:r>
      <w:r w:rsidR="00582365">
        <w:t>available</w:t>
      </w:r>
      <w:r w:rsidR="00D75962">
        <w:t xml:space="preserve"> and presented</w:t>
      </w:r>
      <w:r w:rsidR="00582365">
        <w:t xml:space="preserve"> </w:t>
      </w:r>
      <w:r w:rsidR="006C6F85">
        <w:t xml:space="preserve">through </w:t>
      </w:r>
      <w:r w:rsidR="00732443">
        <w:t xml:space="preserve">electronic navigation equipment </w:t>
      </w:r>
      <w:r>
        <w:t xml:space="preserve">integrated navigation system (INS) or ECDIS. Information </w:t>
      </w:r>
      <w:r w:rsidR="008674DB">
        <w:t>is</w:t>
      </w:r>
      <w:r>
        <w:t xml:space="preserve"> provided </w:t>
      </w:r>
      <w:r w:rsidR="002D4F78">
        <w:t>through</w:t>
      </w:r>
      <w:r>
        <w:t xml:space="preserve"> </w:t>
      </w:r>
      <w:r w:rsidR="008674DB">
        <w:t>technical services</w:t>
      </w:r>
      <w:r>
        <w:t xml:space="preserve"> run by coastal agenc</w:t>
      </w:r>
      <w:r w:rsidR="006C0617">
        <w:t xml:space="preserve">ies, </w:t>
      </w:r>
      <w:r>
        <w:t xml:space="preserve">retrieved </w:t>
      </w:r>
      <w:r w:rsidR="00CA0CFD">
        <w:t xml:space="preserve">by the systems on </w:t>
      </w:r>
      <w:r w:rsidR="00C1396F">
        <w:t>board and</w:t>
      </w:r>
      <w:r w:rsidR="00CA0CFD">
        <w:t xml:space="preserve"> presented </w:t>
      </w:r>
      <w:r w:rsidR="00A560C0">
        <w:t>through</w:t>
      </w:r>
      <w:r w:rsidR="00CA0CFD">
        <w:t xml:space="preserve"> the INS/ECDIS</w:t>
      </w:r>
      <w:r>
        <w:t>.</w:t>
      </w:r>
      <w:r w:rsidR="00CA0CFD">
        <w:t xml:space="preserve"> </w:t>
      </w:r>
    </w:p>
    <w:p w14:paraId="1B90678F" w14:textId="0881D929" w:rsidR="0014177C" w:rsidRDefault="00971FB3" w:rsidP="00056BCE">
      <w:pPr>
        <w:jc w:val="both"/>
      </w:pPr>
      <w:r>
        <w:t xml:space="preserve">IALA </w:t>
      </w:r>
      <w:r w:rsidR="00CA0CFD">
        <w:t>Guideline G11</w:t>
      </w:r>
      <w:r w:rsidR="007E2138">
        <w:t>2</w:t>
      </w:r>
      <w:r w:rsidR="00CA0CFD">
        <w:t>8</w:t>
      </w:r>
      <w:r w:rsidR="00CC3921" w:rsidRPr="00CC3921">
        <w:t xml:space="preserve"> provides information on how to make specifications of e-Navigation Technical Services. </w:t>
      </w:r>
      <w:r w:rsidR="00CC7CD8">
        <w:t xml:space="preserve">A </w:t>
      </w:r>
      <w:r w:rsidR="00CC3921" w:rsidRPr="00CC3921">
        <w:t>MS</w:t>
      </w:r>
      <w:r w:rsidR="00CC7CD8">
        <w:t xml:space="preserve"> </w:t>
      </w:r>
      <w:r w:rsidR="00CC3921" w:rsidRPr="00CC3921">
        <w:t>can be implemented by one or more e-Navigation Technical Services</w:t>
      </w:r>
      <w:r w:rsidR="00774D3C">
        <w:t>.</w:t>
      </w:r>
    </w:p>
    <w:p w14:paraId="2B956813" w14:textId="444D73AF" w:rsidR="00CA0CFD" w:rsidRDefault="00CA0CFD" w:rsidP="00446098">
      <w:pPr>
        <w:jc w:val="both"/>
      </w:pPr>
    </w:p>
    <w:p w14:paraId="0F337648" w14:textId="7874AD98" w:rsidR="00CA0CFD" w:rsidRDefault="00CA0CFD" w:rsidP="009F53B3">
      <w:pPr>
        <w:pStyle w:val="Heading2"/>
      </w:pPr>
      <w:r>
        <w:t>CMDS and S-100</w:t>
      </w:r>
    </w:p>
    <w:p w14:paraId="106DF7E2" w14:textId="6CC5595B" w:rsidR="00CA0CFD" w:rsidRDefault="00123A0C" w:rsidP="00056BCE">
      <w:pPr>
        <w:jc w:val="both"/>
      </w:pPr>
      <w:r>
        <w:t xml:space="preserve">The implementation and harmonization of e-navigation in a global maritime environment requires a </w:t>
      </w:r>
      <w:r w:rsidR="00A8540E">
        <w:t xml:space="preserve">Common Maritime Data Structure. The IHO S-100 </w:t>
      </w:r>
      <w:r w:rsidR="00B65647">
        <w:t xml:space="preserve">Data Framework was selected by IMO for this purpose. </w:t>
      </w:r>
      <w:r w:rsidR="008F62D5">
        <w:t xml:space="preserve">Technical Services use </w:t>
      </w:r>
      <w:r w:rsidR="00CA0CFD">
        <w:t>data structures defined in S-100</w:t>
      </w:r>
      <w:r w:rsidR="008A1D09">
        <w:t xml:space="preserve"> based</w:t>
      </w:r>
      <w:r w:rsidR="00CA0CFD">
        <w:t xml:space="preserve"> Product Specif</w:t>
      </w:r>
      <w:r w:rsidR="008A1D09">
        <w:t>i</w:t>
      </w:r>
      <w:r w:rsidR="00CA0CFD">
        <w:t>cations</w:t>
      </w:r>
      <w:r w:rsidR="00BF0CE2">
        <w:t xml:space="preserve"> being developed collaboratively by IHO, IALA</w:t>
      </w:r>
      <w:r w:rsidR="008A1D09">
        <w:t>,</w:t>
      </w:r>
      <w:r w:rsidR="00BF0CE2">
        <w:t xml:space="preserve"> and other maritime stakeholders</w:t>
      </w:r>
      <w:r w:rsidR="003F10F4">
        <w:t xml:space="preserve">. </w:t>
      </w:r>
      <w:r w:rsidR="00CA0CFD">
        <w:t xml:space="preserve">   </w:t>
      </w:r>
    </w:p>
    <w:p w14:paraId="393657E6" w14:textId="4305CFEA" w:rsidR="0091150C" w:rsidRDefault="0091150C" w:rsidP="001D3F0D">
      <w:pPr>
        <w:pStyle w:val="Heading2"/>
        <w:rPr>
          <w:lang w:val="da-DK"/>
        </w:rPr>
      </w:pPr>
      <w:r>
        <w:rPr>
          <w:lang w:val="da-DK"/>
        </w:rPr>
        <w:t xml:space="preserve">Secure </w:t>
      </w:r>
      <w:r w:rsidR="00706E11">
        <w:rPr>
          <w:lang w:val="da-DK"/>
        </w:rPr>
        <w:t>Digital C</w:t>
      </w:r>
      <w:r>
        <w:rPr>
          <w:lang w:val="da-DK"/>
        </w:rPr>
        <w:t>ommunications</w:t>
      </w:r>
    </w:p>
    <w:p w14:paraId="03829D5F" w14:textId="50A05227" w:rsidR="00A83D8F" w:rsidRPr="009F53B3" w:rsidRDefault="00706E11" w:rsidP="00056BCE">
      <w:pPr>
        <w:jc w:val="both"/>
        <w:rPr>
          <w:lang w:val="en-US" w:eastAsia="de-DE"/>
        </w:rPr>
      </w:pPr>
      <w:r w:rsidRPr="009F53B3">
        <w:rPr>
          <w:lang w:val="en-US" w:eastAsia="de-DE"/>
        </w:rPr>
        <w:t>Secur</w:t>
      </w:r>
      <w:r w:rsidR="00781BE4" w:rsidRPr="009F53B3">
        <w:rPr>
          <w:lang w:val="en-US" w:eastAsia="de-DE"/>
        </w:rPr>
        <w:t xml:space="preserve">ity in </w:t>
      </w:r>
      <w:r w:rsidR="00D02B4B" w:rsidRPr="009F53B3">
        <w:rPr>
          <w:lang w:val="en-US" w:eastAsia="de-DE"/>
        </w:rPr>
        <w:t xml:space="preserve">the </w:t>
      </w:r>
      <w:r w:rsidR="00781BE4" w:rsidRPr="009F53B3">
        <w:rPr>
          <w:lang w:val="en-US" w:eastAsia="de-DE"/>
        </w:rPr>
        <w:t>context of digital communication</w:t>
      </w:r>
      <w:r w:rsidRPr="009F53B3">
        <w:rPr>
          <w:lang w:val="en-US" w:eastAsia="de-DE"/>
        </w:rPr>
        <w:t xml:space="preserve"> is generally d</w:t>
      </w:r>
      <w:r w:rsidR="00781BE4" w:rsidRPr="009F53B3">
        <w:rPr>
          <w:lang w:val="en-US" w:eastAsia="de-DE"/>
        </w:rPr>
        <w:t>iscussed in terms of</w:t>
      </w:r>
      <w:r w:rsidRPr="009F53B3">
        <w:rPr>
          <w:lang w:val="en-US" w:eastAsia="de-DE"/>
        </w:rPr>
        <w:t xml:space="preserve"> confidentiality, integrity, and authenticity. Confidentiality means that information is encrypted and can therefore not be read by other parties. Integrity means that you can trust the information i</w:t>
      </w:r>
      <w:r w:rsidR="00AF7088" w:rsidRPr="009F53B3">
        <w:rPr>
          <w:lang w:val="en-US" w:eastAsia="de-DE"/>
        </w:rPr>
        <w:t>s</w:t>
      </w:r>
      <w:r w:rsidRPr="009F53B3">
        <w:rPr>
          <w:lang w:val="en-US" w:eastAsia="de-DE"/>
        </w:rPr>
        <w:t xml:space="preserve"> coming from the correct source. Authenticity means that it is guaranteed that information is not altered. Together these three </w:t>
      </w:r>
      <w:r w:rsidR="00AF7088" w:rsidRPr="009F53B3">
        <w:rPr>
          <w:lang w:val="en-US" w:eastAsia="de-DE"/>
        </w:rPr>
        <w:t xml:space="preserve">aspects </w:t>
      </w:r>
      <w:r w:rsidR="001529A6" w:rsidRPr="009F53B3">
        <w:rPr>
          <w:lang w:val="en-US" w:eastAsia="de-DE"/>
        </w:rPr>
        <w:t>provide</w:t>
      </w:r>
      <w:r w:rsidRPr="009F53B3">
        <w:rPr>
          <w:lang w:val="en-US" w:eastAsia="de-DE"/>
        </w:rPr>
        <w:t xml:space="preserve"> security</w:t>
      </w:r>
      <w:r w:rsidR="001529A6" w:rsidRPr="009F53B3">
        <w:rPr>
          <w:lang w:val="en-US" w:eastAsia="de-DE"/>
        </w:rPr>
        <w:t xml:space="preserve">.  </w:t>
      </w:r>
      <w:r w:rsidR="00626E17" w:rsidRPr="009F53B3">
        <w:rPr>
          <w:lang w:val="en-US" w:eastAsia="de-DE"/>
        </w:rPr>
        <w:t>In the context of public navigation information</w:t>
      </w:r>
      <w:r w:rsidR="00C1396F">
        <w:rPr>
          <w:lang w:val="en-US" w:eastAsia="de-DE"/>
        </w:rPr>
        <w:t>,</w:t>
      </w:r>
      <w:r w:rsidR="000A10EB" w:rsidRPr="009F53B3">
        <w:rPr>
          <w:lang w:val="en-US" w:eastAsia="de-DE"/>
        </w:rPr>
        <w:t xml:space="preserve"> where it is desired for</w:t>
      </w:r>
      <w:r w:rsidR="00B772CC" w:rsidRPr="009F53B3">
        <w:rPr>
          <w:lang w:val="en-US" w:eastAsia="de-DE"/>
        </w:rPr>
        <w:t xml:space="preserve"> everyone to be able to read the information</w:t>
      </w:r>
      <w:r w:rsidR="00626E17" w:rsidRPr="009F53B3">
        <w:rPr>
          <w:lang w:val="en-US" w:eastAsia="de-DE"/>
        </w:rPr>
        <w:t>,</w:t>
      </w:r>
      <w:r w:rsidR="000A10EB" w:rsidRPr="009F53B3">
        <w:rPr>
          <w:lang w:val="en-US" w:eastAsia="de-DE"/>
        </w:rPr>
        <w:t xml:space="preserve"> </w:t>
      </w:r>
      <w:r w:rsidRPr="009F53B3">
        <w:rPr>
          <w:lang w:val="en-US" w:eastAsia="de-DE"/>
        </w:rPr>
        <w:t>only integrity and authenticity</w:t>
      </w:r>
      <w:r w:rsidR="000A10EB" w:rsidRPr="009F53B3">
        <w:rPr>
          <w:lang w:val="en-US" w:eastAsia="de-DE"/>
        </w:rPr>
        <w:t xml:space="preserve"> </w:t>
      </w:r>
      <w:r w:rsidR="00D02B4B" w:rsidRPr="009F53B3">
        <w:rPr>
          <w:lang w:val="en-US" w:eastAsia="de-DE"/>
        </w:rPr>
        <w:t xml:space="preserve">are </w:t>
      </w:r>
      <w:r w:rsidR="001562E0">
        <w:rPr>
          <w:lang w:val="en-US" w:eastAsia="de-DE"/>
        </w:rPr>
        <w:t>desired</w:t>
      </w:r>
      <w:r w:rsidR="00D02B4B" w:rsidRPr="009F53B3">
        <w:rPr>
          <w:lang w:val="en-US" w:eastAsia="de-DE"/>
        </w:rPr>
        <w:t xml:space="preserve">.  </w:t>
      </w:r>
      <w:r w:rsidRPr="009F53B3">
        <w:rPr>
          <w:lang w:val="en-US" w:eastAsia="de-DE"/>
        </w:rPr>
        <w:t xml:space="preserve">Digital signatures </w:t>
      </w:r>
      <w:r w:rsidR="00266E0C" w:rsidRPr="009F53B3">
        <w:rPr>
          <w:lang w:val="en-US" w:eastAsia="de-DE"/>
        </w:rPr>
        <w:t xml:space="preserve">allow </w:t>
      </w:r>
      <w:r w:rsidRPr="009F53B3">
        <w:rPr>
          <w:lang w:val="en-US" w:eastAsia="de-DE"/>
        </w:rPr>
        <w:t xml:space="preserve">machine </w:t>
      </w:r>
      <w:r w:rsidR="00266E0C" w:rsidRPr="009F53B3">
        <w:rPr>
          <w:lang w:val="en-US" w:eastAsia="de-DE"/>
        </w:rPr>
        <w:t>to machine validation</w:t>
      </w:r>
      <w:r w:rsidR="001562E0">
        <w:rPr>
          <w:lang w:val="en-US" w:eastAsia="de-DE"/>
        </w:rPr>
        <w:t>, ensuring</w:t>
      </w:r>
      <w:r w:rsidR="00266E0C" w:rsidRPr="009F53B3">
        <w:rPr>
          <w:lang w:val="en-US" w:eastAsia="de-DE"/>
        </w:rPr>
        <w:t xml:space="preserve"> </w:t>
      </w:r>
      <w:r w:rsidR="002758A4" w:rsidRPr="009F53B3">
        <w:rPr>
          <w:lang w:val="en-US" w:eastAsia="de-DE"/>
        </w:rPr>
        <w:t>that</w:t>
      </w:r>
      <w:r w:rsidRPr="009F53B3">
        <w:rPr>
          <w:lang w:val="en-US" w:eastAsia="de-DE"/>
        </w:rPr>
        <w:t xml:space="preserve"> information</w:t>
      </w:r>
      <w:r w:rsidR="002758A4" w:rsidRPr="009F53B3">
        <w:rPr>
          <w:lang w:val="en-US" w:eastAsia="de-DE"/>
        </w:rPr>
        <w:t xml:space="preserve"> is </w:t>
      </w:r>
      <w:r w:rsidR="00C1396F" w:rsidRPr="00C1396F">
        <w:rPr>
          <w:lang w:val="en-US" w:eastAsia="de-DE"/>
        </w:rPr>
        <w:t>derived</w:t>
      </w:r>
      <w:r w:rsidR="002758A4" w:rsidRPr="009F53B3">
        <w:rPr>
          <w:lang w:val="en-US" w:eastAsia="de-DE"/>
        </w:rPr>
        <w:t xml:space="preserve"> from the correct</w:t>
      </w:r>
      <w:r w:rsidRPr="009F53B3">
        <w:rPr>
          <w:lang w:val="en-US" w:eastAsia="de-DE"/>
        </w:rPr>
        <w:t xml:space="preserve"> source and that messages are genuine. </w:t>
      </w:r>
    </w:p>
    <w:p w14:paraId="58F0798C" w14:textId="12CA6694" w:rsidR="00706E11" w:rsidRPr="009F53B3" w:rsidRDefault="00AF052D" w:rsidP="00056BCE">
      <w:pPr>
        <w:jc w:val="both"/>
        <w:rPr>
          <w:b/>
          <w:lang w:val="en-US"/>
        </w:rPr>
      </w:pPr>
      <w:r w:rsidRPr="009F53B3">
        <w:rPr>
          <w:lang w:val="en-US" w:eastAsia="de-DE"/>
        </w:rPr>
        <w:t xml:space="preserve">Security is a </w:t>
      </w:r>
      <w:r w:rsidR="00A83D8F" w:rsidRPr="009F53B3">
        <w:rPr>
          <w:lang w:val="en-US" w:eastAsia="de-DE"/>
        </w:rPr>
        <w:t xml:space="preserve">feature that is missing in </w:t>
      </w:r>
      <w:r w:rsidRPr="009F53B3">
        <w:rPr>
          <w:lang w:val="en-US" w:eastAsia="de-DE"/>
        </w:rPr>
        <w:t xml:space="preserve">many </w:t>
      </w:r>
      <w:r w:rsidR="00A83D8F" w:rsidRPr="009F53B3">
        <w:rPr>
          <w:lang w:val="en-US" w:eastAsia="de-DE"/>
        </w:rPr>
        <w:t xml:space="preserve">existing </w:t>
      </w:r>
      <w:r w:rsidRPr="009F53B3">
        <w:rPr>
          <w:lang w:val="en-US" w:eastAsia="de-DE"/>
        </w:rPr>
        <w:t xml:space="preserve">maritime </w:t>
      </w:r>
      <w:r w:rsidR="00A83D8F" w:rsidRPr="009F53B3">
        <w:rPr>
          <w:lang w:val="en-US" w:eastAsia="de-DE"/>
        </w:rPr>
        <w:t xml:space="preserve">communication technologies like AIS, NAVTEX, etc. These are very simple to spoof as they work without standardized authentication and signed messages. </w:t>
      </w:r>
    </w:p>
    <w:p w14:paraId="2E04244C" w14:textId="0FD9FFC8" w:rsidR="001D3F0D" w:rsidRPr="009F53B3" w:rsidRDefault="001D3F0D" w:rsidP="00056BCE">
      <w:pPr>
        <w:pStyle w:val="Heading2"/>
        <w:rPr>
          <w:lang w:val="da-DK"/>
        </w:rPr>
      </w:pPr>
      <w:r w:rsidRPr="009F53B3">
        <w:rPr>
          <w:lang w:val="da-DK"/>
        </w:rPr>
        <w:lastRenderedPageBreak/>
        <w:t>VHF Data Exchange System (VDES)</w:t>
      </w:r>
    </w:p>
    <w:p w14:paraId="157A5075" w14:textId="7191EBD9" w:rsidR="00254916" w:rsidRDefault="00254916" w:rsidP="00056BCE">
      <w:pPr>
        <w:jc w:val="both"/>
      </w:pPr>
      <w:r>
        <w:t>Maritime Messaging Service (MMS)</w:t>
      </w:r>
      <w:r w:rsidR="00B1257A">
        <w:t xml:space="preserve"> can be delivered over VDES</w:t>
      </w:r>
      <w:r w:rsidR="001562E0">
        <w:t>,</w:t>
      </w:r>
      <w:r w:rsidR="00D02147">
        <w:t xml:space="preserve"> as was identified in</w:t>
      </w:r>
      <w:r>
        <w:t xml:space="preserve"> </w:t>
      </w:r>
      <w:r w:rsidR="00D02147">
        <w:t>IALA Guideline</w:t>
      </w:r>
      <w:r>
        <w:t xml:space="preserve"> </w:t>
      </w:r>
      <w:r>
        <w:rPr>
          <w:rStyle w:val="ss360-suggestslink-wrap"/>
        </w:rPr>
        <w:t>G1117 VHF Data Exchange System (</w:t>
      </w:r>
      <w:r>
        <w:rPr>
          <w:rStyle w:val="ss360-highlight"/>
          <w:color w:val="0000FF"/>
          <w:u w:val="single"/>
        </w:rPr>
        <w:t>VDES</w:t>
      </w:r>
      <w:r>
        <w:rPr>
          <w:rStyle w:val="ss360-suggestslink-wrap"/>
        </w:rPr>
        <w:t>) Overview</w:t>
      </w:r>
      <w:r w:rsidR="0034502F">
        <w:rPr>
          <w:rStyle w:val="ss360-suggestslink-wrap"/>
        </w:rPr>
        <w:t>.  MMS allows the</w:t>
      </w:r>
      <w:r>
        <w:rPr>
          <w:rStyle w:val="ss360-suggestslink-wrap"/>
        </w:rPr>
        <w:t xml:space="preserve"> connect</w:t>
      </w:r>
      <w:r w:rsidR="00A377A7">
        <w:rPr>
          <w:rStyle w:val="ss360-suggestslink-wrap"/>
        </w:rPr>
        <w:t>ion between various communications technologies such as VDES and other</w:t>
      </w:r>
      <w:r>
        <w:rPr>
          <w:rStyle w:val="ss360-suggestslink-wrap"/>
        </w:rPr>
        <w:t xml:space="preserve"> systems using I</w:t>
      </w:r>
      <w:r w:rsidR="00A377A7">
        <w:rPr>
          <w:rStyle w:val="ss360-suggestslink-wrap"/>
        </w:rPr>
        <w:t xml:space="preserve">nternet </w:t>
      </w:r>
      <w:r>
        <w:rPr>
          <w:rStyle w:val="ss360-suggestslink-wrap"/>
        </w:rPr>
        <w:t>P</w:t>
      </w:r>
      <w:r w:rsidR="00A377A7">
        <w:rPr>
          <w:rStyle w:val="ss360-suggestslink-wrap"/>
        </w:rPr>
        <w:t>rotocol (IP)</w:t>
      </w:r>
      <w:r>
        <w:rPr>
          <w:rStyle w:val="ss360-suggestslink-wrap"/>
        </w:rPr>
        <w:t xml:space="preserve"> network</w:t>
      </w:r>
      <w:r w:rsidR="00A377A7">
        <w:rPr>
          <w:rStyle w:val="ss360-suggestslink-wrap"/>
        </w:rPr>
        <w:t>s</w:t>
      </w:r>
      <w:r>
        <w:rPr>
          <w:rStyle w:val="ss360-suggestslink-wrap"/>
        </w:rPr>
        <w:t>.</w:t>
      </w:r>
      <w:r w:rsidR="00791366">
        <w:rPr>
          <w:rStyle w:val="ss360-suggestslink-wrap"/>
        </w:rPr>
        <w:t xml:space="preserve"> </w:t>
      </w:r>
      <w:r>
        <w:rPr>
          <w:rStyle w:val="ss360-suggestslink-wrap"/>
        </w:rPr>
        <w:t xml:space="preserve"> </w:t>
      </w:r>
      <w:r>
        <w:t xml:space="preserve">VDES can use MIR and its Public Key Infrastructure (PKI) to secure communication. </w:t>
      </w:r>
    </w:p>
    <w:p w14:paraId="6D20C661" w14:textId="77777777" w:rsidR="00254916" w:rsidRDefault="00254916" w:rsidP="00056BCE">
      <w:pPr>
        <w:jc w:val="both"/>
      </w:pPr>
    </w:p>
    <w:p w14:paraId="67A9AB0D" w14:textId="519A7CCC" w:rsidR="008A1D09" w:rsidRDefault="00646429" w:rsidP="00F825F6">
      <w:pPr>
        <w:pStyle w:val="Heading2"/>
      </w:pPr>
      <w:r>
        <w:t>SECOM</w:t>
      </w:r>
    </w:p>
    <w:p w14:paraId="635DD0A3" w14:textId="11C573F6" w:rsidR="00A603C8" w:rsidRDefault="00646429" w:rsidP="00056BCE">
      <w:pPr>
        <w:jc w:val="both"/>
      </w:pPr>
      <w:r>
        <w:t>SECOM</w:t>
      </w:r>
      <w:r w:rsidR="00737DFB">
        <w:t xml:space="preserve"> is an IEC standard for secure communication </w:t>
      </w:r>
      <w:r w:rsidR="00EF2285">
        <w:t>with navigation equipment.</w:t>
      </w:r>
      <w:r>
        <w:t xml:space="preserve"> </w:t>
      </w:r>
      <w:r w:rsidR="00EF2285">
        <w:t>I</w:t>
      </w:r>
      <w:r w:rsidR="00CC5CA0">
        <w:t>t i</w:t>
      </w:r>
      <w:r>
        <w:t>s the envisioned way to securely deliver</w:t>
      </w:r>
      <w:r w:rsidR="00A226A8">
        <w:t xml:space="preserve"> digital information to ECDIS</w:t>
      </w:r>
      <w:r w:rsidR="00771B9B">
        <w:t xml:space="preserve"> and INS</w:t>
      </w:r>
      <w:r w:rsidR="00A226A8">
        <w:t>.</w:t>
      </w:r>
      <w:r>
        <w:t xml:space="preserve"> MCP provides Identity and Services Registries required by the SECOM standard.</w:t>
      </w:r>
      <w:r w:rsidR="00DD1B28">
        <w:rPr>
          <w:lang w:eastAsia="de-DE"/>
        </w:rPr>
        <w:t xml:space="preserve"> </w:t>
      </w:r>
    </w:p>
    <w:p w14:paraId="1DD955DE" w14:textId="76A88BC9" w:rsidR="00476F9B" w:rsidRPr="00DE4262" w:rsidRDefault="00476F9B" w:rsidP="00056BCE">
      <w:pPr>
        <w:pStyle w:val="Heading1"/>
        <w:jc w:val="both"/>
      </w:pPr>
      <w:r>
        <w:t>Manag</w:t>
      </w:r>
      <w:r w:rsidR="000D742C">
        <w:t>ement</w:t>
      </w:r>
      <w:r>
        <w:t xml:space="preserve"> and Administration </w:t>
      </w:r>
      <w:r w:rsidR="009671B3">
        <w:t xml:space="preserve">of </w:t>
      </w:r>
      <w:r>
        <w:t xml:space="preserve">Maritime Connectivity </w:t>
      </w:r>
    </w:p>
    <w:p w14:paraId="60162AFC" w14:textId="5EFE536C" w:rsidR="00DD1B28" w:rsidRDefault="00A226A8" w:rsidP="00056BCE">
      <w:pPr>
        <w:jc w:val="both"/>
        <w:rPr>
          <w:lang w:eastAsia="de-DE"/>
        </w:rPr>
      </w:pPr>
      <w:r>
        <w:rPr>
          <w:lang w:eastAsia="de-DE"/>
        </w:rPr>
        <w:t xml:space="preserve">Digital </w:t>
      </w:r>
      <w:r w:rsidR="00DD1B28">
        <w:rPr>
          <w:lang w:eastAsia="de-DE"/>
        </w:rPr>
        <w:t>Platform providers</w:t>
      </w:r>
      <w:r w:rsidR="000D742C">
        <w:rPr>
          <w:lang w:eastAsia="de-DE"/>
        </w:rPr>
        <w:t xml:space="preserve">, </w:t>
      </w:r>
      <w:r w:rsidR="00A57346">
        <w:rPr>
          <w:lang w:eastAsia="de-DE"/>
        </w:rPr>
        <w:t>such governmental organisations</w:t>
      </w:r>
      <w:r w:rsidR="00E15749">
        <w:rPr>
          <w:lang w:eastAsia="de-DE"/>
        </w:rPr>
        <w:t xml:space="preserve"> or</w:t>
      </w:r>
      <w:r w:rsidR="006D52C3">
        <w:rPr>
          <w:lang w:eastAsia="de-DE"/>
        </w:rPr>
        <w:t xml:space="preserve"> </w:t>
      </w:r>
      <w:r w:rsidR="00A57346">
        <w:rPr>
          <w:lang w:eastAsia="de-DE"/>
        </w:rPr>
        <w:t>private bodies</w:t>
      </w:r>
      <w:r w:rsidR="006D52C3">
        <w:rPr>
          <w:lang w:eastAsia="de-DE"/>
        </w:rPr>
        <w:t>,</w:t>
      </w:r>
      <w:r w:rsidR="00F1788F">
        <w:rPr>
          <w:lang w:eastAsia="de-DE"/>
        </w:rPr>
        <w:t xml:space="preserve"> </w:t>
      </w:r>
      <w:r w:rsidR="00A57346">
        <w:rPr>
          <w:lang w:eastAsia="de-DE"/>
        </w:rPr>
        <w:t>operate</w:t>
      </w:r>
      <w:r w:rsidR="00DD1B28">
        <w:rPr>
          <w:lang w:eastAsia="de-DE"/>
        </w:rPr>
        <w:t xml:space="preserve"> core services for Identity and Service Registries and Maritime Messaging</w:t>
      </w:r>
      <w:r>
        <w:rPr>
          <w:lang w:eastAsia="de-DE"/>
        </w:rPr>
        <w:t xml:space="preserve"> (MIR, MSR, MMS)</w:t>
      </w:r>
      <w:r w:rsidR="00DD1B28">
        <w:rPr>
          <w:lang w:eastAsia="de-DE"/>
        </w:rPr>
        <w:t xml:space="preserve">. </w:t>
      </w:r>
      <w:r w:rsidR="00A57346">
        <w:rPr>
          <w:lang w:eastAsia="de-DE"/>
        </w:rPr>
        <w:t>These platform providers</w:t>
      </w:r>
      <w:r w:rsidR="00DD1B28">
        <w:rPr>
          <w:lang w:eastAsia="de-DE"/>
        </w:rPr>
        <w:t xml:space="preserve"> have the important role to generate </w:t>
      </w:r>
      <w:r w:rsidR="00C17FE2">
        <w:rPr>
          <w:lang w:eastAsia="de-DE"/>
        </w:rPr>
        <w:t xml:space="preserve">and protect </w:t>
      </w:r>
      <w:r w:rsidR="00DD1B28">
        <w:rPr>
          <w:lang w:eastAsia="de-DE"/>
        </w:rPr>
        <w:t>trust f</w:t>
      </w:r>
      <w:r w:rsidR="00C17FE2">
        <w:rPr>
          <w:lang w:eastAsia="de-DE"/>
        </w:rPr>
        <w:t>rom</w:t>
      </w:r>
      <w:r w:rsidR="00DD1B28">
        <w:rPr>
          <w:lang w:eastAsia="de-DE"/>
        </w:rPr>
        <w:t xml:space="preserve"> user</w:t>
      </w:r>
      <w:r w:rsidR="00C17FE2">
        <w:rPr>
          <w:lang w:eastAsia="de-DE"/>
        </w:rPr>
        <w:t>s</w:t>
      </w:r>
      <w:r w:rsidR="00DD1B28">
        <w:rPr>
          <w:lang w:eastAsia="de-DE"/>
        </w:rPr>
        <w:t xml:space="preserve"> of their digital platform</w:t>
      </w:r>
      <w:r w:rsidR="00C17FE2">
        <w:rPr>
          <w:lang w:eastAsia="de-DE"/>
        </w:rPr>
        <w:t>(s)</w:t>
      </w:r>
      <w:r w:rsidR="00DD1B28">
        <w:rPr>
          <w:lang w:eastAsia="de-DE"/>
        </w:rPr>
        <w:t xml:space="preserve">. </w:t>
      </w:r>
      <w:r w:rsidR="007F116C">
        <w:rPr>
          <w:lang w:eastAsia="de-DE"/>
        </w:rPr>
        <w:t xml:space="preserve">  MCP facilitates this role by providing means t</w:t>
      </w:r>
      <w:r w:rsidR="002C32AD">
        <w:rPr>
          <w:lang w:eastAsia="de-DE"/>
        </w:rPr>
        <w:t>o</w:t>
      </w:r>
      <w:r w:rsidR="00DD1B28">
        <w:rPr>
          <w:lang w:eastAsia="de-DE"/>
        </w:rPr>
        <w:t xml:space="preserve"> </w:t>
      </w:r>
      <w:r w:rsidR="00A57346">
        <w:rPr>
          <w:lang w:eastAsia="de-DE"/>
        </w:rPr>
        <w:t>manage and operate</w:t>
      </w:r>
      <w:r w:rsidR="00DD1B28">
        <w:rPr>
          <w:lang w:eastAsia="de-DE"/>
        </w:rPr>
        <w:t xml:space="preserve"> core services</w:t>
      </w:r>
      <w:r w:rsidR="002C32AD">
        <w:rPr>
          <w:lang w:eastAsia="de-DE"/>
        </w:rPr>
        <w:t xml:space="preserve"> and</w:t>
      </w:r>
      <w:r w:rsidR="00DD1B28">
        <w:rPr>
          <w:lang w:eastAsia="de-DE"/>
        </w:rPr>
        <w:t xml:space="preserve"> vetting procedure</w:t>
      </w:r>
      <w:r>
        <w:rPr>
          <w:lang w:eastAsia="de-DE"/>
        </w:rPr>
        <w:t>s</w:t>
      </w:r>
      <w:r w:rsidR="002C32AD">
        <w:rPr>
          <w:lang w:eastAsia="de-DE"/>
        </w:rPr>
        <w:t>.</w:t>
      </w:r>
    </w:p>
    <w:p w14:paraId="1ADEAF3D" w14:textId="20BA2972" w:rsidR="00AA2D90" w:rsidRDefault="00AA2D90" w:rsidP="00056BCE">
      <w:pPr>
        <w:jc w:val="both"/>
        <w:rPr>
          <w:lang w:eastAsia="de-DE"/>
        </w:rPr>
      </w:pPr>
    </w:p>
    <w:p w14:paraId="16B165D3" w14:textId="7E3F900D" w:rsidR="00476F9B" w:rsidRPr="00DE4262" w:rsidRDefault="00476F9B" w:rsidP="00056BCE">
      <w:pPr>
        <w:pStyle w:val="Heading1"/>
        <w:jc w:val="both"/>
      </w:pPr>
      <w:r>
        <w:t>Role</w:t>
      </w:r>
      <w:r w:rsidR="00AA2D90">
        <w:t xml:space="preserve"> </w:t>
      </w:r>
      <w:r w:rsidR="00041E56">
        <w:t xml:space="preserve">of </w:t>
      </w:r>
      <w:r w:rsidR="00AA2D90">
        <w:t>IALA</w:t>
      </w:r>
      <w:r>
        <w:t xml:space="preserve"> </w:t>
      </w:r>
      <w:r w:rsidR="00831242">
        <w:t>and</w:t>
      </w:r>
      <w:r>
        <w:t xml:space="preserve"> </w:t>
      </w:r>
      <w:r w:rsidR="00A007A5">
        <w:t xml:space="preserve">IALA Members </w:t>
      </w:r>
    </w:p>
    <w:p w14:paraId="7FD7EBBB" w14:textId="08CBAC8A" w:rsidR="00AA2D90" w:rsidRDefault="00AA2D90" w:rsidP="00056BCE">
      <w:pPr>
        <w:jc w:val="both"/>
        <w:rPr>
          <w:lang w:eastAsia="de-DE"/>
        </w:rPr>
      </w:pPr>
      <w:r>
        <w:rPr>
          <w:lang w:eastAsia="de-DE"/>
        </w:rPr>
        <w:t xml:space="preserve">It is not </w:t>
      </w:r>
      <w:r w:rsidR="00254916">
        <w:rPr>
          <w:lang w:eastAsia="de-DE"/>
        </w:rPr>
        <w:t>required</w:t>
      </w:r>
      <w:r>
        <w:rPr>
          <w:lang w:eastAsia="de-DE"/>
        </w:rPr>
        <w:t xml:space="preserve"> </w:t>
      </w:r>
      <w:r w:rsidR="00424186">
        <w:rPr>
          <w:lang w:eastAsia="de-DE"/>
        </w:rPr>
        <w:t xml:space="preserve">or expected </w:t>
      </w:r>
      <w:r>
        <w:rPr>
          <w:lang w:eastAsia="de-DE"/>
        </w:rPr>
        <w:t xml:space="preserve">that IALA </w:t>
      </w:r>
      <w:r w:rsidR="00A57346">
        <w:rPr>
          <w:lang w:eastAsia="de-DE"/>
        </w:rPr>
        <w:t>has</w:t>
      </w:r>
      <w:r>
        <w:rPr>
          <w:lang w:eastAsia="de-DE"/>
        </w:rPr>
        <w:t xml:space="preserve"> an operative role</w:t>
      </w:r>
      <w:r w:rsidR="00114653">
        <w:rPr>
          <w:lang w:eastAsia="de-DE"/>
        </w:rPr>
        <w:t xml:space="preserve"> with MCP</w:t>
      </w:r>
      <w:r>
        <w:rPr>
          <w:lang w:eastAsia="de-DE"/>
        </w:rPr>
        <w:t>. IALA support</w:t>
      </w:r>
      <w:r w:rsidR="00254916">
        <w:rPr>
          <w:lang w:eastAsia="de-DE"/>
        </w:rPr>
        <w:t>s</w:t>
      </w:r>
      <w:r>
        <w:rPr>
          <w:lang w:eastAsia="de-DE"/>
        </w:rPr>
        <w:t xml:space="preserve"> MCP </w:t>
      </w:r>
      <w:r w:rsidR="00424186">
        <w:rPr>
          <w:lang w:eastAsia="de-DE"/>
        </w:rPr>
        <w:t xml:space="preserve">through the work of the DTEC Committee to </w:t>
      </w:r>
      <w:r>
        <w:rPr>
          <w:lang w:eastAsia="de-DE"/>
        </w:rPr>
        <w:t>defin</w:t>
      </w:r>
      <w:r w:rsidR="00424186">
        <w:rPr>
          <w:lang w:eastAsia="de-DE"/>
        </w:rPr>
        <w:t>e</w:t>
      </w:r>
      <w:r>
        <w:rPr>
          <w:lang w:eastAsia="de-DE"/>
        </w:rPr>
        <w:t xml:space="preserve"> standards, </w:t>
      </w:r>
      <w:r w:rsidR="00C1396F">
        <w:rPr>
          <w:lang w:eastAsia="de-DE"/>
        </w:rPr>
        <w:t>recommendation,</w:t>
      </w:r>
      <w:r>
        <w:rPr>
          <w:lang w:eastAsia="de-DE"/>
        </w:rPr>
        <w:t xml:space="preserve"> and guidelines</w:t>
      </w:r>
      <w:r w:rsidR="00831242">
        <w:rPr>
          <w:lang w:eastAsia="de-DE"/>
        </w:rPr>
        <w:t xml:space="preserve"> used by other IALA committees</w:t>
      </w:r>
      <w:r w:rsidR="00413709">
        <w:rPr>
          <w:lang w:eastAsia="de-DE"/>
        </w:rPr>
        <w:t xml:space="preserve">. IALA </w:t>
      </w:r>
      <w:r>
        <w:rPr>
          <w:lang w:eastAsia="de-DE"/>
        </w:rPr>
        <w:t xml:space="preserve">members </w:t>
      </w:r>
      <w:r w:rsidR="002819E0">
        <w:rPr>
          <w:lang w:eastAsia="de-DE"/>
        </w:rPr>
        <w:t xml:space="preserve">can </w:t>
      </w:r>
      <w:r>
        <w:rPr>
          <w:lang w:eastAsia="de-DE"/>
        </w:rPr>
        <w:t>make use of digital platforms to implement maritime services in the context of e-</w:t>
      </w:r>
      <w:r w:rsidR="00833937">
        <w:rPr>
          <w:lang w:eastAsia="de-DE"/>
        </w:rPr>
        <w:t>n</w:t>
      </w:r>
      <w:r>
        <w:rPr>
          <w:lang w:eastAsia="de-DE"/>
        </w:rPr>
        <w:t xml:space="preserve">avigation and for other needs like pilot operations, port collaboration, etc.  </w:t>
      </w:r>
    </w:p>
    <w:p w14:paraId="3AEA069C" w14:textId="33D30D5F" w:rsidR="00AA2D90" w:rsidRDefault="00AA2D90" w:rsidP="00056BCE">
      <w:pPr>
        <w:jc w:val="both"/>
        <w:rPr>
          <w:lang w:eastAsia="de-DE"/>
        </w:rPr>
      </w:pPr>
      <w:r>
        <w:rPr>
          <w:lang w:eastAsia="de-DE"/>
        </w:rPr>
        <w:t>IALA member</w:t>
      </w:r>
      <w:r w:rsidR="00254916">
        <w:rPr>
          <w:lang w:eastAsia="de-DE"/>
        </w:rPr>
        <w:t>s</w:t>
      </w:r>
      <w:r>
        <w:rPr>
          <w:lang w:eastAsia="de-DE"/>
        </w:rPr>
        <w:t xml:space="preserve"> can adopt the concepts </w:t>
      </w:r>
      <w:r w:rsidR="00EB3350">
        <w:rPr>
          <w:lang w:eastAsia="de-DE"/>
        </w:rPr>
        <w:t xml:space="preserve">of MCP </w:t>
      </w:r>
      <w:r w:rsidR="005D5457">
        <w:rPr>
          <w:lang w:eastAsia="de-DE"/>
        </w:rPr>
        <w:t>for</w:t>
      </w:r>
      <w:r>
        <w:rPr>
          <w:lang w:eastAsia="de-DE"/>
        </w:rPr>
        <w:t xml:space="preserve"> </w:t>
      </w:r>
      <w:r w:rsidR="005D5457">
        <w:rPr>
          <w:lang w:eastAsia="de-DE"/>
        </w:rPr>
        <w:t xml:space="preserve">the </w:t>
      </w:r>
      <w:r w:rsidR="00A603C8">
        <w:rPr>
          <w:lang w:eastAsia="de-DE"/>
        </w:rPr>
        <w:t>provi</w:t>
      </w:r>
      <w:r w:rsidR="005D5457">
        <w:rPr>
          <w:lang w:eastAsia="de-DE"/>
        </w:rPr>
        <w:t>sion of</w:t>
      </w:r>
      <w:r w:rsidR="00A603C8">
        <w:rPr>
          <w:lang w:eastAsia="de-DE"/>
        </w:rPr>
        <w:t xml:space="preserve"> </w:t>
      </w:r>
      <w:r>
        <w:rPr>
          <w:lang w:eastAsia="de-DE"/>
        </w:rPr>
        <w:t>digital services</w:t>
      </w:r>
      <w:r w:rsidR="00254916">
        <w:rPr>
          <w:lang w:eastAsia="de-DE"/>
        </w:rPr>
        <w:t xml:space="preserve">. </w:t>
      </w:r>
      <w:r w:rsidR="002549F0">
        <w:rPr>
          <w:lang w:eastAsia="de-DE"/>
        </w:rPr>
        <w:t xml:space="preserve">IALA members are encouraged to </w:t>
      </w:r>
      <w:r w:rsidR="00437AC9">
        <w:rPr>
          <w:lang w:eastAsia="de-DE"/>
        </w:rPr>
        <w:t>apply</w:t>
      </w:r>
      <w:r w:rsidR="002549F0">
        <w:rPr>
          <w:lang w:eastAsia="de-DE"/>
        </w:rPr>
        <w:t xml:space="preserve"> existing</w:t>
      </w:r>
      <w:r>
        <w:rPr>
          <w:lang w:eastAsia="de-DE"/>
        </w:rPr>
        <w:t xml:space="preserve"> G1128 </w:t>
      </w:r>
      <w:r w:rsidR="00082DD1">
        <w:rPr>
          <w:lang w:eastAsia="de-DE"/>
        </w:rPr>
        <w:t xml:space="preserve">based </w:t>
      </w:r>
      <w:r>
        <w:rPr>
          <w:lang w:eastAsia="de-DE"/>
        </w:rPr>
        <w:t>technical service specification</w:t>
      </w:r>
      <w:r w:rsidR="00082DD1">
        <w:rPr>
          <w:lang w:eastAsia="de-DE"/>
        </w:rPr>
        <w:t xml:space="preserve">s </w:t>
      </w:r>
      <w:r>
        <w:rPr>
          <w:lang w:eastAsia="de-DE"/>
        </w:rPr>
        <w:t>for</w:t>
      </w:r>
      <w:r w:rsidR="00151CE1">
        <w:rPr>
          <w:lang w:eastAsia="de-DE"/>
        </w:rPr>
        <w:t xml:space="preserve"> their</w:t>
      </w:r>
      <w:r>
        <w:rPr>
          <w:lang w:eastAsia="de-DE"/>
        </w:rPr>
        <w:t xml:space="preserve"> digital service</w:t>
      </w:r>
      <w:r w:rsidR="00151CE1">
        <w:rPr>
          <w:lang w:eastAsia="de-DE"/>
        </w:rPr>
        <w:t>(s)</w:t>
      </w:r>
      <w:r>
        <w:rPr>
          <w:lang w:eastAsia="de-DE"/>
        </w:rPr>
        <w:t>.</w:t>
      </w:r>
    </w:p>
    <w:p w14:paraId="119DB7BF" w14:textId="20889BF0" w:rsidR="00AA2D90" w:rsidRDefault="00AA2D90" w:rsidP="00056BCE">
      <w:pPr>
        <w:jc w:val="both"/>
        <w:rPr>
          <w:lang w:eastAsia="de-DE"/>
        </w:rPr>
      </w:pPr>
      <w:r>
        <w:rPr>
          <w:lang w:eastAsia="de-DE"/>
        </w:rPr>
        <w:t xml:space="preserve">IALA Members, who produce technical equipment can adopt MCP </w:t>
      </w:r>
      <w:r w:rsidR="008E7DB4">
        <w:rPr>
          <w:lang w:eastAsia="de-DE"/>
        </w:rPr>
        <w:t xml:space="preserve">concepts </w:t>
      </w:r>
      <w:r>
        <w:rPr>
          <w:lang w:eastAsia="de-DE"/>
        </w:rPr>
        <w:t xml:space="preserve">to </w:t>
      </w:r>
      <w:r w:rsidR="00514047">
        <w:rPr>
          <w:lang w:eastAsia="de-DE"/>
        </w:rPr>
        <w:t xml:space="preserve">enhance </w:t>
      </w:r>
      <w:r>
        <w:rPr>
          <w:lang w:eastAsia="de-DE"/>
        </w:rPr>
        <w:t>standardiz</w:t>
      </w:r>
      <w:r w:rsidR="00514047">
        <w:rPr>
          <w:lang w:eastAsia="de-DE"/>
        </w:rPr>
        <w:t>ation of</w:t>
      </w:r>
      <w:r>
        <w:rPr>
          <w:lang w:eastAsia="de-DE"/>
        </w:rPr>
        <w:t xml:space="preserve"> interfaces.  IALA members are invited to become member of </w:t>
      </w:r>
      <w:r w:rsidR="00DF60C1">
        <w:rPr>
          <w:lang w:eastAsia="de-DE"/>
        </w:rPr>
        <w:t xml:space="preserve">the </w:t>
      </w:r>
      <w:r>
        <w:rPr>
          <w:lang w:eastAsia="de-DE"/>
        </w:rPr>
        <w:t>Maritime Connectivity Platform Consortium</w:t>
      </w:r>
      <w:r w:rsidR="00266917">
        <w:rPr>
          <w:lang w:eastAsia="de-DE"/>
        </w:rPr>
        <w:t>.</w:t>
      </w:r>
    </w:p>
    <w:p w14:paraId="7BE37DF9" w14:textId="77777777" w:rsidR="00884284" w:rsidRDefault="00884284" w:rsidP="00884284">
      <w:pPr>
        <w:pStyle w:val="Heading1"/>
      </w:pPr>
      <w:r>
        <w:t xml:space="preserve">Role of the Maritime Connectivity Platform consortium </w:t>
      </w:r>
    </w:p>
    <w:p w14:paraId="5191F34A" w14:textId="2E38C4EE" w:rsidR="00884284" w:rsidRDefault="00884284" w:rsidP="008A3818">
      <w:pPr>
        <w:jc w:val="both"/>
      </w:pPr>
      <w:r>
        <w:t xml:space="preserve">The concepts </w:t>
      </w:r>
      <w:r w:rsidR="006C23C4">
        <w:t>of</w:t>
      </w:r>
      <w:r>
        <w:t xml:space="preserve"> digital platform</w:t>
      </w:r>
      <w:r w:rsidR="006C23C4">
        <w:t>s</w:t>
      </w:r>
      <w:r w:rsidR="00F1788F">
        <w:t xml:space="preserve"> and MCP</w:t>
      </w:r>
      <w:r>
        <w:t xml:space="preserve"> </w:t>
      </w:r>
      <w:r w:rsidR="008674DB">
        <w:t xml:space="preserve">have been </w:t>
      </w:r>
      <w:r>
        <w:t xml:space="preserve">discussed and developed for more </w:t>
      </w:r>
      <w:r w:rsidR="007C40C4">
        <w:t>than</w:t>
      </w:r>
      <w:r>
        <w:t xml:space="preserve"> 1</w:t>
      </w:r>
      <w:r w:rsidR="00DF60C1">
        <w:t>0</w:t>
      </w:r>
      <w:r>
        <w:t xml:space="preserve"> years. Initial resources came </w:t>
      </w:r>
      <w:r w:rsidR="008674DB">
        <w:t xml:space="preserve">through </w:t>
      </w:r>
      <w:r>
        <w:t>various E</w:t>
      </w:r>
      <w:r w:rsidR="00F1788F">
        <w:t xml:space="preserve">uropean </w:t>
      </w:r>
      <w:r>
        <w:t>C</w:t>
      </w:r>
      <w:r w:rsidR="00F1788F">
        <w:t>ommission</w:t>
      </w:r>
      <w:r>
        <w:t xml:space="preserve"> funded research projects around the world</w:t>
      </w:r>
      <w:r w:rsidR="00F35219">
        <w:t>,</w:t>
      </w:r>
      <w:r>
        <w:t xml:space="preserve"> and significant </w:t>
      </w:r>
      <w:r w:rsidR="00DA5F73">
        <w:t>contributions by</w:t>
      </w:r>
      <w:r>
        <w:t xml:space="preserve"> IALA members</w:t>
      </w:r>
      <w:r w:rsidR="00F1788F">
        <w:t xml:space="preserve"> and others</w:t>
      </w:r>
      <w:r>
        <w:t>. The Maritime Connectivity Platform Consortium</w:t>
      </w:r>
      <w:r w:rsidR="00A10223">
        <w:t xml:space="preserve"> (MCC)</w:t>
      </w:r>
      <w:r>
        <w:t xml:space="preserve"> is group of institutions </w:t>
      </w:r>
      <w:r w:rsidR="00BA2B38">
        <w:t xml:space="preserve">that </w:t>
      </w:r>
      <w:r>
        <w:t>join</w:t>
      </w:r>
      <w:r w:rsidR="008674DB">
        <w:t>ed</w:t>
      </w:r>
      <w:r>
        <w:t xml:space="preserve"> forces to foster the development of MCP. </w:t>
      </w:r>
      <w:r w:rsidR="00833613">
        <w:t xml:space="preserve"> T</w:t>
      </w:r>
      <w:r w:rsidR="00A10223">
        <w:t>he MCC</w:t>
      </w:r>
      <w:r>
        <w:t xml:space="preserve"> is not a legal body</w:t>
      </w:r>
      <w:r w:rsidR="008674DB">
        <w:t>,</w:t>
      </w:r>
      <w:r>
        <w:t xml:space="preserve"> but more th</w:t>
      </w:r>
      <w:r w:rsidR="00831242">
        <w:t>a</w:t>
      </w:r>
      <w:r>
        <w:t xml:space="preserve">n </w:t>
      </w:r>
      <w:r w:rsidR="00831242">
        <w:t>4</w:t>
      </w:r>
      <w:r w:rsidR="00A10223">
        <w:t xml:space="preserve">0 </w:t>
      </w:r>
      <w:r w:rsidR="00F1788F">
        <w:t>members</w:t>
      </w:r>
      <w:r w:rsidR="00A10223">
        <w:t xml:space="preserve"> working </w:t>
      </w:r>
      <w:r w:rsidR="00833613">
        <w:t>collaboratively toward a common global end</w:t>
      </w:r>
      <w:r w:rsidR="00802E2B">
        <w:t>, and</w:t>
      </w:r>
      <w:r w:rsidR="00C869DF">
        <w:t xml:space="preserve"> any activity is done by and on the behalf the members themselves. </w:t>
      </w:r>
      <w:r w:rsidR="00A10223">
        <w:t xml:space="preserve">The working procedures are defined </w:t>
      </w:r>
      <w:r w:rsidR="00F1788F">
        <w:t>by</w:t>
      </w:r>
      <w:r w:rsidR="00A10223">
        <w:t xml:space="preserve"> a consortium agreement. </w:t>
      </w:r>
    </w:p>
    <w:p w14:paraId="70D7928A" w14:textId="23667F92" w:rsidR="00CF5FD6" w:rsidRDefault="00F1788F" w:rsidP="008A3818">
      <w:pPr>
        <w:jc w:val="both"/>
      </w:pPr>
      <w:r>
        <w:t xml:space="preserve">Members of the MCC </w:t>
      </w:r>
      <w:r w:rsidR="00F15608">
        <w:t>maintain</w:t>
      </w:r>
      <w:r>
        <w:t xml:space="preserve"> a reference implementation</w:t>
      </w:r>
      <w:r w:rsidR="00F03C5A">
        <w:t xml:space="preserve">, </w:t>
      </w:r>
      <w:r>
        <w:t>operate a public demonstrator for MCP core services</w:t>
      </w:r>
      <w:r w:rsidR="00F03C5A">
        <w:t xml:space="preserve"> and endorse MCP Service Providers</w:t>
      </w:r>
      <w:r>
        <w:t>.</w:t>
      </w:r>
      <w:r w:rsidR="005B5B63">
        <w:t xml:space="preserve">  MCC members</w:t>
      </w:r>
      <w:r w:rsidR="00920C15">
        <w:t xml:space="preserve"> </w:t>
      </w:r>
      <w:r w:rsidR="00F03C5A">
        <w:t xml:space="preserve">also </w:t>
      </w:r>
      <w:r w:rsidR="00920C15">
        <w:t>collaborate</w:t>
      </w:r>
      <w:r w:rsidR="00A10223">
        <w:t xml:space="preserve"> to develop input papers for IALA, IEC, RTCM and IHO</w:t>
      </w:r>
      <w:r w:rsidR="00CF5FD6">
        <w:t>.</w:t>
      </w:r>
    </w:p>
    <w:p w14:paraId="0B10A698" w14:textId="77777777" w:rsidR="00DE4262" w:rsidRPr="00DE4262" w:rsidRDefault="00DE4262" w:rsidP="008A3818">
      <w:pPr>
        <w:pStyle w:val="Heading1"/>
        <w:jc w:val="both"/>
      </w:pPr>
      <w:r>
        <w:lastRenderedPageBreak/>
        <w:t>Status</w:t>
      </w:r>
    </w:p>
    <w:p w14:paraId="1FF17DD0" w14:textId="1AA48BB7" w:rsidR="00CF5FD6" w:rsidRDefault="000D387A" w:rsidP="008A3818">
      <w:pPr>
        <w:pStyle w:val="BodyText"/>
      </w:pPr>
      <w:r>
        <w:t>S</w:t>
      </w:r>
      <w:r w:rsidR="00CF5FD6">
        <w:t xml:space="preserve">pecifications for MIR </w:t>
      </w:r>
      <w:r w:rsidR="00435405">
        <w:t>have been</w:t>
      </w:r>
      <w:r w:rsidR="00CF5FD6">
        <w:t xml:space="preserve"> adopted by the MCC and </w:t>
      </w:r>
      <w:r w:rsidR="00435405">
        <w:t>are being</w:t>
      </w:r>
      <w:r w:rsidR="00CF5FD6">
        <w:t xml:space="preserve"> submitted from DTEC2 to </w:t>
      </w:r>
      <w:r w:rsidR="00435405">
        <w:t>C</w:t>
      </w:r>
      <w:r w:rsidR="00CF5FD6">
        <w:t xml:space="preserve">ouncil for approval. </w:t>
      </w:r>
      <w:r w:rsidR="00831242">
        <w:t xml:space="preserve">This is the Document </w:t>
      </w:r>
      <w:r w:rsidR="00C75A72" w:rsidRPr="00C75A72">
        <w:rPr>
          <w:highlight w:val="yellow"/>
        </w:rPr>
        <w:t>C80-X.X.X.X</w:t>
      </w:r>
      <w:r w:rsidR="00C75A72">
        <w:t xml:space="preserve"> </w:t>
      </w:r>
      <w:r w:rsidR="00C75A72" w:rsidRPr="00C75A72">
        <w:t>Guideline on provision of MCP identities</w:t>
      </w:r>
      <w:r w:rsidR="00C75A72">
        <w:t>.</w:t>
      </w:r>
      <w:r w:rsidR="00C75A72">
        <w:tab/>
      </w:r>
    </w:p>
    <w:p w14:paraId="5FA76A2E" w14:textId="2DAC2ECF" w:rsidR="00CF5FD6" w:rsidRDefault="00FA2DEA" w:rsidP="00DE4262">
      <w:pPr>
        <w:pStyle w:val="BodyText"/>
      </w:pPr>
      <w:r>
        <w:t>O</w:t>
      </w:r>
      <w:r w:rsidR="00CF5FD6">
        <w:t xml:space="preserve">perational instances </w:t>
      </w:r>
      <w:r w:rsidR="00B2489A">
        <w:t xml:space="preserve">are </w:t>
      </w:r>
      <w:r w:rsidR="00CF5FD6">
        <w:t>run by a MCP Service Provider (</w:t>
      </w:r>
      <w:proofErr w:type="spellStart"/>
      <w:r w:rsidR="00CF5FD6">
        <w:t>Navelink</w:t>
      </w:r>
      <w:proofErr w:type="spellEnd"/>
      <w:r w:rsidR="00CF5FD6">
        <w:t xml:space="preserve">) which </w:t>
      </w:r>
      <w:r>
        <w:t>was</w:t>
      </w:r>
      <w:r w:rsidR="00CF5FD6">
        <w:t xml:space="preserve"> been endorsed by the MCC</w:t>
      </w:r>
      <w:r>
        <w:t xml:space="preserve"> in</w:t>
      </w:r>
      <w:r w:rsidR="00CF5FD6">
        <w:t xml:space="preserve"> May 2022. </w:t>
      </w:r>
    </w:p>
    <w:p w14:paraId="29411E98" w14:textId="3AA1FB0E" w:rsidR="00CF5FD6" w:rsidRDefault="00DD2A58" w:rsidP="00DE4262">
      <w:pPr>
        <w:pStyle w:val="BodyText"/>
      </w:pPr>
      <w:r>
        <w:t>Th</w:t>
      </w:r>
      <w:r w:rsidR="00CF5FD6">
        <w:t>e</w:t>
      </w:r>
      <w:r w:rsidR="00831242">
        <w:t xml:space="preserve"> </w:t>
      </w:r>
      <w:r w:rsidR="00CF5FD6">
        <w:t xml:space="preserve">MCC has </w:t>
      </w:r>
      <w:r w:rsidR="0008040B">
        <w:t xml:space="preserve">developed a </w:t>
      </w:r>
      <w:r w:rsidR="00CF5FD6">
        <w:t>draft specification and a running protype</w:t>
      </w:r>
      <w:r w:rsidR="0008040B">
        <w:t xml:space="preserve"> of MSR</w:t>
      </w:r>
      <w:r w:rsidR="00CF5FD6">
        <w:t xml:space="preserve">. The specification </w:t>
      </w:r>
      <w:r w:rsidR="004A4E63">
        <w:t>will be</w:t>
      </w:r>
      <w:r w:rsidR="00CF5FD6">
        <w:t xml:space="preserve"> </w:t>
      </w:r>
      <w:r w:rsidR="004A4E63">
        <w:t>submitted</w:t>
      </w:r>
      <w:r w:rsidR="00CF5FD6">
        <w:t xml:space="preserve"> as input document</w:t>
      </w:r>
      <w:r w:rsidR="004A4E63">
        <w:t xml:space="preserve"> to</w:t>
      </w:r>
      <w:r w:rsidR="00CF5FD6">
        <w:t xml:space="preserve"> DTEC</w:t>
      </w:r>
      <w:r w:rsidR="004A4E63">
        <w:t>3</w:t>
      </w:r>
      <w:r w:rsidR="00CF5FD6">
        <w:t xml:space="preserve">. </w:t>
      </w:r>
    </w:p>
    <w:p w14:paraId="31041623" w14:textId="092063D1" w:rsidR="00CF5FD6" w:rsidRDefault="00F93248" w:rsidP="00CF5FD6">
      <w:pPr>
        <w:pStyle w:val="BodyText"/>
      </w:pPr>
      <w:r>
        <w:t>T</w:t>
      </w:r>
      <w:r w:rsidR="00CF5FD6">
        <w:t xml:space="preserve">he MCC has </w:t>
      </w:r>
      <w:r>
        <w:t xml:space="preserve">developed </w:t>
      </w:r>
      <w:r w:rsidR="00CF5FD6">
        <w:t>draft specification and a running protype</w:t>
      </w:r>
      <w:r w:rsidR="00F61795">
        <w:t xml:space="preserve"> of MMS</w:t>
      </w:r>
      <w:r w:rsidR="00CF5FD6">
        <w:t>. The specification</w:t>
      </w:r>
      <w:r w:rsidR="00F61795">
        <w:t xml:space="preserve"> will be submitted as </w:t>
      </w:r>
      <w:r w:rsidR="00CF5FD6">
        <w:t>a</w:t>
      </w:r>
      <w:r w:rsidR="00F61795">
        <w:t>n</w:t>
      </w:r>
      <w:r w:rsidR="00CF5FD6">
        <w:t xml:space="preserve"> input document </w:t>
      </w:r>
      <w:r w:rsidR="00F61795">
        <w:t>to</w:t>
      </w:r>
      <w:r w:rsidR="00CF5FD6">
        <w:t xml:space="preserve"> RTCM.</w:t>
      </w:r>
    </w:p>
    <w:p w14:paraId="126F453D" w14:textId="094152B7" w:rsidR="00CF5FD6" w:rsidRDefault="00C75A72" w:rsidP="00CF5FD6">
      <w:pPr>
        <w:pStyle w:val="BodyText"/>
      </w:pPr>
      <w:r>
        <w:t>T</w:t>
      </w:r>
      <w:r w:rsidR="00CF5FD6">
        <w:t xml:space="preserve">he Open Digital Incubator </w:t>
      </w:r>
      <w:r w:rsidR="00265EC5">
        <w:t xml:space="preserve">Initiative </w:t>
      </w:r>
      <w:r w:rsidR="00F84969">
        <w:t xml:space="preserve">provides a forum </w:t>
      </w:r>
      <w:r w:rsidR="00224E2C">
        <w:t xml:space="preserve">through which </w:t>
      </w:r>
      <w:r w:rsidR="00CF5FD6">
        <w:t>several service provider</w:t>
      </w:r>
      <w:r w:rsidR="00224E2C">
        <w:t>s</w:t>
      </w:r>
      <w:r w:rsidR="00CF5FD6">
        <w:t xml:space="preserve"> </w:t>
      </w:r>
      <w:r w:rsidR="00265EC5">
        <w:t xml:space="preserve">are </w:t>
      </w:r>
      <w:r w:rsidR="00CF5FD6">
        <w:t xml:space="preserve">developing </w:t>
      </w:r>
      <w:r w:rsidR="00265EC5">
        <w:t xml:space="preserve">technical services which utilize MCP. </w:t>
      </w:r>
      <w:r w:rsidR="00CF5FD6">
        <w:t xml:space="preserve">  </w:t>
      </w:r>
    </w:p>
    <w:p w14:paraId="105C9F9D" w14:textId="533A450C" w:rsidR="00DE4262" w:rsidRPr="00DE4262" w:rsidRDefault="00DE4262" w:rsidP="00DE4262">
      <w:pPr>
        <w:pStyle w:val="Heading1"/>
      </w:pPr>
      <w:r>
        <w:t>Related Documents</w:t>
      </w:r>
    </w:p>
    <w:p w14:paraId="70A2EAF1" w14:textId="1F700A86" w:rsidR="001D3F0D" w:rsidRDefault="001D3F0D" w:rsidP="001D3F0D">
      <w:pPr>
        <w:pStyle w:val="BodyText"/>
      </w:pPr>
      <w:r>
        <w:t>R1019 Provision of Maritime Services in the Context of e</w:t>
      </w:r>
      <w:r w:rsidR="00C1396F">
        <w:t>-</w:t>
      </w:r>
      <w:r>
        <w:t>Navigation in the Domain of IALA</w:t>
      </w:r>
    </w:p>
    <w:p w14:paraId="7717F6F4" w14:textId="77777777" w:rsidR="0059381E" w:rsidRPr="009F53B3" w:rsidRDefault="0059381E" w:rsidP="0059381E">
      <w:pPr>
        <w:pStyle w:val="BodyText"/>
        <w:rPr>
          <w:lang w:val="da-DK"/>
        </w:rPr>
      </w:pPr>
      <w:r w:rsidRPr="009F53B3">
        <w:rPr>
          <w:lang w:val="da-DK"/>
        </w:rPr>
        <w:t>G1117 VHF Data Exchange System (VDES) Overview</w:t>
      </w:r>
    </w:p>
    <w:p w14:paraId="351C0694" w14:textId="77777777" w:rsidR="001D3F0D" w:rsidRDefault="001D3F0D" w:rsidP="001D3F0D">
      <w:pPr>
        <w:pStyle w:val="BodyText"/>
      </w:pPr>
      <w:r>
        <w:t>G1128 Specification of e-Navigation Technical Service</w:t>
      </w:r>
    </w:p>
    <w:p w14:paraId="0F352C51" w14:textId="77777777" w:rsidR="001D3F0D" w:rsidRDefault="001D3F0D" w:rsidP="001D3F0D">
      <w:pPr>
        <w:pStyle w:val="BodyText"/>
      </w:pPr>
      <w:r>
        <w:t>G1157 Web Service based S-100 Data Exchange</w:t>
      </w:r>
    </w:p>
    <w:p w14:paraId="05F1DD05" w14:textId="77777777" w:rsidR="001D3F0D" w:rsidRDefault="001D3F0D" w:rsidP="001D3F0D">
      <w:pPr>
        <w:pStyle w:val="BodyText"/>
      </w:pPr>
      <w:r>
        <w:t>G1159 Ed2.0 Ship Reporting from a Shore-based Perspective</w:t>
      </w:r>
    </w:p>
    <w:p w14:paraId="2AB8C822" w14:textId="77777777" w:rsidR="001D3F0D" w:rsidRDefault="001D3F0D" w:rsidP="001D3F0D">
      <w:pPr>
        <w:pStyle w:val="BodyText"/>
      </w:pPr>
      <w:r>
        <w:t>G1161 Evaluation of Platforms for the Provision of Maritime Services</w:t>
      </w:r>
    </w:p>
    <w:p w14:paraId="505DA555" w14:textId="01C91D14" w:rsidR="001D3F0D" w:rsidRDefault="001D3F0D" w:rsidP="001D3F0D">
      <w:pPr>
        <w:pStyle w:val="BodyText"/>
      </w:pPr>
      <w:r w:rsidRPr="001D3F0D">
        <w:t>G1164 Management of Maritime Resource Name Organisation Identifier</w:t>
      </w:r>
      <w:r>
        <w:t>s</w:t>
      </w:r>
    </w:p>
    <w:p w14:paraId="0AFAFCB3" w14:textId="671A5D74" w:rsidR="007C77D8" w:rsidRDefault="007C77D8" w:rsidP="00D04812">
      <w:pPr>
        <w:pStyle w:val="BodyText"/>
      </w:pPr>
      <w:r>
        <w:t>MSC.467(101) on Guidance on the definition and harmonization of the format and structure of Maritime Services in the Context of e-Navigation</w:t>
      </w:r>
    </w:p>
    <w:p w14:paraId="237ED813" w14:textId="3B260719" w:rsidR="007C77D8" w:rsidRDefault="007C77D8" w:rsidP="007C77D8">
      <w:pPr>
        <w:pStyle w:val="BodyText"/>
      </w:pPr>
      <w:r w:rsidRPr="007C77D8">
        <w:t>MSC.1/Circ.1610</w:t>
      </w:r>
      <w:r>
        <w:t>:</w:t>
      </w:r>
      <w:r w:rsidRPr="007C77D8">
        <w:t xml:space="preserve"> </w:t>
      </w:r>
      <w:r>
        <w:t>Initial Description of Maritime Services inf the Context of E-Navigation.</w:t>
      </w:r>
    </w:p>
    <w:p w14:paraId="34A38BCD" w14:textId="253054E2" w:rsidR="0038091D" w:rsidRDefault="0038091D" w:rsidP="00DE4262">
      <w:pPr>
        <w:pStyle w:val="BodyText"/>
      </w:pPr>
      <w:r>
        <w:t>The Maritime Connectivity Platform (MCP) Conceptual Overview</w:t>
      </w:r>
      <w:r w:rsidR="00D019E0">
        <w:t xml:space="preserve"> (</w:t>
      </w:r>
      <w:hyperlink r:id="rId11" w:history="1">
        <w:r w:rsidR="00F14635" w:rsidRPr="00610531">
          <w:rPr>
            <w:rStyle w:val="Hyperlink"/>
          </w:rPr>
          <w:t>https://maritimeconnectivity.net/mcp-documents/</w:t>
        </w:r>
      </w:hyperlink>
      <w:r w:rsidR="00D019E0">
        <w:t>)</w:t>
      </w:r>
    </w:p>
    <w:p w14:paraId="6AF0AE21" w14:textId="457FBDBE" w:rsidR="00F14635" w:rsidRDefault="00F14635" w:rsidP="00DE4262">
      <w:pPr>
        <w:pStyle w:val="BodyText"/>
      </w:pPr>
      <w:r>
        <w:t>W3C Web Service Archi</w:t>
      </w:r>
      <w:r w:rsidR="00391287">
        <w:t xml:space="preserve">tecture </w:t>
      </w:r>
      <w:r w:rsidR="00391287" w:rsidRPr="00391287">
        <w:t>https://www.w3.org/TR/ws-arch/</w:t>
      </w:r>
      <w:r w:rsidR="00391287">
        <w:t xml:space="preserve"> </w:t>
      </w:r>
    </w:p>
    <w:p w14:paraId="509EEE60" w14:textId="7CE8B5BD" w:rsidR="00391287" w:rsidRDefault="00391287" w:rsidP="00391287">
      <w:pPr>
        <w:pStyle w:val="BodyText"/>
      </w:pPr>
      <w:r>
        <w:t xml:space="preserve">X.509 Public Key Infrastructure Certificate Policy and Certification Practices Framework </w:t>
      </w:r>
      <w:hyperlink r:id="rId12" w:history="1">
        <w:r w:rsidR="00CA0CFD" w:rsidRPr="00610531">
          <w:rPr>
            <w:rStyle w:val="Hyperlink"/>
          </w:rPr>
          <w:t>https://datatracker.ietf.org/doc/html/rfc3647</w:t>
        </w:r>
      </w:hyperlink>
    </w:p>
    <w:p w14:paraId="3DE15484" w14:textId="4C9B4E9C" w:rsidR="00E93C9B" w:rsidRPr="00265EC5" w:rsidRDefault="00CA0CFD" w:rsidP="00265EC5">
      <w:pPr>
        <w:pStyle w:val="BodyText"/>
      </w:pPr>
      <w:r>
        <w:t xml:space="preserve">S-100 </w:t>
      </w:r>
      <w:r w:rsidRPr="00CA0CFD">
        <w:t>IHO Universal Hydrographic Data Model</w:t>
      </w:r>
    </w:p>
    <w:p w14:paraId="08742C64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1C794CCC" w14:textId="77777777" w:rsidR="00DE4262" w:rsidRDefault="00DE4262" w:rsidP="00B52530">
      <w:pPr>
        <w:pStyle w:val="List1"/>
      </w:pPr>
      <w:r>
        <w:t xml:space="preserve">Note </w:t>
      </w:r>
      <w:proofErr w:type="spellStart"/>
      <w:r>
        <w:t>this</w:t>
      </w:r>
      <w:proofErr w:type="spellEnd"/>
      <w:r>
        <w:t xml:space="preserve"> and </w:t>
      </w:r>
      <w:proofErr w:type="spellStart"/>
      <w:r>
        <w:t>related</w:t>
      </w:r>
      <w:proofErr w:type="spellEnd"/>
      <w:r>
        <w:t xml:space="preserve"> Documents</w:t>
      </w:r>
    </w:p>
    <w:p w14:paraId="42712A7C" w14:textId="30A46756" w:rsidR="00A73B54" w:rsidRPr="00E53EA7" w:rsidRDefault="00A73B54" w:rsidP="00B52530">
      <w:pPr>
        <w:pStyle w:val="List1"/>
        <w:rPr>
          <w:lang w:val="en-GB"/>
        </w:rPr>
      </w:pPr>
      <w:r w:rsidRPr="00E53EA7">
        <w:rPr>
          <w:lang w:val="en-GB"/>
        </w:rPr>
        <w:t>Contact DTEC/WG1 chair for further questions.</w:t>
      </w:r>
    </w:p>
    <w:p w14:paraId="06E647E9" w14:textId="77777777" w:rsidR="00256C1B" w:rsidRPr="00E53EA7" w:rsidRDefault="00256C1B" w:rsidP="00B52530">
      <w:pPr>
        <w:pStyle w:val="List1"/>
        <w:numPr>
          <w:ilvl w:val="0"/>
          <w:numId w:val="0"/>
        </w:numPr>
        <w:rPr>
          <w:lang w:val="en-GB"/>
        </w:rPr>
      </w:pPr>
    </w:p>
    <w:p w14:paraId="0B4603A1" w14:textId="3609F5BA" w:rsidR="00EF711E" w:rsidRPr="00E53EA7" w:rsidRDefault="00EF711E" w:rsidP="00B52530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EF711E" w:rsidRPr="00E53EA7" w:rsidSect="00665C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14929" w14:textId="77777777" w:rsidR="00665C9D" w:rsidRDefault="00665C9D" w:rsidP="002B0236">
      <w:r>
        <w:separator/>
      </w:r>
    </w:p>
  </w:endnote>
  <w:endnote w:type="continuationSeparator" w:id="0">
    <w:p w14:paraId="7380BC48" w14:textId="77777777" w:rsidR="00665C9D" w:rsidRDefault="00665C9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A106" w14:textId="77777777" w:rsidR="00884284" w:rsidRDefault="00884284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FB659" w14:textId="77777777" w:rsidR="00884284" w:rsidRDefault="00884284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7BA4" w14:textId="77777777" w:rsidR="00884284" w:rsidRDefault="00884284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10137" w14:textId="77777777" w:rsidR="00665C9D" w:rsidRDefault="00665C9D" w:rsidP="002B0236">
      <w:r>
        <w:separator/>
      </w:r>
    </w:p>
  </w:footnote>
  <w:footnote w:type="continuationSeparator" w:id="0">
    <w:p w14:paraId="1E70F4B0" w14:textId="77777777" w:rsidR="00665C9D" w:rsidRDefault="00665C9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5F57" w14:textId="77777777" w:rsidR="00884284" w:rsidRDefault="00000000" w:rsidP="002B0236">
    <w:pPr>
      <w:pStyle w:val="Header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E354" w14:textId="77777777" w:rsidR="00884284" w:rsidRDefault="00000000" w:rsidP="002B0236">
    <w:pPr>
      <w:pStyle w:val="Header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1F453E">
      <w:rPr>
        <w:noProof/>
      </w:rPr>
      <w:drawing>
        <wp:inline distT="0" distB="0" distL="0" distR="0" wp14:anchorId="0E73270D" wp14:editId="3F88457D">
          <wp:extent cx="855345" cy="829945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55B30" w14:textId="77777777" w:rsidR="00884284" w:rsidRDefault="00000000" w:rsidP="002B0236">
    <w:pPr>
      <w:pStyle w:val="Header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5F07"/>
    <w:multiLevelType w:val="hybridMultilevel"/>
    <w:tmpl w:val="B9E8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AFA16D9"/>
    <w:multiLevelType w:val="hybridMultilevel"/>
    <w:tmpl w:val="955EA3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166E9E"/>
    <w:multiLevelType w:val="hybridMultilevel"/>
    <w:tmpl w:val="FFB695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6332E"/>
    <w:multiLevelType w:val="hybridMultilevel"/>
    <w:tmpl w:val="A7D29962"/>
    <w:lvl w:ilvl="0" w:tplc="AE76804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D31D3"/>
    <w:multiLevelType w:val="hybridMultilevel"/>
    <w:tmpl w:val="6C00B8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0D2FEC"/>
    <w:multiLevelType w:val="hybridMultilevel"/>
    <w:tmpl w:val="7EAAD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120BBC"/>
    <w:multiLevelType w:val="hybridMultilevel"/>
    <w:tmpl w:val="AEF471E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86588987">
    <w:abstractNumId w:val="14"/>
  </w:num>
  <w:num w:numId="2" w16cid:durableId="352730336">
    <w:abstractNumId w:val="20"/>
  </w:num>
  <w:num w:numId="3" w16cid:durableId="768618234">
    <w:abstractNumId w:val="14"/>
  </w:num>
  <w:num w:numId="4" w16cid:durableId="288128027">
    <w:abstractNumId w:val="14"/>
  </w:num>
  <w:num w:numId="5" w16cid:durableId="1206797836">
    <w:abstractNumId w:val="6"/>
  </w:num>
  <w:num w:numId="6" w16cid:durableId="1944871905">
    <w:abstractNumId w:val="15"/>
  </w:num>
  <w:num w:numId="7" w16cid:durableId="550845110">
    <w:abstractNumId w:val="11"/>
  </w:num>
  <w:num w:numId="8" w16cid:durableId="219556764">
    <w:abstractNumId w:val="1"/>
  </w:num>
  <w:num w:numId="9" w16cid:durableId="1250231521">
    <w:abstractNumId w:val="5"/>
  </w:num>
  <w:num w:numId="10" w16cid:durableId="1510482062">
    <w:abstractNumId w:val="17"/>
  </w:num>
  <w:num w:numId="11" w16cid:durableId="130438403">
    <w:abstractNumId w:val="2"/>
  </w:num>
  <w:num w:numId="12" w16cid:durableId="694888847">
    <w:abstractNumId w:val="2"/>
  </w:num>
  <w:num w:numId="13" w16cid:durableId="1817139291">
    <w:abstractNumId w:val="2"/>
  </w:num>
  <w:num w:numId="14" w16cid:durableId="488062262">
    <w:abstractNumId w:val="2"/>
  </w:num>
  <w:num w:numId="15" w16cid:durableId="1976638900">
    <w:abstractNumId w:val="2"/>
  </w:num>
  <w:num w:numId="16" w16cid:durableId="786585503">
    <w:abstractNumId w:val="7"/>
  </w:num>
  <w:num w:numId="17" w16cid:durableId="984243198">
    <w:abstractNumId w:val="19"/>
  </w:num>
  <w:num w:numId="18" w16cid:durableId="83575121">
    <w:abstractNumId w:val="4"/>
  </w:num>
  <w:num w:numId="19" w16cid:durableId="207642996">
    <w:abstractNumId w:val="18"/>
  </w:num>
  <w:num w:numId="20" w16cid:durableId="1380472178">
    <w:abstractNumId w:val="12"/>
  </w:num>
  <w:num w:numId="21" w16cid:durableId="1160462432">
    <w:abstractNumId w:val="7"/>
  </w:num>
  <w:num w:numId="22" w16cid:durableId="1181041584">
    <w:abstractNumId w:val="7"/>
  </w:num>
  <w:num w:numId="23" w16cid:durableId="895511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66735904">
    <w:abstractNumId w:val="3"/>
  </w:num>
  <w:num w:numId="25" w16cid:durableId="1370955177">
    <w:abstractNumId w:val="16"/>
  </w:num>
  <w:num w:numId="26" w16cid:durableId="408499094">
    <w:abstractNumId w:val="10"/>
  </w:num>
  <w:num w:numId="27" w16cid:durableId="955210102">
    <w:abstractNumId w:val="13"/>
  </w:num>
  <w:num w:numId="28" w16cid:durableId="2040087040">
    <w:abstractNumId w:val="9"/>
  </w:num>
  <w:num w:numId="29" w16cid:durableId="860701618">
    <w:abstractNumId w:val="0"/>
  </w:num>
  <w:num w:numId="30" w16cid:durableId="15930496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4B45"/>
    <w:rsid w:val="00016FC1"/>
    <w:rsid w:val="000176F3"/>
    <w:rsid w:val="00024888"/>
    <w:rsid w:val="00031A92"/>
    <w:rsid w:val="00031D77"/>
    <w:rsid w:val="000348ED"/>
    <w:rsid w:val="00036801"/>
    <w:rsid w:val="00041E56"/>
    <w:rsid w:val="00050DA7"/>
    <w:rsid w:val="00055EFF"/>
    <w:rsid w:val="00056BCE"/>
    <w:rsid w:val="00071B64"/>
    <w:rsid w:val="0008040B"/>
    <w:rsid w:val="00082DD1"/>
    <w:rsid w:val="00084FDF"/>
    <w:rsid w:val="00086C1E"/>
    <w:rsid w:val="000A10EB"/>
    <w:rsid w:val="000A5A01"/>
    <w:rsid w:val="000C4833"/>
    <w:rsid w:val="000D2831"/>
    <w:rsid w:val="000D387A"/>
    <w:rsid w:val="000D4967"/>
    <w:rsid w:val="000D742C"/>
    <w:rsid w:val="00114653"/>
    <w:rsid w:val="001161F2"/>
    <w:rsid w:val="00122007"/>
    <w:rsid w:val="00123A0C"/>
    <w:rsid w:val="00124B1E"/>
    <w:rsid w:val="00125C20"/>
    <w:rsid w:val="00135447"/>
    <w:rsid w:val="0014177C"/>
    <w:rsid w:val="00151CE1"/>
    <w:rsid w:val="00152273"/>
    <w:rsid w:val="001529A6"/>
    <w:rsid w:val="001562E0"/>
    <w:rsid w:val="00164687"/>
    <w:rsid w:val="00172906"/>
    <w:rsid w:val="00184E9E"/>
    <w:rsid w:val="001A654A"/>
    <w:rsid w:val="001A69B0"/>
    <w:rsid w:val="001B1FD6"/>
    <w:rsid w:val="001C7057"/>
    <w:rsid w:val="001C74CF"/>
    <w:rsid w:val="001D1E24"/>
    <w:rsid w:val="001D3F0D"/>
    <w:rsid w:val="001D7FCE"/>
    <w:rsid w:val="001F0ED6"/>
    <w:rsid w:val="001F453E"/>
    <w:rsid w:val="002124C8"/>
    <w:rsid w:val="00224E2C"/>
    <w:rsid w:val="0024458D"/>
    <w:rsid w:val="00253DB8"/>
    <w:rsid w:val="002542BC"/>
    <w:rsid w:val="00254916"/>
    <w:rsid w:val="002549F0"/>
    <w:rsid w:val="00256C1B"/>
    <w:rsid w:val="00257DCB"/>
    <w:rsid w:val="00265EC5"/>
    <w:rsid w:val="00266917"/>
    <w:rsid w:val="00266E0C"/>
    <w:rsid w:val="002758A4"/>
    <w:rsid w:val="0028073B"/>
    <w:rsid w:val="002819E0"/>
    <w:rsid w:val="002826F9"/>
    <w:rsid w:val="002905C9"/>
    <w:rsid w:val="002B0236"/>
    <w:rsid w:val="002B55DA"/>
    <w:rsid w:val="002C2DA4"/>
    <w:rsid w:val="002C32AD"/>
    <w:rsid w:val="002D4F78"/>
    <w:rsid w:val="0034502F"/>
    <w:rsid w:val="00367B70"/>
    <w:rsid w:val="0038091D"/>
    <w:rsid w:val="00386004"/>
    <w:rsid w:val="00391287"/>
    <w:rsid w:val="003A44CE"/>
    <w:rsid w:val="003C48DB"/>
    <w:rsid w:val="003D55DD"/>
    <w:rsid w:val="003E1831"/>
    <w:rsid w:val="003E46E6"/>
    <w:rsid w:val="003F10F4"/>
    <w:rsid w:val="00413709"/>
    <w:rsid w:val="00424186"/>
    <w:rsid w:val="00424954"/>
    <w:rsid w:val="00427AC3"/>
    <w:rsid w:val="00435405"/>
    <w:rsid w:val="0043664F"/>
    <w:rsid w:val="00437AC9"/>
    <w:rsid w:val="00443056"/>
    <w:rsid w:val="00446098"/>
    <w:rsid w:val="00467B5B"/>
    <w:rsid w:val="00476F9B"/>
    <w:rsid w:val="004A1443"/>
    <w:rsid w:val="004A4E63"/>
    <w:rsid w:val="004A650B"/>
    <w:rsid w:val="004C1386"/>
    <w:rsid w:val="004C220D"/>
    <w:rsid w:val="004D59F4"/>
    <w:rsid w:val="004E09C6"/>
    <w:rsid w:val="00514047"/>
    <w:rsid w:val="00522297"/>
    <w:rsid w:val="00537B04"/>
    <w:rsid w:val="005415B9"/>
    <w:rsid w:val="00547F5B"/>
    <w:rsid w:val="00553530"/>
    <w:rsid w:val="0055704F"/>
    <w:rsid w:val="00567168"/>
    <w:rsid w:val="00582365"/>
    <w:rsid w:val="0059257B"/>
    <w:rsid w:val="0059381E"/>
    <w:rsid w:val="0059399E"/>
    <w:rsid w:val="005B5B63"/>
    <w:rsid w:val="005B696D"/>
    <w:rsid w:val="005B729C"/>
    <w:rsid w:val="005D05AC"/>
    <w:rsid w:val="005D5457"/>
    <w:rsid w:val="005E023A"/>
    <w:rsid w:val="005F2D88"/>
    <w:rsid w:val="005F56BD"/>
    <w:rsid w:val="006003BE"/>
    <w:rsid w:val="006148EE"/>
    <w:rsid w:val="00621E89"/>
    <w:rsid w:val="00622E75"/>
    <w:rsid w:val="00624DD5"/>
    <w:rsid w:val="00626E17"/>
    <w:rsid w:val="00630F7F"/>
    <w:rsid w:val="00634B24"/>
    <w:rsid w:val="0064435F"/>
    <w:rsid w:val="00646429"/>
    <w:rsid w:val="006501A4"/>
    <w:rsid w:val="006607F3"/>
    <w:rsid w:val="00661636"/>
    <w:rsid w:val="00665C9D"/>
    <w:rsid w:val="00692718"/>
    <w:rsid w:val="006C0617"/>
    <w:rsid w:val="006C23C4"/>
    <w:rsid w:val="006C2CEB"/>
    <w:rsid w:val="006C6F85"/>
    <w:rsid w:val="006D470F"/>
    <w:rsid w:val="006D52C3"/>
    <w:rsid w:val="006E3810"/>
    <w:rsid w:val="006E70F6"/>
    <w:rsid w:val="006F4DC8"/>
    <w:rsid w:val="006F726E"/>
    <w:rsid w:val="00706E11"/>
    <w:rsid w:val="00727E88"/>
    <w:rsid w:val="00732443"/>
    <w:rsid w:val="00737DFB"/>
    <w:rsid w:val="00771388"/>
    <w:rsid w:val="00771B9B"/>
    <w:rsid w:val="00774C9E"/>
    <w:rsid w:val="00774D3C"/>
    <w:rsid w:val="00775878"/>
    <w:rsid w:val="0078086B"/>
    <w:rsid w:val="00781BE4"/>
    <w:rsid w:val="00782BA3"/>
    <w:rsid w:val="0078630E"/>
    <w:rsid w:val="00791366"/>
    <w:rsid w:val="007A0029"/>
    <w:rsid w:val="007B6271"/>
    <w:rsid w:val="007C40C4"/>
    <w:rsid w:val="007C77D8"/>
    <w:rsid w:val="007D5942"/>
    <w:rsid w:val="007E1928"/>
    <w:rsid w:val="007E2138"/>
    <w:rsid w:val="007F116C"/>
    <w:rsid w:val="007F6CF1"/>
    <w:rsid w:val="007F7F8A"/>
    <w:rsid w:val="0080092C"/>
    <w:rsid w:val="00801863"/>
    <w:rsid w:val="00802E2B"/>
    <w:rsid w:val="00824F67"/>
    <w:rsid w:val="00831242"/>
    <w:rsid w:val="00833613"/>
    <w:rsid w:val="00833937"/>
    <w:rsid w:val="00834490"/>
    <w:rsid w:val="0085613E"/>
    <w:rsid w:val="0086497D"/>
    <w:rsid w:val="008674DB"/>
    <w:rsid w:val="00872453"/>
    <w:rsid w:val="00884284"/>
    <w:rsid w:val="008928C0"/>
    <w:rsid w:val="008A1D09"/>
    <w:rsid w:val="008A3818"/>
    <w:rsid w:val="008A49FB"/>
    <w:rsid w:val="008B60EC"/>
    <w:rsid w:val="008C24A8"/>
    <w:rsid w:val="008E11E7"/>
    <w:rsid w:val="008E31D0"/>
    <w:rsid w:val="008E7A45"/>
    <w:rsid w:val="008E7DB4"/>
    <w:rsid w:val="008F13DD"/>
    <w:rsid w:val="008F4DC3"/>
    <w:rsid w:val="008F62D5"/>
    <w:rsid w:val="009024E6"/>
    <w:rsid w:val="00902AA4"/>
    <w:rsid w:val="00906239"/>
    <w:rsid w:val="0091150C"/>
    <w:rsid w:val="0091716A"/>
    <w:rsid w:val="00920C15"/>
    <w:rsid w:val="0093792C"/>
    <w:rsid w:val="00957291"/>
    <w:rsid w:val="00966FA0"/>
    <w:rsid w:val="009671B3"/>
    <w:rsid w:val="00971FB3"/>
    <w:rsid w:val="00977628"/>
    <w:rsid w:val="00980F3C"/>
    <w:rsid w:val="00987450"/>
    <w:rsid w:val="00991D4E"/>
    <w:rsid w:val="009B0FA3"/>
    <w:rsid w:val="009B4FE8"/>
    <w:rsid w:val="009C4CE8"/>
    <w:rsid w:val="009C508B"/>
    <w:rsid w:val="009D01B9"/>
    <w:rsid w:val="009D7687"/>
    <w:rsid w:val="009F3B6C"/>
    <w:rsid w:val="009F53B3"/>
    <w:rsid w:val="009F5C36"/>
    <w:rsid w:val="00A007A5"/>
    <w:rsid w:val="00A01CDC"/>
    <w:rsid w:val="00A042FA"/>
    <w:rsid w:val="00A10223"/>
    <w:rsid w:val="00A226A8"/>
    <w:rsid w:val="00A27F12"/>
    <w:rsid w:val="00A30579"/>
    <w:rsid w:val="00A31425"/>
    <w:rsid w:val="00A360B2"/>
    <w:rsid w:val="00A377A7"/>
    <w:rsid w:val="00A560C0"/>
    <w:rsid w:val="00A57346"/>
    <w:rsid w:val="00A603C8"/>
    <w:rsid w:val="00A643CA"/>
    <w:rsid w:val="00A73B54"/>
    <w:rsid w:val="00A83B01"/>
    <w:rsid w:val="00A83D8F"/>
    <w:rsid w:val="00A8540E"/>
    <w:rsid w:val="00A929CE"/>
    <w:rsid w:val="00AA2626"/>
    <w:rsid w:val="00AA2D90"/>
    <w:rsid w:val="00AA76C0"/>
    <w:rsid w:val="00AB3C81"/>
    <w:rsid w:val="00AC10DF"/>
    <w:rsid w:val="00AD5C7F"/>
    <w:rsid w:val="00AE2606"/>
    <w:rsid w:val="00AE30B2"/>
    <w:rsid w:val="00AE3C54"/>
    <w:rsid w:val="00AF052D"/>
    <w:rsid w:val="00AF1B74"/>
    <w:rsid w:val="00AF7088"/>
    <w:rsid w:val="00B07325"/>
    <w:rsid w:val="00B077EC"/>
    <w:rsid w:val="00B1257A"/>
    <w:rsid w:val="00B15B24"/>
    <w:rsid w:val="00B2489A"/>
    <w:rsid w:val="00B378A6"/>
    <w:rsid w:val="00B428DA"/>
    <w:rsid w:val="00B52530"/>
    <w:rsid w:val="00B65647"/>
    <w:rsid w:val="00B7622B"/>
    <w:rsid w:val="00B772CC"/>
    <w:rsid w:val="00B81009"/>
    <w:rsid w:val="00B8247E"/>
    <w:rsid w:val="00BA2B38"/>
    <w:rsid w:val="00BA477B"/>
    <w:rsid w:val="00BA5AAC"/>
    <w:rsid w:val="00BB0C4E"/>
    <w:rsid w:val="00BD122D"/>
    <w:rsid w:val="00BD2F49"/>
    <w:rsid w:val="00BD7946"/>
    <w:rsid w:val="00BD7A4C"/>
    <w:rsid w:val="00BE56DF"/>
    <w:rsid w:val="00BF0CE2"/>
    <w:rsid w:val="00C01BEE"/>
    <w:rsid w:val="00C04B01"/>
    <w:rsid w:val="00C12FAC"/>
    <w:rsid w:val="00C1396F"/>
    <w:rsid w:val="00C14D47"/>
    <w:rsid w:val="00C17FE2"/>
    <w:rsid w:val="00C265EE"/>
    <w:rsid w:val="00C26728"/>
    <w:rsid w:val="00C32910"/>
    <w:rsid w:val="00C75A72"/>
    <w:rsid w:val="00C77034"/>
    <w:rsid w:val="00C869DF"/>
    <w:rsid w:val="00CA04AF"/>
    <w:rsid w:val="00CA0CFD"/>
    <w:rsid w:val="00CC3921"/>
    <w:rsid w:val="00CC5CA0"/>
    <w:rsid w:val="00CC7CD8"/>
    <w:rsid w:val="00CE04B1"/>
    <w:rsid w:val="00CE083E"/>
    <w:rsid w:val="00CE0AF3"/>
    <w:rsid w:val="00CF5FD6"/>
    <w:rsid w:val="00D019E0"/>
    <w:rsid w:val="00D02147"/>
    <w:rsid w:val="00D02B4B"/>
    <w:rsid w:val="00D04812"/>
    <w:rsid w:val="00D14545"/>
    <w:rsid w:val="00D15B4E"/>
    <w:rsid w:val="00D22699"/>
    <w:rsid w:val="00D23111"/>
    <w:rsid w:val="00D360F4"/>
    <w:rsid w:val="00D37BD4"/>
    <w:rsid w:val="00D75962"/>
    <w:rsid w:val="00D9703B"/>
    <w:rsid w:val="00DA1BE3"/>
    <w:rsid w:val="00DA5F73"/>
    <w:rsid w:val="00DB0B66"/>
    <w:rsid w:val="00DC7C7B"/>
    <w:rsid w:val="00DD1B28"/>
    <w:rsid w:val="00DD2A58"/>
    <w:rsid w:val="00DE2BEF"/>
    <w:rsid w:val="00DE3031"/>
    <w:rsid w:val="00DE30BE"/>
    <w:rsid w:val="00DE4262"/>
    <w:rsid w:val="00DF60C1"/>
    <w:rsid w:val="00E01375"/>
    <w:rsid w:val="00E014CC"/>
    <w:rsid w:val="00E025F5"/>
    <w:rsid w:val="00E03346"/>
    <w:rsid w:val="00E0506D"/>
    <w:rsid w:val="00E10F99"/>
    <w:rsid w:val="00E1471E"/>
    <w:rsid w:val="00E15749"/>
    <w:rsid w:val="00E42077"/>
    <w:rsid w:val="00E45337"/>
    <w:rsid w:val="00E513D0"/>
    <w:rsid w:val="00E53EA7"/>
    <w:rsid w:val="00E65E7F"/>
    <w:rsid w:val="00E711A6"/>
    <w:rsid w:val="00E729A7"/>
    <w:rsid w:val="00E82BD9"/>
    <w:rsid w:val="00E93C9B"/>
    <w:rsid w:val="00E94639"/>
    <w:rsid w:val="00EB2869"/>
    <w:rsid w:val="00EB3350"/>
    <w:rsid w:val="00EE3F2F"/>
    <w:rsid w:val="00EF1B20"/>
    <w:rsid w:val="00EF2285"/>
    <w:rsid w:val="00EF711E"/>
    <w:rsid w:val="00EF7797"/>
    <w:rsid w:val="00F03C5A"/>
    <w:rsid w:val="00F14635"/>
    <w:rsid w:val="00F14B9C"/>
    <w:rsid w:val="00F15608"/>
    <w:rsid w:val="00F1788F"/>
    <w:rsid w:val="00F23084"/>
    <w:rsid w:val="00F321C5"/>
    <w:rsid w:val="00F35219"/>
    <w:rsid w:val="00F4388C"/>
    <w:rsid w:val="00F45EA3"/>
    <w:rsid w:val="00F54B42"/>
    <w:rsid w:val="00F61795"/>
    <w:rsid w:val="00F66F1B"/>
    <w:rsid w:val="00F73F78"/>
    <w:rsid w:val="00F75B4A"/>
    <w:rsid w:val="00F77E62"/>
    <w:rsid w:val="00F825F6"/>
    <w:rsid w:val="00F84969"/>
    <w:rsid w:val="00F90CF6"/>
    <w:rsid w:val="00F92356"/>
    <w:rsid w:val="00F93248"/>
    <w:rsid w:val="00FA2DEA"/>
    <w:rsid w:val="00FA5842"/>
    <w:rsid w:val="00FA6769"/>
    <w:rsid w:val="00FB61F9"/>
    <w:rsid w:val="00FB6B68"/>
    <w:rsid w:val="00FD03CA"/>
    <w:rsid w:val="00FD402C"/>
    <w:rsid w:val="00FE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5E7F"/>
    <w:pPr>
      <w:numPr>
        <w:numId w:val="28"/>
      </w:numPr>
      <w:tabs>
        <w:tab w:val="clear" w:pos="851"/>
        <w:tab w:val="left" w:pos="709"/>
      </w:tabs>
    </w:pPr>
    <w:rPr>
      <w:lang w:eastAsia="de-DE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5415B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15B9"/>
    <w:rPr>
      <w:sz w:val="20"/>
    </w:rPr>
  </w:style>
  <w:style w:type="character" w:customStyle="1" w:styleId="CommentTextChar">
    <w:name w:val="Comment Text Char"/>
    <w:link w:val="CommentText"/>
    <w:rsid w:val="005415B9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415B9"/>
    <w:rPr>
      <w:b/>
      <w:bCs/>
    </w:rPr>
  </w:style>
  <w:style w:type="character" w:customStyle="1" w:styleId="CommentSubjectChar">
    <w:name w:val="Comment Subject Char"/>
    <w:link w:val="CommentSubject"/>
    <w:rsid w:val="005415B9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5415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415B9"/>
    <w:rPr>
      <w:rFonts w:ascii="Segoe UI" w:hAnsi="Segoe UI" w:cs="Segoe UI"/>
      <w:sz w:val="18"/>
      <w:szCs w:val="18"/>
      <w:lang w:val="en-GB" w:eastAsia="en-US"/>
    </w:rPr>
  </w:style>
  <w:style w:type="paragraph" w:styleId="FootnoteText">
    <w:name w:val="footnote text"/>
    <w:basedOn w:val="Normal"/>
    <w:link w:val="FootnoteTextChar"/>
    <w:rsid w:val="005415B9"/>
    <w:rPr>
      <w:sz w:val="20"/>
    </w:rPr>
  </w:style>
  <w:style w:type="character" w:customStyle="1" w:styleId="FootnoteTextChar">
    <w:name w:val="Footnote Text Char"/>
    <w:link w:val="FootnoteText"/>
    <w:rsid w:val="005415B9"/>
    <w:rPr>
      <w:rFonts w:ascii="Calibri" w:hAnsi="Calibri"/>
      <w:lang w:val="en-GB" w:eastAsia="en-US"/>
    </w:rPr>
  </w:style>
  <w:style w:type="character" w:styleId="FootnoteReference">
    <w:name w:val="footnote reference"/>
    <w:rsid w:val="005415B9"/>
    <w:rPr>
      <w:vertAlign w:val="superscript"/>
    </w:rPr>
  </w:style>
  <w:style w:type="character" w:customStyle="1" w:styleId="ss360-suggestslink-wrap">
    <w:name w:val="ss360-suggests__link-wrap"/>
    <w:rsid w:val="00D04812"/>
  </w:style>
  <w:style w:type="character" w:styleId="Hyperlink">
    <w:name w:val="Hyperlink"/>
    <w:uiPriority w:val="99"/>
    <w:unhideWhenUsed/>
    <w:rsid w:val="00D04812"/>
    <w:rPr>
      <w:color w:val="0000FF"/>
      <w:u w:val="single"/>
    </w:rPr>
  </w:style>
  <w:style w:type="character" w:customStyle="1" w:styleId="ss360-highlight">
    <w:name w:val="ss360-highlight"/>
    <w:rsid w:val="00D04812"/>
  </w:style>
  <w:style w:type="paragraph" w:styleId="Caption">
    <w:name w:val="caption"/>
    <w:basedOn w:val="Normal"/>
    <w:next w:val="Normal"/>
    <w:unhideWhenUsed/>
    <w:qFormat/>
    <w:rsid w:val="00E65E7F"/>
    <w:rPr>
      <w:b/>
      <w:bCs/>
      <w:sz w:val="20"/>
    </w:rPr>
  </w:style>
  <w:style w:type="character" w:styleId="UnresolvedMention">
    <w:name w:val="Unresolved Mention"/>
    <w:uiPriority w:val="99"/>
    <w:semiHidden/>
    <w:unhideWhenUsed/>
    <w:rsid w:val="00F1463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F453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rsid w:val="00A36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1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datatracker.ietf.org/doc/html/rfc36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ritimeconnectivity.net/mcp-documents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A673AF-FB07-449D-9960-9E79B733A0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CA78D2-2FCE-4F41-A0EA-F239B6370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5</TotalTime>
  <Pages>5</Pages>
  <Words>1871</Words>
  <Characters>10666</Characters>
  <Application>Microsoft Office Word</Application>
  <DocSecurity>0</DocSecurity>
  <Lines>88</Lines>
  <Paragraphs>25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12</cp:revision>
  <cp:lastPrinted>2006-10-19T11:49:00Z</cp:lastPrinted>
  <dcterms:created xsi:type="dcterms:W3CDTF">2024-03-21T08:13:00Z</dcterms:created>
  <dcterms:modified xsi:type="dcterms:W3CDTF">2024-03-22T10:36:00Z</dcterms:modified>
</cp:coreProperties>
</file>