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735280FE" w:rsidR="00776004" w:rsidRPr="00F55AD7" w:rsidRDefault="002735DD" w:rsidP="0014597C">
      <w:pPr>
        <w:pStyle w:val="Documentname"/>
      </w:pPr>
      <w:r>
        <w:t>Guide</w:t>
      </w:r>
      <w:r w:rsidR="00827301">
        <w:t>l</w:t>
      </w:r>
      <w:r>
        <w:t xml:space="preserve">ine </w:t>
      </w:r>
      <w:r w:rsidR="009456BB">
        <w:t>on Digitalization of Waterways</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77777777" w:rsidR="004E0BBB" w:rsidRPr="00F55AD7" w:rsidRDefault="004E0BBB" w:rsidP="00201579">
      <w:pPr>
        <w:pStyle w:val="BodyText"/>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264B77E9" w:rsidR="00A87080" w:rsidRDefault="00A87080" w:rsidP="00CB1D11">
      <w:pPr>
        <w:tabs>
          <w:tab w:val="left" w:pos="6240"/>
        </w:tabs>
        <w:suppressAutoHyphens/>
      </w:pP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Edition x.x</w:t>
      </w:r>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8D7E6E9" w14:textId="0418AA37" w:rsidR="00F40749" w:rsidRDefault="000C2857">
      <w:pPr>
        <w:pStyle w:val="TOC1"/>
        <w:rPr>
          <w:rFonts w:eastAsiaTheme="minorEastAsia"/>
          <w:b w:val="0"/>
          <w:caps w:val="0"/>
          <w:color w:val="auto"/>
          <w:kern w:val="2"/>
          <w:lang w:val="fi-FI" w:eastAsia="fi-FI"/>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F40749" w:rsidRPr="009403CE">
        <w:t>1.</w:t>
      </w:r>
      <w:r w:rsidR="00F40749">
        <w:rPr>
          <w:rFonts w:eastAsiaTheme="minorEastAsia"/>
          <w:b w:val="0"/>
          <w:caps w:val="0"/>
          <w:color w:val="auto"/>
          <w:kern w:val="2"/>
          <w:lang w:val="fi-FI" w:eastAsia="fi-FI"/>
          <w14:ligatures w14:val="standardContextual"/>
        </w:rPr>
        <w:tab/>
      </w:r>
      <w:r w:rsidR="00F40749">
        <w:t>Introduction</w:t>
      </w:r>
      <w:r w:rsidR="00F40749">
        <w:tab/>
      </w:r>
      <w:r w:rsidR="00F40749">
        <w:fldChar w:fldCharType="begin"/>
      </w:r>
      <w:r w:rsidR="00F40749">
        <w:instrText xml:space="preserve"> PAGEREF _Toc158816314 \h </w:instrText>
      </w:r>
      <w:r w:rsidR="00F40749">
        <w:fldChar w:fldCharType="separate"/>
      </w:r>
      <w:r w:rsidR="00F40749">
        <w:t>4</w:t>
      </w:r>
      <w:r w:rsidR="00F40749">
        <w:fldChar w:fldCharType="end"/>
      </w:r>
    </w:p>
    <w:p w14:paraId="0DC27720" w14:textId="702CEE54" w:rsidR="00F40749" w:rsidRDefault="00F40749">
      <w:pPr>
        <w:pStyle w:val="TOC1"/>
        <w:rPr>
          <w:rFonts w:eastAsiaTheme="minorEastAsia"/>
          <w:b w:val="0"/>
          <w:caps w:val="0"/>
          <w:color w:val="auto"/>
          <w:kern w:val="2"/>
          <w:lang w:val="fi-FI" w:eastAsia="fi-FI"/>
          <w14:ligatures w14:val="standardContextual"/>
        </w:rPr>
      </w:pPr>
      <w:r w:rsidRPr="009403CE">
        <w:t>2.</w:t>
      </w:r>
      <w:r>
        <w:rPr>
          <w:rFonts w:eastAsiaTheme="minorEastAsia"/>
          <w:b w:val="0"/>
          <w:caps w:val="0"/>
          <w:color w:val="auto"/>
          <w:kern w:val="2"/>
          <w:lang w:val="fi-FI" w:eastAsia="fi-FI"/>
          <w14:ligatures w14:val="standardContextual"/>
        </w:rPr>
        <w:tab/>
      </w:r>
      <w:r>
        <w:t>Digital Maturity</w:t>
      </w:r>
      <w:r>
        <w:tab/>
      </w:r>
      <w:r>
        <w:fldChar w:fldCharType="begin"/>
      </w:r>
      <w:r>
        <w:instrText xml:space="preserve"> PAGEREF _Toc158816315 \h </w:instrText>
      </w:r>
      <w:r>
        <w:fldChar w:fldCharType="separate"/>
      </w:r>
      <w:r>
        <w:t>4</w:t>
      </w:r>
      <w:r>
        <w:fldChar w:fldCharType="end"/>
      </w:r>
    </w:p>
    <w:p w14:paraId="7860D17A" w14:textId="1EEF8402" w:rsidR="00F40749" w:rsidRDefault="00F40749">
      <w:pPr>
        <w:pStyle w:val="TOC2"/>
        <w:rPr>
          <w:rFonts w:eastAsiaTheme="minorEastAsia"/>
          <w:color w:val="auto"/>
          <w:kern w:val="2"/>
          <w:lang w:val="fi-FI" w:eastAsia="fi-FI"/>
          <w14:ligatures w14:val="standardContextual"/>
        </w:rPr>
      </w:pPr>
      <w:r w:rsidRPr="009403CE">
        <w:t>2.1.</w:t>
      </w:r>
      <w:r>
        <w:rPr>
          <w:rFonts w:eastAsiaTheme="minorEastAsia"/>
          <w:color w:val="auto"/>
          <w:kern w:val="2"/>
          <w:lang w:val="fi-FI" w:eastAsia="fi-FI"/>
          <w14:ligatures w14:val="standardContextual"/>
        </w:rPr>
        <w:tab/>
      </w:r>
      <w:r>
        <w:t>Example of Sub-Section</w:t>
      </w:r>
      <w:r>
        <w:tab/>
      </w:r>
      <w:r>
        <w:fldChar w:fldCharType="begin"/>
      </w:r>
      <w:r>
        <w:instrText xml:space="preserve"> PAGEREF _Toc158816316 \h </w:instrText>
      </w:r>
      <w:r>
        <w:fldChar w:fldCharType="separate"/>
      </w:r>
      <w:r>
        <w:t>4</w:t>
      </w:r>
      <w:r>
        <w:fldChar w:fldCharType="end"/>
      </w:r>
    </w:p>
    <w:p w14:paraId="355120C5" w14:textId="56D6C74C" w:rsidR="00F40749" w:rsidRDefault="00F40749">
      <w:pPr>
        <w:pStyle w:val="TOC3"/>
        <w:tabs>
          <w:tab w:val="left" w:pos="1134"/>
        </w:tabs>
        <w:rPr>
          <w:rFonts w:eastAsiaTheme="minorEastAsia"/>
          <w:noProof/>
          <w:color w:val="auto"/>
          <w:kern w:val="2"/>
          <w:sz w:val="22"/>
          <w:lang w:val="fi-FI" w:eastAsia="fi-FI"/>
          <w14:ligatures w14:val="standardContextual"/>
        </w:rPr>
      </w:pPr>
      <w:r w:rsidRPr="009403CE">
        <w:rPr>
          <w:noProof/>
        </w:rPr>
        <w:t>2.1.1.</w:t>
      </w:r>
      <w:r>
        <w:rPr>
          <w:rFonts w:eastAsiaTheme="minorEastAsia"/>
          <w:noProof/>
          <w:color w:val="auto"/>
          <w:kern w:val="2"/>
          <w:sz w:val="22"/>
          <w:lang w:val="fi-FI" w:eastAsia="fi-FI"/>
          <w14:ligatures w14:val="standardContextual"/>
        </w:rPr>
        <w:tab/>
      </w:r>
      <w:r>
        <w:rPr>
          <w:noProof/>
        </w:rPr>
        <w:t>Example of Sub-Section</w:t>
      </w:r>
      <w:r>
        <w:rPr>
          <w:noProof/>
        </w:rPr>
        <w:tab/>
      </w:r>
      <w:r>
        <w:rPr>
          <w:noProof/>
        </w:rPr>
        <w:fldChar w:fldCharType="begin"/>
      </w:r>
      <w:r>
        <w:rPr>
          <w:noProof/>
        </w:rPr>
        <w:instrText xml:space="preserve"> PAGEREF _Toc158816317 \h </w:instrText>
      </w:r>
      <w:r>
        <w:rPr>
          <w:noProof/>
        </w:rPr>
      </w:r>
      <w:r>
        <w:rPr>
          <w:noProof/>
        </w:rPr>
        <w:fldChar w:fldCharType="separate"/>
      </w:r>
      <w:r>
        <w:rPr>
          <w:noProof/>
        </w:rPr>
        <w:t>4</w:t>
      </w:r>
      <w:r>
        <w:rPr>
          <w:noProof/>
        </w:rPr>
        <w:fldChar w:fldCharType="end"/>
      </w:r>
    </w:p>
    <w:p w14:paraId="0462EB54" w14:textId="279762FB" w:rsidR="00F40749" w:rsidRDefault="00F40749">
      <w:pPr>
        <w:pStyle w:val="TOC1"/>
        <w:rPr>
          <w:rFonts w:eastAsiaTheme="minorEastAsia"/>
          <w:b w:val="0"/>
          <w:caps w:val="0"/>
          <w:color w:val="auto"/>
          <w:kern w:val="2"/>
          <w:lang w:val="fi-FI" w:eastAsia="fi-FI"/>
          <w14:ligatures w14:val="standardContextual"/>
        </w:rPr>
      </w:pPr>
      <w:r w:rsidRPr="009403CE">
        <w:t>3.</w:t>
      </w:r>
      <w:r>
        <w:rPr>
          <w:rFonts w:eastAsiaTheme="minorEastAsia"/>
          <w:b w:val="0"/>
          <w:caps w:val="0"/>
          <w:color w:val="auto"/>
          <w:kern w:val="2"/>
          <w:lang w:val="fi-FI" w:eastAsia="fi-FI"/>
          <w14:ligatures w14:val="standardContextual"/>
        </w:rPr>
        <w:tab/>
      </w:r>
      <w:r>
        <w:t>Digital model and Twin</w:t>
      </w:r>
      <w:r>
        <w:tab/>
      </w:r>
      <w:r>
        <w:fldChar w:fldCharType="begin"/>
      </w:r>
      <w:r>
        <w:instrText xml:space="preserve"> PAGEREF _Toc158816318 \h </w:instrText>
      </w:r>
      <w:r>
        <w:fldChar w:fldCharType="separate"/>
      </w:r>
      <w:r>
        <w:t>5</w:t>
      </w:r>
      <w:r>
        <w:fldChar w:fldCharType="end"/>
      </w:r>
    </w:p>
    <w:p w14:paraId="61EAAD1C" w14:textId="252D3BAA" w:rsidR="00F40749" w:rsidRDefault="00F40749">
      <w:pPr>
        <w:pStyle w:val="TOC1"/>
        <w:rPr>
          <w:rFonts w:eastAsiaTheme="minorEastAsia"/>
          <w:b w:val="0"/>
          <w:caps w:val="0"/>
          <w:color w:val="auto"/>
          <w:kern w:val="2"/>
          <w:lang w:val="fi-FI" w:eastAsia="fi-FI"/>
          <w14:ligatures w14:val="standardContextual"/>
        </w:rPr>
      </w:pPr>
      <w:r w:rsidRPr="009403CE">
        <w:t>4.</w:t>
      </w:r>
      <w:r>
        <w:rPr>
          <w:rFonts w:eastAsiaTheme="minorEastAsia"/>
          <w:b w:val="0"/>
          <w:caps w:val="0"/>
          <w:color w:val="auto"/>
          <w:kern w:val="2"/>
          <w:lang w:val="fi-FI" w:eastAsia="fi-FI"/>
          <w14:ligatures w14:val="standardContextual"/>
        </w:rPr>
        <w:tab/>
      </w:r>
      <w:r>
        <w:t>Digital Services</w:t>
      </w:r>
      <w:r>
        <w:tab/>
      </w:r>
      <w:r>
        <w:fldChar w:fldCharType="begin"/>
      </w:r>
      <w:r>
        <w:instrText xml:space="preserve"> PAGEREF _Toc158816319 \h </w:instrText>
      </w:r>
      <w:r>
        <w:fldChar w:fldCharType="separate"/>
      </w:r>
      <w:r>
        <w:t>5</w:t>
      </w:r>
      <w:r>
        <w:fldChar w:fldCharType="end"/>
      </w:r>
    </w:p>
    <w:p w14:paraId="030002D6" w14:textId="31BFD7BD" w:rsidR="00F40749" w:rsidRDefault="00F40749">
      <w:pPr>
        <w:pStyle w:val="TOC1"/>
        <w:rPr>
          <w:rFonts w:eastAsiaTheme="minorEastAsia"/>
          <w:b w:val="0"/>
          <w:caps w:val="0"/>
          <w:color w:val="auto"/>
          <w:kern w:val="2"/>
          <w:lang w:val="fi-FI" w:eastAsia="fi-FI"/>
          <w14:ligatures w14:val="standardContextual"/>
        </w:rPr>
      </w:pPr>
      <w:r w:rsidRPr="009403CE">
        <w:rPr>
          <w:caps w:val="0"/>
        </w:rPr>
        <w:t>5.</w:t>
      </w:r>
      <w:r>
        <w:rPr>
          <w:rFonts w:eastAsiaTheme="minorEastAsia"/>
          <w:b w:val="0"/>
          <w:caps w:val="0"/>
          <w:color w:val="auto"/>
          <w:kern w:val="2"/>
          <w:lang w:val="fi-FI" w:eastAsia="fi-FI"/>
          <w14:ligatures w14:val="standardContextual"/>
        </w:rPr>
        <w:tab/>
      </w:r>
      <w:r w:rsidRPr="009403CE">
        <w:rPr>
          <w:caps w:val="0"/>
        </w:rPr>
        <w:t>DEFINITIONS</w:t>
      </w:r>
      <w:r>
        <w:tab/>
      </w:r>
      <w:r>
        <w:fldChar w:fldCharType="begin"/>
      </w:r>
      <w:r>
        <w:instrText xml:space="preserve"> PAGEREF _Toc158816320 \h </w:instrText>
      </w:r>
      <w:r>
        <w:fldChar w:fldCharType="separate"/>
      </w:r>
      <w:r>
        <w:t>5</w:t>
      </w:r>
      <w:r>
        <w:fldChar w:fldCharType="end"/>
      </w:r>
    </w:p>
    <w:p w14:paraId="3279824B" w14:textId="38CBEE13" w:rsidR="00F40749" w:rsidRDefault="00F40749">
      <w:pPr>
        <w:pStyle w:val="TOC1"/>
        <w:rPr>
          <w:rFonts w:eastAsiaTheme="minorEastAsia"/>
          <w:b w:val="0"/>
          <w:caps w:val="0"/>
          <w:color w:val="auto"/>
          <w:kern w:val="2"/>
          <w:lang w:val="fi-FI" w:eastAsia="fi-FI"/>
          <w14:ligatures w14:val="standardContextual"/>
        </w:rPr>
      </w:pPr>
      <w:r w:rsidRPr="009403CE">
        <w:t>6.</w:t>
      </w:r>
      <w:r>
        <w:rPr>
          <w:rFonts w:eastAsiaTheme="minorEastAsia"/>
          <w:b w:val="0"/>
          <w:caps w:val="0"/>
          <w:color w:val="auto"/>
          <w:kern w:val="2"/>
          <w:lang w:val="fi-FI" w:eastAsia="fi-FI"/>
          <w14:ligatures w14:val="standardContextual"/>
        </w:rPr>
        <w:tab/>
      </w:r>
      <w:r>
        <w:t>abbreviations</w:t>
      </w:r>
      <w:r>
        <w:tab/>
      </w:r>
      <w:r>
        <w:fldChar w:fldCharType="begin"/>
      </w:r>
      <w:r>
        <w:instrText xml:space="preserve"> PAGEREF _Toc158816321 \h </w:instrText>
      </w:r>
      <w:r>
        <w:fldChar w:fldCharType="separate"/>
      </w:r>
      <w:r>
        <w:t>5</w:t>
      </w:r>
      <w:r>
        <w:fldChar w:fldCharType="end"/>
      </w:r>
    </w:p>
    <w:p w14:paraId="7A8833B6" w14:textId="28D62F85" w:rsidR="00F40749" w:rsidRDefault="00F40749">
      <w:pPr>
        <w:pStyle w:val="TOC1"/>
        <w:rPr>
          <w:rFonts w:eastAsiaTheme="minorEastAsia"/>
          <w:b w:val="0"/>
          <w:caps w:val="0"/>
          <w:color w:val="auto"/>
          <w:kern w:val="2"/>
          <w:lang w:val="fi-FI" w:eastAsia="fi-FI"/>
          <w14:ligatures w14:val="standardContextual"/>
        </w:rPr>
      </w:pPr>
      <w:r w:rsidRPr="009403CE">
        <w:t>7.</w:t>
      </w:r>
      <w:r>
        <w:rPr>
          <w:rFonts w:eastAsiaTheme="minorEastAsia"/>
          <w:b w:val="0"/>
          <w:caps w:val="0"/>
          <w:color w:val="auto"/>
          <w:kern w:val="2"/>
          <w:lang w:val="fi-FI" w:eastAsia="fi-FI"/>
          <w14:ligatures w14:val="standardContextual"/>
        </w:rPr>
        <w:tab/>
      </w:r>
      <w:r>
        <w:t>references</w:t>
      </w:r>
      <w:r>
        <w:tab/>
      </w:r>
      <w:r>
        <w:fldChar w:fldCharType="begin"/>
      </w:r>
      <w:r>
        <w:instrText xml:space="preserve"> PAGEREF _Toc158816322 \h </w:instrText>
      </w:r>
      <w:r>
        <w:fldChar w:fldCharType="separate"/>
      </w:r>
      <w:r>
        <w:t>5</w:t>
      </w:r>
      <w:r>
        <w:fldChar w:fldCharType="end"/>
      </w:r>
    </w:p>
    <w:p w14:paraId="5634D45D" w14:textId="77ECABFD" w:rsidR="00F40749" w:rsidRDefault="00F40749">
      <w:pPr>
        <w:pStyle w:val="TOC1"/>
        <w:rPr>
          <w:rFonts w:eastAsiaTheme="minorEastAsia"/>
          <w:b w:val="0"/>
          <w:caps w:val="0"/>
          <w:color w:val="auto"/>
          <w:kern w:val="2"/>
          <w:lang w:val="fi-FI" w:eastAsia="fi-FI"/>
          <w14:ligatures w14:val="standardContextual"/>
        </w:rPr>
      </w:pPr>
      <w:r w:rsidRPr="009403CE">
        <w:t>8.</w:t>
      </w:r>
      <w:r>
        <w:rPr>
          <w:rFonts w:eastAsiaTheme="minorEastAsia"/>
          <w:b w:val="0"/>
          <w:caps w:val="0"/>
          <w:color w:val="auto"/>
          <w:kern w:val="2"/>
          <w:lang w:val="fi-FI" w:eastAsia="fi-FI"/>
          <w14:ligatures w14:val="standardContextual"/>
        </w:rPr>
        <w:tab/>
      </w:r>
      <w:r>
        <w:t>Further reading</w:t>
      </w:r>
      <w:r>
        <w:tab/>
      </w:r>
      <w:r>
        <w:fldChar w:fldCharType="begin"/>
      </w:r>
      <w:r>
        <w:instrText xml:space="preserve"> PAGEREF _Toc158816323 \h </w:instrText>
      </w:r>
      <w:r>
        <w:fldChar w:fldCharType="separate"/>
      </w:r>
      <w:r>
        <w:t>6</w:t>
      </w:r>
      <w:r>
        <w:fldChar w:fldCharType="end"/>
      </w:r>
    </w:p>
    <w:p w14:paraId="43C3C861" w14:textId="44BBE7EC" w:rsidR="00F40749" w:rsidRDefault="00F40749">
      <w:pPr>
        <w:pStyle w:val="TOC1"/>
        <w:rPr>
          <w:rFonts w:eastAsiaTheme="minorEastAsia"/>
          <w:b w:val="0"/>
          <w:caps w:val="0"/>
          <w:color w:val="auto"/>
          <w:kern w:val="2"/>
          <w:lang w:val="fi-FI" w:eastAsia="fi-FI"/>
          <w14:ligatures w14:val="standardContextual"/>
        </w:rPr>
      </w:pPr>
      <w:r w:rsidRPr="009403CE">
        <w:t>9.</w:t>
      </w:r>
      <w:r>
        <w:rPr>
          <w:rFonts w:eastAsiaTheme="minorEastAsia"/>
          <w:b w:val="0"/>
          <w:caps w:val="0"/>
          <w:color w:val="auto"/>
          <w:kern w:val="2"/>
          <w:lang w:val="fi-FI" w:eastAsia="fi-FI"/>
          <w14:ligatures w14:val="standardContextual"/>
        </w:rPr>
        <w:tab/>
      </w:r>
      <w:r>
        <w:t>Index</w:t>
      </w:r>
      <w:r>
        <w:tab/>
      </w:r>
      <w:r>
        <w:fldChar w:fldCharType="begin"/>
      </w:r>
      <w:r>
        <w:instrText xml:space="preserve"> PAGEREF _Toc158816324 \h </w:instrText>
      </w:r>
      <w:r>
        <w:fldChar w:fldCharType="separate"/>
      </w:r>
      <w:r>
        <w:t>7</w:t>
      </w:r>
      <w:r>
        <w:fldChar w:fldCharType="end"/>
      </w:r>
    </w:p>
    <w:p w14:paraId="3136D6C3" w14:textId="48EB0DD9"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BE26372" w14:textId="2D8E23D6" w:rsidR="00161325" w:rsidRPr="00CB7D0F" w:rsidRDefault="00D15F11" w:rsidP="00CB1D11">
      <w:pPr>
        <w:pStyle w:val="BodyText"/>
        <w:suppressAutoHyphens/>
      </w:pPr>
      <w:r>
        <w:fldChar w:fldCharType="begin"/>
      </w:r>
      <w:r>
        <w:instrText xml:space="preserve"> TOC \t "Table caption,1" \c "Figure" </w:instrText>
      </w:r>
      <w:r>
        <w:fldChar w:fldCharType="separate"/>
      </w:r>
      <w:r w:rsidR="00892B9B">
        <w:rPr>
          <w:b/>
          <w:bCs/>
          <w:noProof/>
          <w:lang w:val="fi-FI"/>
        </w:rPr>
        <w:t>Kuvaotsikkoluettelon hakusanoja ei löytynyt.</w:t>
      </w: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69585A95" w14:textId="2C707953" w:rsidR="005E4659" w:rsidRPr="00176BB8" w:rsidRDefault="00923B4D" w:rsidP="00CB1D11">
      <w:pPr>
        <w:pStyle w:val="BodyText"/>
        <w:suppressAutoHyphens/>
      </w:pPr>
      <w:r w:rsidRPr="00F55AD7">
        <w:rPr>
          <w:i/>
          <w:color w:val="00558C"/>
        </w:rPr>
        <w:fldChar w:fldCharType="begin"/>
      </w:r>
      <w:r w:rsidRPr="00F55AD7">
        <w:instrText xml:space="preserve"> TOC \t "Figure caption" \c </w:instrText>
      </w:r>
      <w:r w:rsidRPr="00F55AD7">
        <w:rPr>
          <w:i/>
          <w:color w:val="00558C"/>
        </w:rPr>
        <w:fldChar w:fldCharType="separate"/>
      </w:r>
      <w:r w:rsidR="00892B9B">
        <w:rPr>
          <w:b/>
          <w:bCs/>
          <w:i/>
          <w:noProof/>
          <w:color w:val="00558C"/>
          <w:lang w:val="fi-FI"/>
        </w:rPr>
        <w:t>Kuvaotsikkoluettelon hakusanoja ei löytynyt.</w:t>
      </w: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2EC81C45" w:rsidR="004944C8" w:rsidRPr="00F55AD7" w:rsidRDefault="00B7711B" w:rsidP="00CB1D11">
      <w:pPr>
        <w:pStyle w:val="Heading1"/>
        <w:suppressAutoHyphens/>
      </w:pPr>
      <w:bookmarkStart w:id="0" w:name="_Toc158816314"/>
      <w:r>
        <w:lastRenderedPageBreak/>
        <w:t>Introduction</w:t>
      </w:r>
      <w:bookmarkEnd w:id="0"/>
    </w:p>
    <w:p w14:paraId="30566B26" w14:textId="77777777" w:rsidR="003A6A32" w:rsidRDefault="003A6A32" w:rsidP="00CB1D11">
      <w:pPr>
        <w:pStyle w:val="Heading1separationline"/>
        <w:suppressAutoHyphens/>
      </w:pPr>
    </w:p>
    <w:p w14:paraId="6BD985D8" w14:textId="2420B547" w:rsidR="001B206B" w:rsidRDefault="001B206B" w:rsidP="00F71F86">
      <w:pPr>
        <w:pStyle w:val="BodyText"/>
      </w:pPr>
      <w:bookmarkStart w:id="1" w:name="_Hlk59200746"/>
      <w:r>
        <w:t xml:space="preserve">This guideline </w:t>
      </w:r>
      <w:r w:rsidR="00465590">
        <w:t xml:space="preserve">intents to </w:t>
      </w:r>
      <w:r w:rsidR="005D4056">
        <w:t>define</w:t>
      </w:r>
      <w:r w:rsidR="003059E8">
        <w:t xml:space="preserve"> </w:t>
      </w:r>
      <w:r w:rsidR="00E01592">
        <w:t xml:space="preserve">what is meant by digitalisation of </w:t>
      </w:r>
      <w:r w:rsidR="004B712D">
        <w:t xml:space="preserve">waterways and how digitalisation can benefit both </w:t>
      </w:r>
      <w:r w:rsidR="004F2716">
        <w:t xml:space="preserve">the </w:t>
      </w:r>
      <w:r w:rsidR="0096422D">
        <w:t xml:space="preserve">efficient </w:t>
      </w:r>
      <w:r w:rsidR="004F2716">
        <w:t xml:space="preserve">maintenance </w:t>
      </w:r>
      <w:r w:rsidR="00CD543A">
        <w:t xml:space="preserve">of waterways </w:t>
      </w:r>
      <w:r w:rsidR="004F2716">
        <w:t xml:space="preserve">and </w:t>
      </w:r>
      <w:r w:rsidR="00D722B3">
        <w:t xml:space="preserve">the </w:t>
      </w:r>
      <w:r w:rsidR="0096422D">
        <w:t>safe</w:t>
      </w:r>
      <w:r w:rsidR="00CD543A">
        <w:t>ty of navigation</w:t>
      </w:r>
      <w:r w:rsidR="004F2716">
        <w:t>.</w:t>
      </w:r>
    </w:p>
    <w:bookmarkEnd w:id="1"/>
    <w:p w14:paraId="5ADC9980" w14:textId="78849EE3" w:rsidR="002D4C38" w:rsidRDefault="002D4C38" w:rsidP="002D4C38">
      <w:pPr>
        <w:pStyle w:val="BodyText"/>
      </w:pPr>
      <w:r>
        <w:t xml:space="preserve">Digitalisation of a waterway should be understood to include two partly separate </w:t>
      </w:r>
      <w:r w:rsidR="337360C4">
        <w:t>themes</w:t>
      </w:r>
      <w:r>
        <w:t>:</w:t>
      </w:r>
    </w:p>
    <w:p w14:paraId="5BF9B2FE" w14:textId="77777777" w:rsidR="002D4C38" w:rsidRDefault="002D4C38" w:rsidP="002D4C38">
      <w:pPr>
        <w:pStyle w:val="Bullet1"/>
      </w:pPr>
      <w:r>
        <w:t>Creating digital model of the waterways, which may be further evolved to digital twin.</w:t>
      </w:r>
    </w:p>
    <w:p w14:paraId="15549EE8" w14:textId="59700DCA" w:rsidR="002D4C38" w:rsidRDefault="002D4C38" w:rsidP="002D4C38">
      <w:pPr>
        <w:pStyle w:val="Bullet1"/>
      </w:pPr>
      <w:r>
        <w:t>Providing digital navigational services to vessels.</w:t>
      </w:r>
    </w:p>
    <w:p w14:paraId="546E1201" w14:textId="1E8E0949" w:rsidR="00920BA0" w:rsidRDefault="00F15D41" w:rsidP="002024B0">
      <w:pPr>
        <w:pStyle w:val="BodyText"/>
      </w:pPr>
      <w:r>
        <w:t>The bas</w:t>
      </w:r>
      <w:r w:rsidR="002226EE">
        <w:t>e</w:t>
      </w:r>
      <w:r>
        <w:t>line</w:t>
      </w:r>
      <w:r w:rsidR="002C2A58">
        <w:t xml:space="preserve"> di</w:t>
      </w:r>
      <w:r w:rsidR="00227D69">
        <w:t xml:space="preserve">gital model </w:t>
      </w:r>
      <w:r w:rsidR="007A46DD">
        <w:t xml:space="preserve">of </w:t>
      </w:r>
      <w:r w:rsidR="002A79B7">
        <w:t xml:space="preserve">a </w:t>
      </w:r>
      <w:r w:rsidR="007A46DD">
        <w:t xml:space="preserve">waterway </w:t>
      </w:r>
      <w:r w:rsidR="00044196">
        <w:t>includes</w:t>
      </w:r>
      <w:r w:rsidR="007A46DD">
        <w:t xml:space="preserve"> </w:t>
      </w:r>
      <w:r w:rsidR="005A722A">
        <w:t xml:space="preserve">information about the </w:t>
      </w:r>
      <w:r w:rsidR="00B53018">
        <w:t xml:space="preserve">basic </w:t>
      </w:r>
      <w:r w:rsidR="00920BA0" w:rsidRPr="00920BA0">
        <w:t>characteristics</w:t>
      </w:r>
      <w:r w:rsidR="007619BF">
        <w:t xml:space="preserve"> and</w:t>
      </w:r>
      <w:r w:rsidR="00920BA0" w:rsidRPr="00920BA0">
        <w:t xml:space="preserve"> maintenance</w:t>
      </w:r>
      <w:r w:rsidR="001F2CC3">
        <w:t xml:space="preserve"> events</w:t>
      </w:r>
      <w:r w:rsidR="00920BA0" w:rsidRPr="00920BA0">
        <w:t xml:space="preserve"> </w:t>
      </w:r>
      <w:r w:rsidR="00007C53">
        <w:t>of</w:t>
      </w:r>
      <w:r w:rsidR="00920BA0" w:rsidRPr="00920BA0">
        <w:t xml:space="preserve"> fairway</w:t>
      </w:r>
      <w:r w:rsidR="004D7656">
        <w:t>/channel</w:t>
      </w:r>
      <w:r w:rsidR="00920BA0" w:rsidRPr="00920BA0">
        <w:t xml:space="preserve"> and </w:t>
      </w:r>
      <w:r w:rsidR="00C14CAA">
        <w:t xml:space="preserve">the related </w:t>
      </w:r>
      <w:r w:rsidR="00BA253C">
        <w:t>marine aids to navigation</w:t>
      </w:r>
      <w:r w:rsidR="009258FF">
        <w:t xml:space="preserve"> (AtoN)</w:t>
      </w:r>
      <w:r w:rsidR="00920BA0" w:rsidRPr="00920BA0">
        <w:t xml:space="preserve"> in digital</w:t>
      </w:r>
      <w:r w:rsidR="00215E25">
        <w:t>,</w:t>
      </w:r>
      <w:r w:rsidR="00920BA0" w:rsidRPr="00920BA0">
        <w:t xml:space="preserve"> reusable</w:t>
      </w:r>
      <w:r w:rsidR="00215E25">
        <w:t xml:space="preserve"> and preferably standardized</w:t>
      </w:r>
      <w:r w:rsidR="00920BA0" w:rsidRPr="00920BA0">
        <w:t xml:space="preserve"> form</w:t>
      </w:r>
      <w:r w:rsidR="00C031EA">
        <w:t>at</w:t>
      </w:r>
      <w:r w:rsidR="002E3BE3">
        <w:t>.</w:t>
      </w:r>
      <w:r w:rsidR="005D14E9">
        <w:t xml:space="preserve"> It </w:t>
      </w:r>
      <w:r w:rsidR="00901316">
        <w:t>provides a virtual representation of a physical waterway</w:t>
      </w:r>
      <w:r w:rsidR="00EB6FB2">
        <w:t>.</w:t>
      </w:r>
      <w:r w:rsidR="002E3BE3">
        <w:t xml:space="preserve"> </w:t>
      </w:r>
      <w:r w:rsidR="009F55E5">
        <w:t xml:space="preserve">More developed </w:t>
      </w:r>
      <w:r w:rsidR="00EB6FB2">
        <w:t xml:space="preserve">digital </w:t>
      </w:r>
      <w:r w:rsidR="009F55E5">
        <w:t xml:space="preserve">model </w:t>
      </w:r>
      <w:r w:rsidR="00295CA9">
        <w:t>include</w:t>
      </w:r>
      <w:r w:rsidR="003A5CA4">
        <w:t>s also</w:t>
      </w:r>
      <w:r w:rsidR="00275B45">
        <w:t xml:space="preserve"> </w:t>
      </w:r>
      <w:r w:rsidR="00821572">
        <w:t xml:space="preserve">real-time </w:t>
      </w:r>
      <w:r w:rsidR="00086F8F">
        <w:t xml:space="preserve">AtoN monitoring </w:t>
      </w:r>
      <w:r w:rsidR="00275B45">
        <w:t>information</w:t>
      </w:r>
      <w:r w:rsidR="00191F84">
        <w:t xml:space="preserve">, </w:t>
      </w:r>
      <w:r w:rsidR="00B71527">
        <w:t xml:space="preserve">observations on </w:t>
      </w:r>
      <w:r w:rsidR="00275B45">
        <w:t xml:space="preserve">environmental </w:t>
      </w:r>
      <w:r w:rsidR="00FD3078">
        <w:t>conditions</w:t>
      </w:r>
      <w:r w:rsidR="00191F84">
        <w:t xml:space="preserve"> </w:t>
      </w:r>
      <w:r w:rsidR="00FD3078">
        <w:t xml:space="preserve">and </w:t>
      </w:r>
      <w:r w:rsidR="004D6A56">
        <w:t xml:space="preserve">information on </w:t>
      </w:r>
      <w:r w:rsidR="00FD3078">
        <w:t>vessel traffic.</w:t>
      </w:r>
      <w:r w:rsidR="00295CA9">
        <w:t xml:space="preserve"> </w:t>
      </w:r>
      <w:r w:rsidR="006B14E9">
        <w:t xml:space="preserve">When </w:t>
      </w:r>
      <w:r w:rsidR="00BA6611">
        <w:t xml:space="preserve">the </w:t>
      </w:r>
      <w:r w:rsidR="000F213E">
        <w:t xml:space="preserve">digital </w:t>
      </w:r>
      <w:r w:rsidR="009F55E5">
        <w:t xml:space="preserve">model </w:t>
      </w:r>
      <w:r w:rsidR="00BA7E48">
        <w:t xml:space="preserve">is used </w:t>
      </w:r>
      <w:r w:rsidR="002A700D">
        <w:t>for</w:t>
      </w:r>
      <w:r w:rsidR="00B03EE6">
        <w:t xml:space="preserve"> </w:t>
      </w:r>
      <w:r w:rsidR="00981227">
        <w:t>provid</w:t>
      </w:r>
      <w:r w:rsidR="002A700D">
        <w:t>ing</w:t>
      </w:r>
      <w:r w:rsidR="00981227">
        <w:t xml:space="preserve"> </w:t>
      </w:r>
      <w:r w:rsidR="00D61674">
        <w:t xml:space="preserve">future </w:t>
      </w:r>
      <w:r w:rsidR="000820E4">
        <w:t xml:space="preserve">scenarios </w:t>
      </w:r>
      <w:r w:rsidR="00045715">
        <w:t xml:space="preserve">and initiating </w:t>
      </w:r>
      <w:r w:rsidR="00212AD8">
        <w:t xml:space="preserve">proactive </w:t>
      </w:r>
      <w:r w:rsidR="00B15799">
        <w:t xml:space="preserve">corrective </w:t>
      </w:r>
      <w:r w:rsidR="00212AD8">
        <w:t xml:space="preserve">actions </w:t>
      </w:r>
      <w:r w:rsidR="002B4397">
        <w:t>it can be called digital twin</w:t>
      </w:r>
      <w:r w:rsidR="00D61674">
        <w:t xml:space="preserve"> and used </w:t>
      </w:r>
      <w:r w:rsidR="000B2369">
        <w:t>for</w:t>
      </w:r>
      <w:r w:rsidR="00A370ED">
        <w:t xml:space="preserve"> support</w:t>
      </w:r>
      <w:r w:rsidR="000B2369">
        <w:t>ing</w:t>
      </w:r>
      <w:r w:rsidR="00A370ED">
        <w:t xml:space="preserve"> </w:t>
      </w:r>
      <w:r w:rsidR="001A2D8F">
        <w:t xml:space="preserve">more optimized and </w:t>
      </w:r>
      <w:r w:rsidR="00920BA0" w:rsidRPr="00920BA0">
        <w:t>predictive</w:t>
      </w:r>
      <w:r w:rsidR="007D78F6">
        <w:t xml:space="preserve"> </w:t>
      </w:r>
      <w:r w:rsidR="00920BA0" w:rsidRPr="00920BA0">
        <w:t>maintenance</w:t>
      </w:r>
      <w:r w:rsidR="001A2D8F">
        <w:t>.</w:t>
      </w:r>
    </w:p>
    <w:p w14:paraId="17B5C5A1" w14:textId="7EE2FCCA" w:rsidR="006A7F58" w:rsidRDefault="00E5057A" w:rsidP="002024B0">
      <w:pPr>
        <w:pStyle w:val="BodyText"/>
      </w:pPr>
      <w:r>
        <w:t>The other digitalisation</w:t>
      </w:r>
      <w:r w:rsidR="00E322A5">
        <w:t xml:space="preserve"> process</w:t>
      </w:r>
      <w:r w:rsidR="00D735B7">
        <w:t xml:space="preserve"> </w:t>
      </w:r>
      <w:r w:rsidR="00C40ACC">
        <w:t xml:space="preserve">which </w:t>
      </w:r>
      <w:r w:rsidR="000A3F58">
        <w:t xml:space="preserve">affects waterways is </w:t>
      </w:r>
      <w:r w:rsidR="00F77B5D">
        <w:t>e</w:t>
      </w:r>
      <w:r w:rsidR="00430E20">
        <w:t>-Navigation, t</w:t>
      </w:r>
      <w:r w:rsidR="001E491D">
        <w:t>he</w:t>
      </w:r>
      <w:r w:rsidR="00B40523">
        <w:t xml:space="preserve"> overarching </w:t>
      </w:r>
      <w:r w:rsidR="00043148">
        <w:t xml:space="preserve">project for </w:t>
      </w:r>
      <w:r w:rsidR="00B40523">
        <w:t xml:space="preserve">digitalisation of </w:t>
      </w:r>
      <w:r w:rsidR="00AB2DAB">
        <w:t>marine information and services</w:t>
      </w:r>
      <w:r w:rsidR="003D47DB">
        <w:t xml:space="preserve"> led by IMO</w:t>
      </w:r>
      <w:r w:rsidR="00D735B7">
        <w:t xml:space="preserve"> and</w:t>
      </w:r>
      <w:r w:rsidR="00AC5DBB">
        <w:t xml:space="preserve"> </w:t>
      </w:r>
      <w:r w:rsidR="00430E20">
        <w:t>enabl</w:t>
      </w:r>
      <w:r w:rsidR="00D735B7">
        <w:t>ing</w:t>
      </w:r>
      <w:r w:rsidR="00430E20">
        <w:t xml:space="preserve"> </w:t>
      </w:r>
      <w:r w:rsidR="00C3610D">
        <w:t xml:space="preserve">the provision of </w:t>
      </w:r>
      <w:r w:rsidR="00AA38A0">
        <w:t xml:space="preserve">new </w:t>
      </w:r>
      <w:r w:rsidR="00C3610D">
        <w:t xml:space="preserve">digital </w:t>
      </w:r>
      <w:r w:rsidR="00AA38A0">
        <w:t xml:space="preserve">services </w:t>
      </w:r>
      <w:r w:rsidR="00430E20">
        <w:t>t</w:t>
      </w:r>
      <w:r w:rsidR="00C3610D">
        <w:t>o vessels</w:t>
      </w:r>
      <w:r w:rsidR="00025FBA">
        <w:t xml:space="preserve">. </w:t>
      </w:r>
      <w:r w:rsidR="00D55D17">
        <w:t>Many of these new</w:t>
      </w:r>
      <w:r w:rsidR="00025FBA">
        <w:t xml:space="preserve"> </w:t>
      </w:r>
      <w:r w:rsidR="006F546E">
        <w:t>services are expected to enhance the safety</w:t>
      </w:r>
      <w:r w:rsidR="003B0157">
        <w:t xml:space="preserve"> and efficiency</w:t>
      </w:r>
      <w:r w:rsidR="00F77B5D">
        <w:t xml:space="preserve"> of navigation</w:t>
      </w:r>
      <w:r w:rsidR="003B0157">
        <w:t>.</w:t>
      </w:r>
      <w:r w:rsidR="00C81D4A">
        <w:t xml:space="preserve"> </w:t>
      </w:r>
      <w:r w:rsidR="00E4359F">
        <w:t xml:space="preserve">Some </w:t>
      </w:r>
      <w:r w:rsidR="005069FD">
        <w:t xml:space="preserve">of the </w:t>
      </w:r>
      <w:r w:rsidR="00E4359F">
        <w:t xml:space="preserve">services may require </w:t>
      </w:r>
      <w:r w:rsidR="005069FD">
        <w:t xml:space="preserve">that there is a </w:t>
      </w:r>
      <w:r w:rsidR="000B12D5">
        <w:t xml:space="preserve">real-time </w:t>
      </w:r>
      <w:r w:rsidR="005069FD">
        <w:t>d</w:t>
      </w:r>
      <w:r w:rsidR="00C81D4A">
        <w:t xml:space="preserve">igital model </w:t>
      </w:r>
      <w:r w:rsidR="000F0712">
        <w:t xml:space="preserve">of </w:t>
      </w:r>
      <w:r w:rsidR="000B12D5">
        <w:t xml:space="preserve">the </w:t>
      </w:r>
      <w:r w:rsidR="000F0712">
        <w:t>waterway</w:t>
      </w:r>
      <w:r w:rsidR="000B12D5">
        <w:t xml:space="preserve"> </w:t>
      </w:r>
      <w:r w:rsidR="21B81D79">
        <w:t xml:space="preserve">already </w:t>
      </w:r>
      <w:r w:rsidR="000B12D5">
        <w:t>available.</w:t>
      </w:r>
    </w:p>
    <w:p w14:paraId="41FA543F" w14:textId="3781A452" w:rsidR="00383A9D" w:rsidRDefault="00AA0672" w:rsidP="00297DA0">
      <w:pPr>
        <w:pStyle w:val="BodyText"/>
      </w:pPr>
      <w:r>
        <w:t>S</w:t>
      </w:r>
      <w:r w:rsidR="00B80065">
        <w:t>ection</w:t>
      </w:r>
      <w:r>
        <w:t xml:space="preserve"> </w:t>
      </w:r>
      <w:r w:rsidR="00974C27">
        <w:t>2</w:t>
      </w:r>
      <w:r>
        <w:t xml:space="preserve"> </w:t>
      </w:r>
      <w:r w:rsidR="00007EA4">
        <w:t xml:space="preserve">of this guideline </w:t>
      </w:r>
      <w:r>
        <w:t xml:space="preserve">will </w:t>
      </w:r>
      <w:r w:rsidR="009E2A7E">
        <w:t xml:space="preserve">give guidance on how to </w:t>
      </w:r>
      <w:r w:rsidR="007503AE">
        <w:t xml:space="preserve">identify the digital maturity of </w:t>
      </w:r>
      <w:r w:rsidR="00974C27">
        <w:t>waterways</w:t>
      </w:r>
      <w:r w:rsidR="00A6784D">
        <w:t>.</w:t>
      </w:r>
      <w:r w:rsidR="00974C27">
        <w:t xml:space="preserve"> </w:t>
      </w:r>
      <w:r w:rsidR="00A6784D">
        <w:t>S</w:t>
      </w:r>
      <w:r w:rsidR="00974C27">
        <w:t xml:space="preserve">ection 3 </w:t>
      </w:r>
      <w:r w:rsidR="00007EA4">
        <w:t xml:space="preserve">will explain </w:t>
      </w:r>
      <w:r w:rsidR="00374778">
        <w:t xml:space="preserve">the concepts of digital </w:t>
      </w:r>
      <w:r w:rsidR="00A6784D">
        <w:t xml:space="preserve">model and digital twin and how these can be used to </w:t>
      </w:r>
      <w:r w:rsidR="00DC4B7A">
        <w:t xml:space="preserve">support the </w:t>
      </w:r>
      <w:r w:rsidR="00AA7AC8">
        <w:t xml:space="preserve">waterway maintenance. Section 4 discusses </w:t>
      </w:r>
      <w:r w:rsidR="006946EE">
        <w:t xml:space="preserve">digital services </w:t>
      </w:r>
      <w:r w:rsidR="00713A62">
        <w:t xml:space="preserve">which </w:t>
      </w:r>
      <w:r w:rsidR="00CE6645">
        <w:t xml:space="preserve">can be </w:t>
      </w:r>
      <w:r w:rsidR="006946EE">
        <w:t xml:space="preserve">provided to vessels and </w:t>
      </w:r>
      <w:r w:rsidR="00297DA0">
        <w:t xml:space="preserve">suggests </w:t>
      </w:r>
      <w:r w:rsidR="006946EE">
        <w:t xml:space="preserve">how </w:t>
      </w:r>
      <w:r w:rsidR="000B1D62">
        <w:t xml:space="preserve">waterways with different levels of </w:t>
      </w:r>
      <w:r w:rsidR="002859F0">
        <w:t xml:space="preserve">services </w:t>
      </w:r>
      <w:r w:rsidR="006946EE">
        <w:t>can be categorized</w:t>
      </w:r>
      <w:r w:rsidR="00297DA0">
        <w:t>.</w:t>
      </w:r>
    </w:p>
    <w:p w14:paraId="0D3DCD3D" w14:textId="77777777" w:rsidR="00EA2575" w:rsidRDefault="00EA2575" w:rsidP="002024B0">
      <w:pPr>
        <w:pStyle w:val="BodyText"/>
      </w:pPr>
    </w:p>
    <w:p w14:paraId="06B6FB0B" w14:textId="12B95ED0" w:rsidR="00676D91" w:rsidRPr="00F97988" w:rsidRDefault="00B328FA" w:rsidP="002859F0">
      <w:pPr>
        <w:pStyle w:val="BodyText"/>
        <w:ind w:left="567"/>
        <w:rPr>
          <w:highlight w:val="yellow"/>
        </w:rPr>
      </w:pPr>
      <w:r w:rsidRPr="00F97988">
        <w:rPr>
          <w:highlight w:val="yellow"/>
        </w:rPr>
        <w:t>[Objectives f</w:t>
      </w:r>
      <w:r w:rsidR="00676D91" w:rsidRPr="00F97988">
        <w:rPr>
          <w:highlight w:val="yellow"/>
        </w:rPr>
        <w:t xml:space="preserve">rom task </w:t>
      </w:r>
      <w:r w:rsidRPr="00F97988">
        <w:rPr>
          <w:highlight w:val="yellow"/>
        </w:rPr>
        <w:t>register</w:t>
      </w:r>
      <w:r w:rsidR="00676D91" w:rsidRPr="00F97988">
        <w:rPr>
          <w:highlight w:val="yellow"/>
        </w:rPr>
        <w:t>:</w:t>
      </w:r>
    </w:p>
    <w:p w14:paraId="29C1DF1F" w14:textId="77777777" w:rsidR="00BA253C" w:rsidRPr="00F97988" w:rsidRDefault="00BA253C" w:rsidP="00BA253C">
      <w:pPr>
        <w:pStyle w:val="Bullet1"/>
        <w:rPr>
          <w:highlight w:val="yellow"/>
        </w:rPr>
      </w:pPr>
      <w:r w:rsidRPr="00F97988">
        <w:rPr>
          <w:highlight w:val="yellow"/>
        </w:rPr>
        <w:t>Define what is meant by digitalisation of waterways</w:t>
      </w:r>
    </w:p>
    <w:p w14:paraId="0D997D29" w14:textId="428636B5" w:rsidR="00BA253C" w:rsidRPr="00F97988" w:rsidRDefault="00BA253C" w:rsidP="00BA253C">
      <w:pPr>
        <w:pStyle w:val="Bullet1"/>
        <w:rPr>
          <w:highlight w:val="yellow"/>
        </w:rPr>
      </w:pPr>
      <w:r w:rsidRPr="00F97988">
        <w:rPr>
          <w:highlight w:val="yellow"/>
        </w:rPr>
        <w:t>Review guidance on the use of simulation as a tool in waterway design and AtoN planning (IALA G1058 (and G1097, noting this has been superseded by G1058 Ed 3.0));</w:t>
      </w:r>
      <w:r w:rsidR="00B328FA" w:rsidRPr="00F97988">
        <w:rPr>
          <w:highlight w:val="yellow"/>
        </w:rPr>
        <w:t>]</w:t>
      </w:r>
    </w:p>
    <w:p w14:paraId="3DE86C47" w14:textId="77777777" w:rsidR="00BA253C" w:rsidRDefault="00BA253C" w:rsidP="002024B0">
      <w:pPr>
        <w:pStyle w:val="BodyText"/>
      </w:pPr>
    </w:p>
    <w:p w14:paraId="408541DA" w14:textId="03435F7F" w:rsidR="0024229E" w:rsidRPr="00F55AD7" w:rsidRDefault="002C3C5E" w:rsidP="0024229E">
      <w:pPr>
        <w:pStyle w:val="Heading1"/>
        <w:suppressAutoHyphens/>
      </w:pPr>
      <w:bookmarkStart w:id="2" w:name="_Toc158816315"/>
      <w:r>
        <w:t>Digital Maturity</w:t>
      </w:r>
      <w:bookmarkEnd w:id="2"/>
    </w:p>
    <w:p w14:paraId="533C2E9F" w14:textId="77777777" w:rsidR="0024229E" w:rsidRDefault="0024229E" w:rsidP="0024229E">
      <w:pPr>
        <w:pStyle w:val="Heading1separationline"/>
        <w:suppressAutoHyphens/>
      </w:pPr>
    </w:p>
    <w:p w14:paraId="3372EDB8" w14:textId="486C3F56" w:rsidR="00D046AA" w:rsidRPr="00F97988" w:rsidRDefault="00D046AA" w:rsidP="00D046AA">
      <w:pPr>
        <w:pStyle w:val="BodyText"/>
        <w:rPr>
          <w:highlight w:val="yellow"/>
        </w:rPr>
      </w:pPr>
      <w:r w:rsidRPr="00F97988">
        <w:rPr>
          <w:highlight w:val="yellow"/>
        </w:rPr>
        <w:t xml:space="preserve">Reference </w:t>
      </w:r>
      <w:r w:rsidR="00C55C8A" w:rsidRPr="00F97988">
        <w:rPr>
          <w:highlight w:val="yellow"/>
        </w:rPr>
        <w:t>material available from Project DIWA (</w:t>
      </w:r>
      <w:hyperlink r:id="rId25" w:history="1">
        <w:r w:rsidR="00554968" w:rsidRPr="00F97988">
          <w:rPr>
            <w:rStyle w:val="Hyperlink"/>
            <w:highlight w:val="yellow"/>
          </w:rPr>
          <w:t>https://www.masterplandiwa.eu/</w:t>
        </w:r>
      </w:hyperlink>
      <w:r w:rsidR="00554968" w:rsidRPr="00F97988">
        <w:rPr>
          <w:highlight w:val="yellow"/>
        </w:rPr>
        <w:t>)</w:t>
      </w:r>
    </w:p>
    <w:p w14:paraId="191A5497" w14:textId="77777777" w:rsidR="00D046AA" w:rsidRPr="00F97988" w:rsidRDefault="00D046AA" w:rsidP="00D046AA">
      <w:pPr>
        <w:pStyle w:val="BodyText"/>
        <w:rPr>
          <w:highlight w:val="yellow"/>
        </w:rPr>
      </w:pPr>
    </w:p>
    <w:p w14:paraId="42ED7834" w14:textId="3B99DF5A" w:rsidR="002859F0" w:rsidRPr="00F97988" w:rsidRDefault="002859F0" w:rsidP="002859F0">
      <w:pPr>
        <w:pStyle w:val="BodyText"/>
        <w:ind w:left="567"/>
        <w:rPr>
          <w:highlight w:val="yellow"/>
        </w:rPr>
      </w:pPr>
      <w:r w:rsidRPr="00F97988">
        <w:rPr>
          <w:highlight w:val="yellow"/>
        </w:rPr>
        <w:t>[Objectives from task register:</w:t>
      </w:r>
    </w:p>
    <w:p w14:paraId="46D56F37" w14:textId="3BD6B528" w:rsidR="0024229E" w:rsidRPr="00F97988" w:rsidRDefault="002C3C5E" w:rsidP="009874E2">
      <w:pPr>
        <w:pStyle w:val="Bullet1"/>
        <w:rPr>
          <w:highlight w:val="yellow"/>
        </w:rPr>
      </w:pPr>
      <w:r w:rsidRPr="00F97988">
        <w:rPr>
          <w:highlight w:val="yellow"/>
        </w:rPr>
        <w:t>Provide guidance on identifying digital maturity of waterways</w:t>
      </w:r>
      <w:r w:rsidR="002859F0" w:rsidRPr="00F97988">
        <w:rPr>
          <w:highlight w:val="yellow"/>
        </w:rPr>
        <w:t>]</w:t>
      </w:r>
    </w:p>
    <w:p w14:paraId="190E2CC6" w14:textId="77777777" w:rsidR="00C55C8A" w:rsidRDefault="00C55C8A" w:rsidP="00554968">
      <w:pPr>
        <w:pStyle w:val="BodyText"/>
      </w:pPr>
    </w:p>
    <w:p w14:paraId="029677AF" w14:textId="01E49DE7" w:rsidR="00CD1D7C" w:rsidRPr="00BA1C02" w:rsidRDefault="00045482" w:rsidP="00CD1D7C">
      <w:pPr>
        <w:pStyle w:val="Heading2"/>
        <w:suppressAutoHyphens/>
      </w:pPr>
      <w:bookmarkStart w:id="3" w:name="_Toc158816316"/>
      <w:r>
        <w:t xml:space="preserve">Example of </w:t>
      </w:r>
      <w:r w:rsidR="000401A4">
        <w:t>Sub-Section</w:t>
      </w:r>
      <w:bookmarkEnd w:id="3"/>
    </w:p>
    <w:p w14:paraId="617A2C05" w14:textId="77777777" w:rsidR="00CD1D7C" w:rsidRDefault="00CD1D7C" w:rsidP="00CD1D7C">
      <w:pPr>
        <w:pStyle w:val="Heading2separationline"/>
        <w:suppressAutoHyphens/>
      </w:pPr>
    </w:p>
    <w:p w14:paraId="26F7A58B" w14:textId="77777777" w:rsidR="00CD1D7C" w:rsidRDefault="00CD1D7C" w:rsidP="00CD1D7C">
      <w:pPr>
        <w:pStyle w:val="BodyText"/>
      </w:pPr>
      <w:r>
        <w:t>Some text here</w:t>
      </w:r>
      <w:r w:rsidRPr="002024B0">
        <w:t>.</w:t>
      </w:r>
    </w:p>
    <w:p w14:paraId="6FA10B51" w14:textId="0C13378C" w:rsidR="009217F2" w:rsidRDefault="00045482" w:rsidP="00CB1D11">
      <w:pPr>
        <w:pStyle w:val="Heading3"/>
        <w:suppressAutoHyphens/>
      </w:pPr>
      <w:bookmarkStart w:id="4" w:name="_Toc158816317"/>
      <w:r>
        <w:t xml:space="preserve">Example of </w:t>
      </w:r>
      <w:r w:rsidR="000401A4">
        <w:t>Sub-Section</w:t>
      </w:r>
      <w:bookmarkEnd w:id="4"/>
    </w:p>
    <w:p w14:paraId="103C057C" w14:textId="43AD9AB2" w:rsidR="00820C2C" w:rsidRPr="002024B0" w:rsidRDefault="003D39F8" w:rsidP="002024B0">
      <w:pPr>
        <w:pStyle w:val="BodyText"/>
      </w:pPr>
      <w:r>
        <w:t>Some text here</w:t>
      </w:r>
      <w:r w:rsidR="00820C2C" w:rsidRPr="002024B0">
        <w:t xml:space="preserve">. </w:t>
      </w:r>
    </w:p>
    <w:p w14:paraId="69AB1E9E" w14:textId="67AD7CC4" w:rsidR="00820C2C" w:rsidRDefault="00AB5662" w:rsidP="00CB1D11">
      <w:pPr>
        <w:pStyle w:val="Heading4"/>
        <w:suppressAutoHyphens/>
      </w:pPr>
      <w:r>
        <w:lastRenderedPageBreak/>
        <w:t xml:space="preserve">Example of </w:t>
      </w:r>
      <w:r w:rsidR="003D39F8">
        <w:t>Sub-Section</w:t>
      </w:r>
    </w:p>
    <w:p w14:paraId="12B1A5A7" w14:textId="1B4F186B" w:rsidR="002735DD" w:rsidRPr="003D39F8" w:rsidRDefault="003D39F8" w:rsidP="003D39F8">
      <w:pPr>
        <w:pStyle w:val="BodyText"/>
      </w:pPr>
      <w:r w:rsidRPr="003D39F8">
        <w:t>Some text here</w:t>
      </w:r>
    </w:p>
    <w:p w14:paraId="7B03A52B" w14:textId="3E2FBAF4" w:rsidR="00642ECC" w:rsidRDefault="00AB5662" w:rsidP="00CB1D11">
      <w:pPr>
        <w:pStyle w:val="Heading5"/>
        <w:suppressAutoHyphens/>
      </w:pPr>
      <w:r>
        <w:t xml:space="preserve">Example of </w:t>
      </w:r>
      <w:r w:rsidR="003D39F8">
        <w:t>Sub-Section</w:t>
      </w:r>
    </w:p>
    <w:p w14:paraId="0B4EDAF5" w14:textId="777DEC60" w:rsidR="009961B4" w:rsidRPr="00F55AD7" w:rsidRDefault="009961B4" w:rsidP="009961B4">
      <w:pPr>
        <w:pStyle w:val="Heading1"/>
        <w:suppressAutoHyphens/>
      </w:pPr>
      <w:bookmarkStart w:id="5" w:name="_Toc158816318"/>
      <w:r>
        <w:t xml:space="preserve">Digital </w:t>
      </w:r>
      <w:r w:rsidR="006D259C">
        <w:t xml:space="preserve">model and </w:t>
      </w:r>
      <w:r w:rsidR="002F605C">
        <w:t>Twin</w:t>
      </w:r>
      <w:bookmarkEnd w:id="5"/>
    </w:p>
    <w:p w14:paraId="6B32A339" w14:textId="77777777" w:rsidR="009961B4" w:rsidRDefault="009961B4" w:rsidP="009961B4">
      <w:pPr>
        <w:pStyle w:val="Heading1separationline"/>
        <w:suppressAutoHyphens/>
      </w:pPr>
    </w:p>
    <w:p w14:paraId="039EFF26" w14:textId="77777777" w:rsidR="00577EC3" w:rsidRPr="00F97988" w:rsidRDefault="00577EC3" w:rsidP="00577EC3">
      <w:pPr>
        <w:pStyle w:val="BodyText"/>
      </w:pPr>
    </w:p>
    <w:p w14:paraId="2E56D898" w14:textId="6B8A475A" w:rsidR="00F97988" w:rsidRPr="00F97988" w:rsidRDefault="00F97988" w:rsidP="00F97988">
      <w:pPr>
        <w:pStyle w:val="BodyText"/>
        <w:ind w:left="567"/>
        <w:rPr>
          <w:highlight w:val="yellow"/>
        </w:rPr>
      </w:pPr>
      <w:r w:rsidRPr="00F97988">
        <w:rPr>
          <w:highlight w:val="yellow"/>
        </w:rPr>
        <w:t>[Objectives from task register:</w:t>
      </w:r>
    </w:p>
    <w:p w14:paraId="1873DDD2" w14:textId="5BC91336" w:rsidR="00C77C59" w:rsidRPr="00F97988" w:rsidRDefault="00C77C59" w:rsidP="009874E2">
      <w:pPr>
        <w:pStyle w:val="Bullet1"/>
        <w:rPr>
          <w:highlight w:val="yellow"/>
        </w:rPr>
      </w:pPr>
      <w:r w:rsidRPr="00F97988">
        <w:rPr>
          <w:highlight w:val="yellow"/>
        </w:rPr>
        <w:t>Identify best practice in development and use of digital twins;</w:t>
      </w:r>
    </w:p>
    <w:p w14:paraId="301182B4" w14:textId="77777777" w:rsidR="00C77C59" w:rsidRPr="00F97988" w:rsidRDefault="00C77C59" w:rsidP="009874E2">
      <w:pPr>
        <w:pStyle w:val="Bullet1"/>
        <w:rPr>
          <w:highlight w:val="yellow"/>
        </w:rPr>
      </w:pPr>
      <w:r w:rsidRPr="00F97988">
        <w:rPr>
          <w:highlight w:val="yellow"/>
        </w:rPr>
        <w:t>Provide guidance on the use of digital twins for fairways / aids to navigation provision;</w:t>
      </w:r>
    </w:p>
    <w:p w14:paraId="10ACA0B8" w14:textId="2ACFFCD2" w:rsidR="009961B4" w:rsidRPr="00F97988" w:rsidRDefault="00C77C59" w:rsidP="009874E2">
      <w:pPr>
        <w:pStyle w:val="Bullet1"/>
        <w:rPr>
          <w:highlight w:val="yellow"/>
        </w:rPr>
      </w:pPr>
      <w:r w:rsidRPr="00F97988">
        <w:rPr>
          <w:highlight w:val="yellow"/>
        </w:rPr>
        <w:t xml:space="preserve">Identify uses of digital twins for planning, monitoring and maintenance </w:t>
      </w:r>
    </w:p>
    <w:p w14:paraId="4E787490" w14:textId="6FCEFB7A" w:rsidR="00E86873" w:rsidRDefault="00E86873" w:rsidP="009874E2">
      <w:pPr>
        <w:pStyle w:val="Bullet1"/>
        <w:rPr>
          <w:highlight w:val="yellow"/>
        </w:rPr>
      </w:pPr>
      <w:r w:rsidRPr="00F97988">
        <w:rPr>
          <w:highlight w:val="yellow"/>
        </w:rPr>
        <w:t>Identify opportunities to enhance sustainability through the use of technology / digital twins for fairways and AtoNs.</w:t>
      </w:r>
      <w:r w:rsidR="006711F5">
        <w:rPr>
          <w:highlight w:val="yellow"/>
        </w:rPr>
        <w:t>]</w:t>
      </w:r>
    </w:p>
    <w:p w14:paraId="240188AA" w14:textId="77777777" w:rsidR="00577EC3" w:rsidRPr="00F97988" w:rsidRDefault="00577EC3" w:rsidP="00577EC3">
      <w:pPr>
        <w:pStyle w:val="BodyText"/>
        <w:rPr>
          <w:highlight w:val="yellow"/>
        </w:rPr>
      </w:pPr>
    </w:p>
    <w:p w14:paraId="7F4A2CEB" w14:textId="5D49E204" w:rsidR="00281877" w:rsidRPr="00F55AD7" w:rsidRDefault="00281877" w:rsidP="00281877">
      <w:pPr>
        <w:pStyle w:val="Heading1"/>
        <w:suppressAutoHyphens/>
      </w:pPr>
      <w:bookmarkStart w:id="6" w:name="_Toc158816319"/>
      <w:r>
        <w:t xml:space="preserve">Digital </w:t>
      </w:r>
      <w:r w:rsidR="009874E2">
        <w:t>Services</w:t>
      </w:r>
      <w:bookmarkEnd w:id="6"/>
    </w:p>
    <w:p w14:paraId="5BAA42DB" w14:textId="77777777" w:rsidR="00281877" w:rsidRDefault="00281877" w:rsidP="00281877">
      <w:pPr>
        <w:pStyle w:val="Heading1separationline"/>
        <w:suppressAutoHyphens/>
      </w:pPr>
    </w:p>
    <w:p w14:paraId="2092561E" w14:textId="0FA37CA8" w:rsidR="00506A6F" w:rsidRDefault="0077382D" w:rsidP="0077382D">
      <w:pPr>
        <w:pStyle w:val="BodyText"/>
        <w:ind w:left="567"/>
        <w:rPr>
          <w:highlight w:val="yellow"/>
        </w:rPr>
      </w:pPr>
      <w:r>
        <w:rPr>
          <w:highlight w:val="yellow"/>
        </w:rPr>
        <w:t>[</w:t>
      </w:r>
      <w:r w:rsidR="00B266A9">
        <w:rPr>
          <w:highlight w:val="yellow"/>
        </w:rPr>
        <w:t>need to define terminology</w:t>
      </w:r>
      <w:r w:rsidR="003E4C9B">
        <w:rPr>
          <w:highlight w:val="yellow"/>
        </w:rPr>
        <w:t xml:space="preserve"> eg. digital</w:t>
      </w:r>
      <w:r w:rsidR="005C5036">
        <w:rPr>
          <w:highlight w:val="yellow"/>
        </w:rPr>
        <w:t xml:space="preserve"> vs. smart fairway (digital = </w:t>
      </w:r>
      <w:r w:rsidR="006C38BD">
        <w:rPr>
          <w:highlight w:val="yellow"/>
        </w:rPr>
        <w:t>broadcast services, smart = addressed services ?)</w:t>
      </w:r>
    </w:p>
    <w:p w14:paraId="66B96E64" w14:textId="15B48379" w:rsidR="00084F14" w:rsidRDefault="00925A4B" w:rsidP="00506A6F">
      <w:pPr>
        <w:pStyle w:val="BodyText"/>
        <w:ind w:left="567"/>
      </w:pPr>
      <w:r w:rsidRPr="0053188B">
        <w:rPr>
          <w:highlight w:val="yellow"/>
        </w:rPr>
        <w:t xml:space="preserve">Initial ideas on categorization available from </w:t>
      </w:r>
      <w:r w:rsidR="00681C16" w:rsidRPr="0053188B">
        <w:rPr>
          <w:highlight w:val="yellow"/>
        </w:rPr>
        <w:t>ENAV27-8.1.3 IALA MASS proposal_02</w:t>
      </w:r>
      <w:r w:rsidR="0053188B" w:rsidRPr="0053188B">
        <w:rPr>
          <w:highlight w:val="yellow"/>
        </w:rPr>
        <w:t>,</w:t>
      </w:r>
      <w:r w:rsidR="00D07A82" w:rsidRPr="0053188B">
        <w:rPr>
          <w:highlight w:val="yellow"/>
        </w:rPr>
        <w:t xml:space="preserve"> and </w:t>
      </w:r>
      <w:r w:rsidR="00B266A9">
        <w:rPr>
          <w:highlight w:val="yellow"/>
        </w:rPr>
        <w:t xml:space="preserve">some </w:t>
      </w:r>
      <w:r w:rsidR="0053188B" w:rsidRPr="0053188B">
        <w:rPr>
          <w:highlight w:val="yellow"/>
        </w:rPr>
        <w:t xml:space="preserve">material maybe available </w:t>
      </w:r>
      <w:r w:rsidR="00D07A82" w:rsidRPr="0053188B">
        <w:rPr>
          <w:highlight w:val="yellow"/>
        </w:rPr>
        <w:t xml:space="preserve">from </w:t>
      </w:r>
      <w:r w:rsidR="0053188B" w:rsidRPr="0053188B">
        <w:rPr>
          <w:highlight w:val="yellow"/>
        </w:rPr>
        <w:t>“Harbour Approach Channels Design Guidelines” (PIANC)</w:t>
      </w:r>
      <w:r w:rsidR="00681C16" w:rsidRPr="0053188B">
        <w:rPr>
          <w:highlight w:val="yellow"/>
        </w:rPr>
        <w:t>.</w:t>
      </w:r>
      <w:r w:rsidR="00B4404E">
        <w:t>]</w:t>
      </w:r>
    </w:p>
    <w:p w14:paraId="23F44719" w14:textId="77777777" w:rsidR="006711F5" w:rsidRPr="006711F5" w:rsidRDefault="006711F5" w:rsidP="006711F5">
      <w:pPr>
        <w:pStyle w:val="BodyText"/>
        <w:ind w:left="567"/>
        <w:rPr>
          <w:highlight w:val="yellow"/>
        </w:rPr>
      </w:pPr>
      <w:r w:rsidRPr="006711F5">
        <w:rPr>
          <w:highlight w:val="yellow"/>
        </w:rPr>
        <w:t>[Objectives from task register:</w:t>
      </w:r>
    </w:p>
    <w:p w14:paraId="5C324EE7" w14:textId="32439BB6" w:rsidR="009874E2" w:rsidRPr="006711F5" w:rsidRDefault="009874E2" w:rsidP="009874E2">
      <w:pPr>
        <w:pStyle w:val="Bullet1"/>
        <w:rPr>
          <w:highlight w:val="yellow"/>
        </w:rPr>
      </w:pPr>
      <w:r w:rsidRPr="006711F5">
        <w:rPr>
          <w:highlight w:val="yellow"/>
        </w:rPr>
        <w:t xml:space="preserve">Identify options to share information on the fairway infrastructure and services in a digital format with users </w:t>
      </w:r>
    </w:p>
    <w:p w14:paraId="0E0A68BB" w14:textId="6DBF17BA" w:rsidR="00281877" w:rsidRPr="006711F5" w:rsidRDefault="009874E2" w:rsidP="009874E2">
      <w:pPr>
        <w:pStyle w:val="Bullet1"/>
        <w:rPr>
          <w:highlight w:val="yellow"/>
        </w:rPr>
      </w:pPr>
      <w:r w:rsidRPr="006711F5">
        <w:rPr>
          <w:highlight w:val="yellow"/>
        </w:rPr>
        <w:t>Link with, for example, IMT-2030 and beyond for data exchange, AI/ML, S100,</w:t>
      </w:r>
      <w:r w:rsidR="006711F5">
        <w:rPr>
          <w:highlight w:val="yellow"/>
        </w:rPr>
        <w:t>]</w:t>
      </w:r>
    </w:p>
    <w:p w14:paraId="08A348CB" w14:textId="77777777" w:rsidR="006711F5" w:rsidRDefault="006711F5" w:rsidP="006711F5">
      <w:pPr>
        <w:pStyle w:val="BodyText"/>
      </w:pPr>
    </w:p>
    <w:p w14:paraId="733E6D8B" w14:textId="77777777" w:rsidR="00854BCE" w:rsidRPr="00F55AD7" w:rsidRDefault="00646AFD" w:rsidP="00CB1D11">
      <w:pPr>
        <w:pStyle w:val="Heading1"/>
        <w:suppressAutoHyphens/>
        <w:rPr>
          <w:caps w:val="0"/>
        </w:rPr>
      </w:pPr>
      <w:bookmarkStart w:id="7" w:name="_Toc158816320"/>
      <w:r w:rsidRPr="00F55AD7">
        <w:rPr>
          <w:caps w:val="0"/>
        </w:rPr>
        <w:t>DEFINITIONS</w:t>
      </w:r>
      <w:bookmarkEnd w:id="7"/>
    </w:p>
    <w:p w14:paraId="3CFD6FF2" w14:textId="77777777" w:rsidR="00646AFD" w:rsidRPr="00F55AD7" w:rsidRDefault="00646AFD" w:rsidP="00CB1D11">
      <w:pPr>
        <w:pStyle w:val="Heading1separationline"/>
        <w:suppressAutoHyphens/>
      </w:pPr>
    </w:p>
    <w:p w14:paraId="61BC79E5" w14:textId="77777777" w:rsidR="00933EE0" w:rsidRDefault="00C843AC" w:rsidP="00CB1D11">
      <w:pPr>
        <w:pStyle w:val="BodyText"/>
        <w:suppressAutoHyphens/>
      </w:pPr>
      <w:bookmarkStart w:id="8"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sidR="002C605E">
        <w:rPr>
          <w:rStyle w:val="BodyTextChar"/>
        </w:rPr>
        <w:t>d</w:t>
      </w:r>
      <w:r w:rsidRPr="00C843AC">
        <w:rPr>
          <w:rStyle w:val="BodyTextChar"/>
        </w:rPr>
        <w:t xml:space="preserve">ictionary) at </w:t>
      </w:r>
      <w:hyperlink r:id="rId26"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 Where conflict arises, the IALA Dictionary should be considered as</w:t>
      </w:r>
      <w:r w:rsidRPr="00C843AC">
        <w:t xml:space="preserve"> the authoritative source of definitions used in IALA documents.</w:t>
      </w:r>
    </w:p>
    <w:p w14:paraId="169D1E03" w14:textId="77777777" w:rsidR="00AD12E6" w:rsidRDefault="00AD12E6" w:rsidP="00CB1D11">
      <w:pPr>
        <w:pStyle w:val="Heading1"/>
        <w:keepLines w:val="0"/>
        <w:suppressAutoHyphens/>
      </w:pPr>
      <w:bookmarkStart w:id="9" w:name="_Toc158816321"/>
      <w:bookmarkStart w:id="10" w:name="_Hlk59202516"/>
      <w:bookmarkEnd w:id="8"/>
      <w:r>
        <w:t>abbreviations</w:t>
      </w:r>
      <w:bookmarkEnd w:id="9"/>
    </w:p>
    <w:p w14:paraId="24950812" w14:textId="77777777" w:rsidR="00AD12E6" w:rsidRDefault="00AD12E6" w:rsidP="00CB1D11">
      <w:pPr>
        <w:pStyle w:val="Heading1separationline"/>
        <w:keepNext/>
        <w:suppressAutoHyphens/>
      </w:pPr>
    </w:p>
    <w:p w14:paraId="5AFF6DF0" w14:textId="531EF50B" w:rsidR="001D11AC" w:rsidRPr="001D11AC" w:rsidRDefault="001E4941" w:rsidP="009A1D1D">
      <w:pPr>
        <w:pStyle w:val="Abbreviations"/>
        <w:keepNext/>
        <w:suppressAutoHyphens/>
      </w:pPr>
      <w:r w:rsidRPr="00681C16">
        <w:rPr>
          <w:highlight w:val="yellow"/>
        </w:rPr>
        <w:t>TB</w:t>
      </w:r>
      <w:r w:rsidR="009A1D1D" w:rsidRPr="00681C16">
        <w:rPr>
          <w:highlight w:val="yellow"/>
        </w:rPr>
        <w:t>A</w:t>
      </w:r>
      <w:r w:rsidR="001D11AC" w:rsidRPr="00681C16">
        <w:rPr>
          <w:highlight w:val="yellow"/>
        </w:rPr>
        <w:tab/>
      </w:r>
      <w:r w:rsidRPr="00681C16">
        <w:rPr>
          <w:highlight w:val="yellow"/>
        </w:rPr>
        <w:t xml:space="preserve">To Be </w:t>
      </w:r>
      <w:r w:rsidR="009A1D1D" w:rsidRPr="00681C16">
        <w:rPr>
          <w:highlight w:val="yellow"/>
        </w:rPr>
        <w:t>Added</w:t>
      </w:r>
    </w:p>
    <w:p w14:paraId="142964DC" w14:textId="77777777" w:rsidR="00224DAB" w:rsidRPr="00224DAB" w:rsidRDefault="00200579" w:rsidP="00CB1D11">
      <w:pPr>
        <w:pStyle w:val="Heading1"/>
        <w:suppressAutoHyphens/>
      </w:pPr>
      <w:bookmarkStart w:id="11" w:name="_Toc158816322"/>
      <w:bookmarkEnd w:id="10"/>
      <w:r>
        <w:t>references</w:t>
      </w:r>
      <w:bookmarkEnd w:id="11"/>
    </w:p>
    <w:p w14:paraId="130F0924" w14:textId="77777777" w:rsidR="00200579" w:rsidRDefault="00200579" w:rsidP="00CB1D11">
      <w:pPr>
        <w:pStyle w:val="Heading1separationline"/>
        <w:suppressAutoHyphens/>
      </w:pPr>
    </w:p>
    <w:p w14:paraId="31F16AC7" w14:textId="1170C46B" w:rsidR="00CF10E3" w:rsidRPr="0086283D" w:rsidRDefault="00681C16" w:rsidP="00CB1D11">
      <w:pPr>
        <w:pStyle w:val="Reference"/>
        <w:suppressAutoHyphens/>
        <w:rPr>
          <w:highlight w:val="yellow"/>
        </w:rPr>
      </w:pPr>
      <w:bookmarkStart w:id="12" w:name="_Hlk58941431"/>
      <w:bookmarkStart w:id="13" w:name="_Hlk58941398"/>
      <w:bookmarkStart w:id="14" w:name="_Hlk59209161"/>
      <w:r>
        <w:rPr>
          <w:highlight w:val="yellow"/>
        </w:rPr>
        <w:t>TBD</w:t>
      </w:r>
    </w:p>
    <w:p w14:paraId="60DB1078" w14:textId="77777777" w:rsidR="0004255E" w:rsidRDefault="0004255E" w:rsidP="00CB1D11">
      <w:pPr>
        <w:pStyle w:val="Heading1"/>
        <w:suppressAutoHyphens/>
      </w:pPr>
      <w:bookmarkStart w:id="15" w:name="_Toc158816323"/>
      <w:bookmarkEnd w:id="12"/>
      <w:bookmarkEnd w:id="13"/>
      <w:bookmarkEnd w:id="14"/>
      <w:r>
        <w:lastRenderedPageBreak/>
        <w:t>Further reading</w:t>
      </w:r>
      <w:bookmarkEnd w:id="15"/>
    </w:p>
    <w:p w14:paraId="4F13BA56" w14:textId="77777777" w:rsidR="0004255E" w:rsidRDefault="0004255E" w:rsidP="00CB1D11">
      <w:pPr>
        <w:pStyle w:val="Heading1separationline"/>
        <w:suppressAutoHyphens/>
      </w:pPr>
    </w:p>
    <w:p w14:paraId="34F2CB86" w14:textId="01B62D0C" w:rsidR="0022582A" w:rsidRPr="0086283D" w:rsidRDefault="00681C16" w:rsidP="00CB1D11">
      <w:pPr>
        <w:pStyle w:val="Furtherreading"/>
        <w:suppressAutoHyphens/>
        <w:rPr>
          <w:highlight w:val="yellow"/>
        </w:rPr>
      </w:pPr>
      <w:bookmarkStart w:id="16" w:name="_Hlk59209242"/>
      <w:bookmarkStart w:id="17" w:name="_Hlk58941649"/>
      <w:r>
        <w:rPr>
          <w:highlight w:val="yellow"/>
        </w:rPr>
        <w:t>TBD</w:t>
      </w:r>
    </w:p>
    <w:p w14:paraId="1D98BF45" w14:textId="77777777" w:rsidR="00001616" w:rsidRDefault="00001616" w:rsidP="00CB1D11">
      <w:pPr>
        <w:suppressAutoHyphens/>
        <w:spacing w:after="200" w:line="276" w:lineRule="auto"/>
        <w:rPr>
          <w:sz w:val="22"/>
        </w:rPr>
      </w:pPr>
      <w:r>
        <w:br w:type="page"/>
      </w:r>
    </w:p>
    <w:p w14:paraId="07EE8BAB" w14:textId="77777777" w:rsidR="00001616" w:rsidRDefault="00001616" w:rsidP="00CB1D11">
      <w:pPr>
        <w:pStyle w:val="Heading1"/>
        <w:suppressAutoHyphens/>
      </w:pPr>
      <w:bookmarkStart w:id="18" w:name="_Toc158816324"/>
      <w:r>
        <w:lastRenderedPageBreak/>
        <w:t>Index</w:t>
      </w:r>
      <w:bookmarkEnd w:id="18"/>
    </w:p>
    <w:p w14:paraId="6570CB2D" w14:textId="77777777" w:rsidR="00E5035D" w:rsidRDefault="00326BB4" w:rsidP="00CB1D11">
      <w:pPr>
        <w:pStyle w:val="BodyText"/>
        <w:suppressAutoHyphens/>
      </w:pPr>
      <w:r>
        <w:fldChar w:fldCharType="begin"/>
      </w:r>
      <w:r>
        <w:instrText xml:space="preserve"> INDEX \c "2" \z "2057" </w:instrText>
      </w:r>
      <w:r>
        <w:fldChar w:fldCharType="separate"/>
      </w:r>
      <w:r>
        <w:rPr>
          <w:b/>
          <w:bCs/>
          <w:noProof/>
          <w:lang w:val="en-US"/>
        </w:rPr>
        <w:t>No index entries found.</w:t>
      </w:r>
      <w:r>
        <w:fldChar w:fldCharType="end"/>
      </w:r>
    </w:p>
    <w:bookmarkEnd w:id="16"/>
    <w:bookmarkEnd w:id="17"/>
    <w:p w14:paraId="332F760F" w14:textId="77777777" w:rsidR="00456DE1" w:rsidRDefault="00456DE1" w:rsidP="00CB1D11">
      <w:pPr>
        <w:pStyle w:val="BodyText"/>
        <w:suppressAutoHyphens/>
      </w:pPr>
    </w:p>
    <w:p w14:paraId="3ED0E8D4" w14:textId="77777777" w:rsidR="00E877DC" w:rsidRDefault="00E877DC" w:rsidP="00CB1D11">
      <w:pPr>
        <w:pStyle w:val="Equation"/>
        <w:suppressAutoHyphens/>
        <w:rPr>
          <w:rFonts w:eastAsia="Calibri" w:cs="Calibri"/>
          <w:color w:val="407EC9"/>
          <w:sz w:val="28"/>
          <w:szCs w:val="28"/>
        </w:rPr>
      </w:pPr>
      <w:r>
        <w:br w:type="page"/>
      </w:r>
    </w:p>
    <w:p w14:paraId="6F80DC83" w14:textId="77777777" w:rsidR="00E877DC" w:rsidRDefault="00E877DC" w:rsidP="00D656A2">
      <w:pPr>
        <w:pStyle w:val="Appendix"/>
      </w:pPr>
      <w:r w:rsidRPr="00586C66">
        <w:lastRenderedPageBreak/>
        <w:t>Example</w:t>
      </w:r>
      <w:r>
        <w:t xml:space="preserve"> of appendix Title </w:t>
      </w:r>
      <w:r w:rsidR="00F91B03">
        <w:t>(</w:t>
      </w:r>
      <w:r w:rsidR="0009165E">
        <w:t>Head 1</w:t>
      </w:r>
      <w:r w:rsidR="00F91B03">
        <w:t>)</w:t>
      </w:r>
      <w:r w:rsidR="0009165E">
        <w:t xml:space="preserve"> </w:t>
      </w:r>
      <w:r>
        <w:t>style</w:t>
      </w:r>
    </w:p>
    <w:p w14:paraId="3D988314" w14:textId="77777777" w:rsidR="00666380" w:rsidRDefault="00E877DC" w:rsidP="00CB1D11">
      <w:pPr>
        <w:pStyle w:val="BodyText"/>
        <w:suppressAutoHyphens/>
        <w:rPr>
          <w:b/>
          <w:bCs/>
        </w:rPr>
      </w:pPr>
      <w:bookmarkStart w:id="19" w:name="_Hlk60401020"/>
      <w:r>
        <w:t xml:space="preserve">Appendices should be started on a separate page and contain information that </w:t>
      </w:r>
      <w:r w:rsidRPr="00E877DC">
        <w:t>is directly relevant to the main body of the text at a certain point, but that would be too large or distracting to include at that particular point</w:t>
      </w:r>
      <w:r>
        <w:t xml:space="preserve">. There are four levels of appendix heading styles available in the </w:t>
      </w:r>
      <w:r w:rsidRPr="00E877DC">
        <w:rPr>
          <w:b/>
          <w:bCs/>
        </w:rPr>
        <w:t>Style Gallery</w:t>
      </w:r>
      <w:r>
        <w:rPr>
          <w:b/>
          <w:bCs/>
        </w:rPr>
        <w:t>.</w:t>
      </w:r>
      <w:r w:rsidR="00E76B2C">
        <w:rPr>
          <w:b/>
          <w:bCs/>
        </w:rPr>
        <w:t xml:space="preserve"> </w:t>
      </w:r>
      <w:bookmarkEnd w:id="19"/>
    </w:p>
    <w:p w14:paraId="1EE968EA" w14:textId="77777777" w:rsidR="00E877DC" w:rsidRDefault="00E877DC" w:rsidP="00D656A2">
      <w:pPr>
        <w:pStyle w:val="AppendixHead1"/>
      </w:pPr>
      <w:r>
        <w:t xml:space="preserve">Example of Appendix </w:t>
      </w:r>
      <w:r w:rsidRPr="00586C66">
        <w:t>Head</w:t>
      </w:r>
      <w:r>
        <w:t xml:space="preserve"> </w:t>
      </w:r>
      <w:r w:rsidR="00666380">
        <w:t>1</w:t>
      </w:r>
      <w:r>
        <w:t xml:space="preserve"> style</w:t>
      </w:r>
    </w:p>
    <w:p w14:paraId="7B6A99E4" w14:textId="77777777" w:rsidR="00666380" w:rsidRPr="00666380" w:rsidRDefault="00666380" w:rsidP="00666380">
      <w:pPr>
        <w:pStyle w:val="Heading1separationline"/>
        <w:rPr>
          <w:lang w:eastAsia="en-GB"/>
        </w:rPr>
      </w:pPr>
    </w:p>
    <w:p w14:paraId="439ECB92" w14:textId="77777777" w:rsidR="00666380" w:rsidRDefault="00666380" w:rsidP="00666380">
      <w:pPr>
        <w:pStyle w:val="AppendixHead2"/>
      </w:pPr>
      <w:bookmarkStart w:id="20" w:name="_Hlk60401219"/>
      <w:r>
        <w:t>Example of Appendix Head 2 Style</w:t>
      </w:r>
    </w:p>
    <w:p w14:paraId="3DF470BD" w14:textId="77777777" w:rsidR="00666380" w:rsidRPr="00666380" w:rsidRDefault="00666380" w:rsidP="00666380">
      <w:pPr>
        <w:pStyle w:val="Heading2separationline"/>
        <w:rPr>
          <w:lang w:eastAsia="en-GB"/>
        </w:rPr>
      </w:pPr>
    </w:p>
    <w:p w14:paraId="6595CE30" w14:textId="77777777" w:rsidR="00E877DC" w:rsidRPr="00E877DC" w:rsidRDefault="00FD25C7" w:rsidP="00CB1D11">
      <w:pPr>
        <w:pStyle w:val="BodyText"/>
        <w:suppressAutoHyphens/>
        <w:rPr>
          <w:lang w:eastAsia="en-GB"/>
        </w:rPr>
      </w:pPr>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return again, and the following line will be in </w:t>
      </w:r>
      <w:r w:rsidR="00E877DC" w:rsidRPr="00E877DC">
        <w:rPr>
          <w:b/>
          <w:bCs/>
          <w:lang w:eastAsia="en-GB"/>
        </w:rPr>
        <w:t>Body text</w:t>
      </w:r>
      <w:r w:rsidR="00E877DC" w:rsidRPr="00E877DC">
        <w:rPr>
          <w:lang w:eastAsia="en-GB"/>
        </w:rPr>
        <w:t xml:space="preserve"> style.</w:t>
      </w:r>
    </w:p>
    <w:bookmarkEnd w:id="20"/>
    <w:p w14:paraId="3F13E4E0" w14:textId="77777777" w:rsidR="00E877DC" w:rsidRDefault="00E877DC" w:rsidP="00A43432">
      <w:pPr>
        <w:pStyle w:val="AppendixHead3"/>
      </w:pPr>
      <w:r>
        <w:t xml:space="preserve">Example of Appendix head </w:t>
      </w:r>
      <w:r w:rsidR="0009165E">
        <w:t>3</w:t>
      </w:r>
      <w:r>
        <w:t xml:space="preserve"> style</w:t>
      </w:r>
    </w:p>
    <w:p w14:paraId="79402C41" w14:textId="77777777" w:rsidR="00E877DC" w:rsidRDefault="00E877DC" w:rsidP="00CB1D11">
      <w:pPr>
        <w:pStyle w:val="Heading2separationline"/>
        <w:suppressAutoHyphens/>
        <w:rPr>
          <w:lang w:eastAsia="en-GB"/>
        </w:rPr>
      </w:pPr>
    </w:p>
    <w:p w14:paraId="2DEEB360" w14:textId="77777777" w:rsidR="0004255E" w:rsidRDefault="00E877DC" w:rsidP="00CB1D11">
      <w:pPr>
        <w:pStyle w:val="BodyText"/>
        <w:suppressAutoHyphens/>
      </w:pPr>
      <w:bookmarkStart w:id="21" w:name="_Hlk60401247"/>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return again, and you will be back to body text.</w:t>
      </w:r>
    </w:p>
    <w:bookmarkEnd w:id="21"/>
    <w:p w14:paraId="396423CC" w14:textId="77777777" w:rsidR="00E877DC" w:rsidRDefault="00E877DC" w:rsidP="00CB1D11">
      <w:pPr>
        <w:pStyle w:val="AppendixHead4"/>
        <w:suppressAutoHyphens/>
      </w:pPr>
      <w:r>
        <w:t xml:space="preserve">Example of Appendix Head </w:t>
      </w:r>
      <w:r w:rsidR="0009165E">
        <w:t>4</w:t>
      </w:r>
      <w:r>
        <w:t xml:space="preserve"> style</w:t>
      </w:r>
    </w:p>
    <w:p w14:paraId="51BE0C3F" w14:textId="77777777" w:rsidR="002115A6" w:rsidRDefault="00E877DC" w:rsidP="00CB1D11">
      <w:pPr>
        <w:pStyle w:val="BodyText"/>
        <w:suppressAutoHyphens/>
      </w:pPr>
      <w:bookmarkStart w:id="22" w:name="_Hlk60401279"/>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r w:rsidR="002176C4">
        <w:rPr>
          <w:lang w:eastAsia="en-GB"/>
        </w:rPr>
        <w:t xml:space="preserve"> </w:t>
      </w:r>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p>
    <w:p w14:paraId="02E89D24" w14:textId="77777777" w:rsidR="000C2133" w:rsidRDefault="000C2133" w:rsidP="00D656A2">
      <w:pPr>
        <w:pStyle w:val="AppendixHead4"/>
      </w:pPr>
      <w:r>
        <w:t>Example of Appendix Head 5 style</w:t>
      </w:r>
    </w:p>
    <w:p w14:paraId="30E10FCC" w14:textId="77777777" w:rsidR="000C2133" w:rsidRDefault="000C2133" w:rsidP="00CB1D11">
      <w:pPr>
        <w:pStyle w:val="BodyText"/>
        <w:suppressAutoHyphens/>
        <w:rPr>
          <w:lang w:eastAsia="en-GB"/>
        </w:rPr>
      </w:pPr>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p>
    <w:bookmarkEnd w:id="22"/>
    <w:p w14:paraId="4527D4E9" w14:textId="77777777" w:rsidR="00E5035D" w:rsidRDefault="00E76B2C" w:rsidP="00CB1D11">
      <w:pPr>
        <w:pStyle w:val="Annex"/>
        <w:suppressAutoHyphens/>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241FCA49" w14:textId="77777777" w:rsidR="00E76B2C" w:rsidRDefault="00E76B2C" w:rsidP="00CB1D11">
      <w:pPr>
        <w:pStyle w:val="BodyText"/>
        <w:suppressAutoHyphens/>
        <w:rPr>
          <w:lang w:eastAsia="en-GB"/>
        </w:rPr>
      </w:pPr>
      <w:r>
        <w:rPr>
          <w:lang w:eastAsia="en-GB"/>
        </w:rPr>
        <w:t>Annexes should include information that can exist in isolation e.g.</w:t>
      </w:r>
    </w:p>
    <w:p w14:paraId="72A00B9D" w14:textId="77777777" w:rsidR="00E76B2C" w:rsidRDefault="00E76B2C" w:rsidP="00CB1D11">
      <w:pPr>
        <w:pStyle w:val="Bullet1"/>
        <w:suppressAutoHyphens/>
        <w:rPr>
          <w:lang w:eastAsia="en-GB"/>
        </w:rPr>
      </w:pPr>
      <w:r>
        <w:rPr>
          <w:lang w:eastAsia="en-GB"/>
        </w:rPr>
        <w:t>a technical specification for a new piece of equipment;</w:t>
      </w:r>
    </w:p>
    <w:p w14:paraId="00EA6F9D" w14:textId="77777777" w:rsidR="00E76B2C" w:rsidRDefault="00E76B2C" w:rsidP="00CB1D11">
      <w:pPr>
        <w:pStyle w:val="Bullet1"/>
        <w:suppressAutoHyphens/>
        <w:rPr>
          <w:lang w:eastAsia="en-GB"/>
        </w:rPr>
      </w:pPr>
      <w:r>
        <w:rPr>
          <w:lang w:eastAsia="en-GB"/>
        </w:rPr>
        <w:t>the content and structure of a new training module; or</w:t>
      </w:r>
    </w:p>
    <w:p w14:paraId="3CC88AF7" w14:textId="77777777" w:rsidR="00E76B2C" w:rsidRDefault="00E76B2C" w:rsidP="00CB1D11">
      <w:pPr>
        <w:pStyle w:val="Bullet1"/>
        <w:suppressAutoHyphens/>
        <w:rPr>
          <w:lang w:eastAsia="en-GB"/>
        </w:rPr>
      </w:pPr>
      <w:r>
        <w:rPr>
          <w:lang w:eastAsia="en-GB"/>
        </w:rPr>
        <w:t>the detail associated with a new recommendation for an AIS.</w:t>
      </w:r>
    </w:p>
    <w:p w14:paraId="7487F0A8" w14:textId="77777777" w:rsidR="00E76B2C" w:rsidRPr="008069C5" w:rsidRDefault="00E76B2C" w:rsidP="00CB1D11">
      <w:pPr>
        <w:pStyle w:val="BodyText"/>
        <w:suppressAutoHyphens/>
        <w:rPr>
          <w:lang w:eastAsia="en-GB"/>
        </w:rPr>
      </w:pPr>
      <w:r>
        <w:rPr>
          <w:lang w:eastAsia="en-GB"/>
        </w:rPr>
        <w:t xml:space="preserve">Annexes can include appendices if required. </w:t>
      </w:r>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r>
        <w:rPr>
          <w:b/>
          <w:bCs/>
        </w:rPr>
        <w:t xml:space="preserve"> </w:t>
      </w:r>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r w:rsidR="0009165E">
        <w:rPr>
          <w:b/>
          <w:bCs/>
        </w:rPr>
        <w:t>3</w:t>
      </w:r>
      <w:r>
        <w:t xml:space="preserve"> and </w:t>
      </w:r>
      <w:r w:rsidRPr="00E76B2C">
        <w:rPr>
          <w:b/>
          <w:bCs/>
        </w:rPr>
        <w:t xml:space="preserve">Annexe Head </w:t>
      </w:r>
      <w:r w:rsidR="0009165E">
        <w:rPr>
          <w:b/>
          <w:bCs/>
        </w:rPr>
        <w:t>4</w:t>
      </w:r>
      <w:r>
        <w:t>. These follow a similar format to the appendix heading styles.</w:t>
      </w:r>
      <w:r w:rsidR="002176C4">
        <w:t xml:space="preserve"> </w:t>
      </w:r>
      <w:r>
        <w:rPr>
          <w:lang w:eastAsia="en-GB"/>
        </w:rPr>
        <w:t>As many annexes can be included as needed and it is advisable to separate them with a page break.</w:t>
      </w:r>
      <w:r w:rsidR="002115A6">
        <w:rPr>
          <w:lang w:eastAsia="en-GB"/>
        </w:rPr>
        <w:t xml:space="preserve"> </w:t>
      </w:r>
      <w:r w:rsidR="002115A6">
        <w:t xml:space="preserve">Only the level 1 </w:t>
      </w:r>
      <w:r w:rsidR="002115A6" w:rsidRPr="002115A6">
        <w:rPr>
          <w:b/>
          <w:bCs/>
        </w:rPr>
        <w:t>Annex title</w:t>
      </w:r>
      <w:r w:rsidR="002115A6">
        <w:t xml:space="preserve"> style text will appear in the TOC.</w:t>
      </w:r>
    </w:p>
    <w:p w14:paraId="1E285AEA" w14:textId="77777777" w:rsidR="00B453D3" w:rsidRDefault="00983287" w:rsidP="00CB1D11">
      <w:pPr>
        <w:pStyle w:val="AnnexHead2"/>
        <w:suppressAutoHyphens/>
      </w:pPr>
      <w:r>
        <w:t>Example of Annex Head 2 style</w:t>
      </w:r>
    </w:p>
    <w:p w14:paraId="0D347C7B" w14:textId="77777777" w:rsidR="00983287" w:rsidRDefault="00983287" w:rsidP="00CB1D11">
      <w:pPr>
        <w:pStyle w:val="Heading1separationline"/>
        <w:suppressAutoHyphens/>
        <w:rPr>
          <w:lang w:eastAsia="en-GB"/>
        </w:rPr>
      </w:pPr>
    </w:p>
    <w:p w14:paraId="31983A60" w14:textId="77777777" w:rsidR="00983287" w:rsidRDefault="00983287" w:rsidP="00CB1D11">
      <w:pPr>
        <w:pStyle w:val="AnnexHead3"/>
        <w:suppressAutoHyphens/>
      </w:pPr>
      <w:r>
        <w:t xml:space="preserve">Example of Annex </w:t>
      </w:r>
      <w:r w:rsidRPr="00E5035D">
        <w:t>Head</w:t>
      </w:r>
      <w:r>
        <w:t xml:space="preserve"> 3 style</w:t>
      </w:r>
    </w:p>
    <w:p w14:paraId="3804377D" w14:textId="77777777" w:rsidR="00983287" w:rsidRDefault="00983287" w:rsidP="00CB1D11">
      <w:pPr>
        <w:pStyle w:val="Heading2separationline"/>
        <w:suppressAutoHyphens/>
        <w:rPr>
          <w:lang w:eastAsia="en-GB"/>
        </w:rPr>
      </w:pPr>
    </w:p>
    <w:p w14:paraId="14D17C3F" w14:textId="77777777" w:rsidR="00983287" w:rsidRDefault="00983287" w:rsidP="00CB1D11">
      <w:pPr>
        <w:pStyle w:val="AnnexHead4"/>
        <w:suppressAutoHyphens/>
      </w:pPr>
      <w:r>
        <w:t>Example of Annex Head 4 style</w:t>
      </w:r>
    </w:p>
    <w:p w14:paraId="43983B74" w14:textId="77777777" w:rsidR="00D80A15" w:rsidRPr="00D80A15" w:rsidRDefault="000C2857" w:rsidP="00CB1D11">
      <w:pPr>
        <w:pStyle w:val="BodyText"/>
        <w:suppressAutoHyphens/>
        <w:rPr>
          <w:lang w:eastAsia="en-GB"/>
        </w:rPr>
      </w:pPr>
      <w:bookmarkStart w:id="23" w:name="_Hlk60407741"/>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r w:rsidR="00FB5308">
        <w:rPr>
          <w:lang w:eastAsia="en-GB"/>
        </w:rPr>
        <w:t>. 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p>
    <w:bookmarkEnd w:id="23"/>
    <w:p w14:paraId="422D9E51" w14:textId="77777777" w:rsidR="00983287" w:rsidRDefault="000C2857" w:rsidP="00CB1D11">
      <w:pPr>
        <w:pStyle w:val="AnnexFigureCaption"/>
        <w:suppressAutoHyphens/>
      </w:pPr>
      <w:r>
        <w:t>Example of annex figure caption</w:t>
      </w:r>
    </w:p>
    <w:p w14:paraId="6B1F66B6" w14:textId="77777777" w:rsidR="00DF47E2" w:rsidRPr="00DF47E2" w:rsidRDefault="00E5035D" w:rsidP="00CB1D11">
      <w:pPr>
        <w:pStyle w:val="AnnexHead5"/>
        <w:suppressAutoHyphens/>
      </w:pPr>
      <w:r>
        <w:t>Example of Annex Head 5 style</w:t>
      </w:r>
    </w:p>
    <w:sectPr w:rsidR="00DF47E2" w:rsidRPr="00DF47E2" w:rsidSect="00CB1D11">
      <w:headerReference w:type="even" r:id="rId27"/>
      <w:headerReference w:type="default" r:id="rId28"/>
      <w:footerReference w:type="even" r:id="rId29"/>
      <w:headerReference w:type="first" r:id="rId30"/>
      <w:footerReference w:type="first" r:id="rId31"/>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5F5F9" w14:textId="77777777" w:rsidR="00C257BB" w:rsidRDefault="00C257BB" w:rsidP="003274DB">
      <w:r>
        <w:separator/>
      </w:r>
    </w:p>
    <w:p w14:paraId="672A2573" w14:textId="77777777" w:rsidR="00C257BB" w:rsidRDefault="00C257BB"/>
  </w:endnote>
  <w:endnote w:type="continuationSeparator" w:id="0">
    <w:p w14:paraId="28276413" w14:textId="77777777" w:rsidR="00C257BB" w:rsidRDefault="00C257BB" w:rsidP="003274DB">
      <w:r>
        <w:continuationSeparator/>
      </w:r>
    </w:p>
    <w:p w14:paraId="0A370446" w14:textId="77777777" w:rsidR="00C257BB" w:rsidRDefault="00C257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w14:anchorId="29B292CE">
            <v:line id="Connecteur droit 11"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58c [3204]" strokeweight="1pt" from="17.75pt,717.05pt" to="579pt,717.05pt" w14:anchorId="0F6F3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568E60B4">
            <v:line id="Connecteur droit 11"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58c [3204]" strokeweight="1pt" from="22.2pt,782.85pt" to="583.45pt,782.85pt" w14:anchorId="4B7C0D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w10:wrap anchorx="page" anchory="page"/>
            </v:line>
          </w:pict>
        </mc:Fallback>
      </mc:AlternateContent>
    </w:r>
  </w:p>
  <w:p w14:paraId="2A26AB96" w14:textId="77777777"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460D62" w:rsidRPr="00553815" w:rsidRDefault="00460D62" w:rsidP="00827301">
    <w:pPr>
      <w:pStyle w:val="Footerportrait"/>
    </w:pPr>
  </w:p>
  <w:p w14:paraId="1CBE1034" w14:textId="788395A8" w:rsidR="00326BB4" w:rsidRPr="000D1024" w:rsidRDefault="00EC7D9F" w:rsidP="00827301">
    <w:pPr>
      <w:pStyle w:val="Footerportrait"/>
      <w:rPr>
        <w:rStyle w:val="PageNumber"/>
        <w:szCs w:val="15"/>
      </w:rPr>
    </w:pPr>
    <w:r>
      <w:fldChar w:fldCharType="begin"/>
    </w:r>
    <w:r>
      <w:instrText>STYLEREF  "Document type"  \* MERGEFORMAT</w:instrText>
    </w:r>
    <w:r>
      <w:fldChar w:fldCharType="separate"/>
    </w:r>
    <w:r>
      <w:t>IALA Guideline</w:t>
    </w:r>
    <w:r>
      <w:fldChar w:fldCharType="end"/>
    </w:r>
    <w:r w:rsidR="00326BB4" w:rsidRPr="000D1024">
      <w:t xml:space="preserve"> </w:t>
    </w:r>
    <w:r>
      <w:fldChar w:fldCharType="begin"/>
    </w:r>
    <w:r>
      <w:instrText>STYLEREF "Document number" \* MERGEFORMAT</w:instrText>
    </w:r>
    <w:r>
      <w:fldChar w:fldCharType="separate"/>
    </w:r>
    <w:r>
      <w:t>Gnnnn</w:t>
    </w:r>
    <w:r>
      <w:fldChar w:fldCharType="end"/>
    </w:r>
    <w:r w:rsidR="00326BB4" w:rsidRPr="000D1024">
      <w:t xml:space="preserve"> </w:t>
    </w:r>
    <w:r>
      <w:fldChar w:fldCharType="begin"/>
    </w:r>
    <w:r>
      <w:instrText xml:space="preserve">STYLEREF "Document name" \* </w:instrText>
    </w:r>
    <w:r>
      <w:instrText>MERGEFORMAT</w:instrText>
    </w:r>
    <w:r>
      <w:fldChar w:fldCharType="separate"/>
    </w:r>
    <w:r>
      <w:t>Guideline on Digitalization of Waterways</w:t>
    </w:r>
    <w:r>
      <w:fldChar w:fldCharType="end"/>
    </w:r>
  </w:p>
  <w:p w14:paraId="42805CD4" w14:textId="6D456427" w:rsidR="00326BB4" w:rsidRPr="00C907DF" w:rsidRDefault="00EC7D9F" w:rsidP="00827301">
    <w:pPr>
      <w:pStyle w:val="Footerportrait"/>
    </w:pPr>
    <w:r>
      <w:fldChar w:fldCharType="begin"/>
    </w:r>
    <w:r>
      <w:instrText>STYLEREF "Edition number" \* MERGEFORMAT</w:instrText>
    </w:r>
    <w:r>
      <w:fldChar w:fldCharType="separate"/>
    </w:r>
    <w:r>
      <w:t>Edition x.x</w:t>
    </w:r>
    <w:r>
      <w:fldChar w:fldCharType="end"/>
    </w:r>
    <w:r w:rsidR="00326BB4">
      <w:t xml:space="preserve"> </w:t>
    </w:r>
    <w:r>
      <w:fldChar w:fldCharType="begin"/>
    </w:r>
    <w:r>
      <w:instrText>STYLEREF  MRN  \* MERGEFORMAT</w:instrText>
    </w:r>
    <w:r>
      <w:fldChar w:fldCharType="separate"/>
    </w:r>
    <w:r>
      <w:t>urn:mrn:iala:pub:gnnnn</w:t>
    </w:r>
    <w:r>
      <w:fldChar w:fldCharType="end"/>
    </w:r>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460D62" w:rsidRPr="00553815" w:rsidRDefault="00460D62" w:rsidP="00827301">
    <w:pPr>
      <w:pStyle w:val="Footerportrait"/>
    </w:pPr>
  </w:p>
  <w:p w14:paraId="11A77AE7" w14:textId="77777777" w:rsidR="00326BB4" w:rsidRPr="00C907DF" w:rsidRDefault="00EC7D9F" w:rsidP="00827301">
    <w:pPr>
      <w:pStyle w:val="Footerportrait"/>
      <w:rPr>
        <w:rStyle w:val="PageNumber"/>
        <w:szCs w:val="15"/>
      </w:rPr>
    </w:pPr>
    <w:r>
      <w:fldChar w:fldCharType="begin"/>
    </w:r>
    <w:r>
      <w:instrText>STYLEREF "Document type" \* MERGEFORMAT</w:instrText>
    </w:r>
    <w:r>
      <w:fldChar w:fldCharType="separate"/>
    </w:r>
    <w:r w:rsidR="000870E9">
      <w:t>IALA Guideline</w:t>
    </w:r>
    <w:r>
      <w:fldChar w:fldCharType="end"/>
    </w:r>
    <w:r w:rsidR="00326BB4" w:rsidRPr="00C907DF">
      <w:t xml:space="preserve"> </w:t>
    </w:r>
    <w:r>
      <w:fldChar w:fldCharType="begin"/>
    </w:r>
    <w:r>
      <w:instrText>STYLEREF "Document number" \* MERGEFORMAT</w:instrText>
    </w:r>
    <w:r>
      <w:fldChar w:fldCharType="separate"/>
    </w:r>
    <w:r w:rsidR="000870E9" w:rsidRPr="000870E9">
      <w:rPr>
        <w:bCs/>
      </w:rPr>
      <w:t>Gnnnn</w:t>
    </w:r>
    <w:r>
      <w:fldChar w:fldCharType="end"/>
    </w:r>
    <w:r w:rsidR="00326BB4" w:rsidRPr="00C907DF">
      <w:t xml:space="preserve"> </w:t>
    </w:r>
    <w:r>
      <w:fldChar w:fldCharType="begin"/>
    </w:r>
    <w:r>
      <w:instrText>STYLEREF "Document name" \* MERGEFORMAT</w:instrText>
    </w:r>
    <w:r>
      <w:fldChar w:fldCharType="separate"/>
    </w:r>
    <w:r w:rsidR="000870E9" w:rsidRPr="000870E9">
      <w:rPr>
        <w:b w:val="0"/>
        <w:bCs/>
      </w:rPr>
      <w:t>Guideline title</w:t>
    </w:r>
    <w:r>
      <w:fldChar w:fldCharType="end"/>
    </w:r>
  </w:p>
  <w:p w14:paraId="6122B812" w14:textId="77777777" w:rsidR="00326BB4" w:rsidRPr="00525922" w:rsidRDefault="00EC7D9F" w:rsidP="00827301">
    <w:pPr>
      <w:pStyle w:val="Footerportrait"/>
    </w:pPr>
    <w:r>
      <w:fldChar w:fldCharType="begin"/>
    </w:r>
    <w:r>
      <w:instrText>STYLEREF "Edition number" \* MERGEFORMAT</w:instrText>
    </w:r>
    <w:r>
      <w:fldChar w:fldCharType="separate"/>
    </w:r>
    <w:r w:rsidR="000870E9">
      <w:t>Edition x.x</w:t>
    </w:r>
    <w:r>
      <w:fldChar w:fldCharType="end"/>
    </w:r>
    <w:r w:rsidR="00326BB4">
      <w:t xml:space="preserve"> </w:t>
    </w:r>
    <w:r>
      <w:fldChar w:fldCharType="begin"/>
    </w:r>
    <w:r>
      <w:instrText xml:space="preserve">STYLEREF  MRN  \* </w:instrText>
    </w:r>
    <w:r>
      <w:instrText>MERGEFORMAT</w:instrText>
    </w:r>
    <w:r>
      <w:fldChar w:fldCharType="separate"/>
    </w:r>
    <w:r w:rsidR="000870E9">
      <w:t>urn:mrn:iala:pub:gnnnn</w:t>
    </w:r>
    <w:r>
      <w:fldChar w:fldCharType="end"/>
    </w:r>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37F2897B">
            <v:line id="Connecteur droit 11"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58c [3204]" strokeweight="1pt" from="22.2pt,782.85pt" to="583.45pt,782.85pt" w14:anchorId="65413F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w10:wrap anchorx="page" anchory="page"/>
            </v:line>
          </w:pict>
        </mc:Fallback>
      </mc:AlternateContent>
    </w:r>
  </w:p>
  <w:p w14:paraId="3A9464AD" w14:textId="77777777"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3EADF" w14:textId="77777777" w:rsidR="00C257BB" w:rsidRDefault="00C257BB" w:rsidP="003274DB">
      <w:r>
        <w:separator/>
      </w:r>
    </w:p>
    <w:p w14:paraId="08864F8C" w14:textId="77777777" w:rsidR="00C257BB" w:rsidRDefault="00C257BB"/>
  </w:footnote>
  <w:footnote w:type="continuationSeparator" w:id="0">
    <w:p w14:paraId="401F1B5B" w14:textId="77777777" w:rsidR="00C257BB" w:rsidRDefault="00C257BB" w:rsidP="003274DB">
      <w:r>
        <w:continuationSeparator/>
      </w:r>
    </w:p>
    <w:p w14:paraId="04694562" w14:textId="77777777" w:rsidR="00C257BB" w:rsidRDefault="00C257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326BB4" w:rsidRDefault="00EC7D9F">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3E1065" w:rsidRDefault="00EC7D9F">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DF47E2" w:rsidRPr="00667792" w:rsidRDefault="00EC7D9F"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3E1065" w:rsidRDefault="00EC7D9F">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3C5E515A" w:rsidR="00326BB4" w:rsidRDefault="00EC7D9F" w:rsidP="00EC7D9F">
    <w:pPr>
      <w:pStyle w:val="Header"/>
      <w:jc w:val="right"/>
    </w:pPr>
    <w:r>
      <w:rPr>
        <w:rFonts w:ascii="Calibri" w:hAnsi="Calibri"/>
      </w:rPr>
      <w:t>DTEC2-5.2.2.5</w:t>
    </w: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left:0;text-align:left;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rPr>
      <w:t>.1</w:t>
    </w:r>
  </w:p>
  <w:p w14:paraId="5F3DB5BD" w14:textId="77777777" w:rsidR="00326BB4" w:rsidRDefault="00326BB4" w:rsidP="00A87080">
    <w:pPr>
      <w:pStyle w:val="Header"/>
    </w:pPr>
  </w:p>
  <w:p w14:paraId="5D71FE0F" w14:textId="77777777" w:rsidR="00326BB4" w:rsidRDefault="00326BB4" w:rsidP="00A87080">
    <w:pPr>
      <w:pStyle w:val="Header"/>
    </w:pPr>
  </w:p>
  <w:p w14:paraId="792C5C96" w14:textId="77777777" w:rsidR="00326BB4" w:rsidRDefault="00326BB4" w:rsidP="008747E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326BB4" w:rsidRDefault="00EC7D9F">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326BB4" w:rsidRDefault="00EC7D9F">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326BB4" w:rsidRPr="00ED2A8D" w:rsidRDefault="00EC7D9F"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326BB4" w:rsidRDefault="00EC7D9F">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326BB4" w:rsidRDefault="00EC7D9F">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326BB4" w:rsidRPr="00ED2A8D" w:rsidRDefault="00EC7D9F"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326BB4" w:rsidRPr="00ED2A8D" w:rsidRDefault="00EC7D9F"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8EA1A4C"/>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104EFF04"/>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079A1C8E"/>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A9D6151C"/>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8F36A99E"/>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8A25FBE"/>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C4F474AA"/>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F8989D9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49D37EC"/>
    <w:multiLevelType w:val="hybridMultilevel"/>
    <w:tmpl w:val="333CDE8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2"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C3D219C"/>
    <w:multiLevelType w:val="hybridMultilevel"/>
    <w:tmpl w:val="3F7025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82564E3"/>
    <w:multiLevelType w:val="hybridMultilevel"/>
    <w:tmpl w:val="3B0E046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48224272">
    <w:abstractNumId w:val="23"/>
  </w:num>
  <w:num w:numId="2" w16cid:durableId="1364819078">
    <w:abstractNumId w:val="32"/>
  </w:num>
  <w:num w:numId="3" w16cid:durableId="2021275248">
    <w:abstractNumId w:val="11"/>
  </w:num>
  <w:num w:numId="4" w16cid:durableId="1607231723">
    <w:abstractNumId w:val="17"/>
  </w:num>
  <w:num w:numId="5" w16cid:durableId="1010911857">
    <w:abstractNumId w:val="12"/>
  </w:num>
  <w:num w:numId="6" w16cid:durableId="1824540258">
    <w:abstractNumId w:val="16"/>
  </w:num>
  <w:num w:numId="7" w16cid:durableId="239877669">
    <w:abstractNumId w:val="22"/>
  </w:num>
  <w:num w:numId="8" w16cid:durableId="1193494747">
    <w:abstractNumId w:val="10"/>
  </w:num>
  <w:num w:numId="9" w16cid:durableId="1656911844">
    <w:abstractNumId w:val="15"/>
  </w:num>
  <w:num w:numId="10" w16cid:durableId="398401475">
    <w:abstractNumId w:val="7"/>
  </w:num>
  <w:num w:numId="11" w16cid:durableId="686521384">
    <w:abstractNumId w:val="27"/>
  </w:num>
  <w:num w:numId="12" w16cid:durableId="1490709391">
    <w:abstractNumId w:val="29"/>
  </w:num>
  <w:num w:numId="13" w16cid:durableId="1252203633">
    <w:abstractNumId w:val="13"/>
  </w:num>
  <w:num w:numId="14" w16cid:durableId="1899975651">
    <w:abstractNumId w:val="30"/>
  </w:num>
  <w:num w:numId="15" w16cid:durableId="652222803">
    <w:abstractNumId w:val="14"/>
  </w:num>
  <w:num w:numId="16" w16cid:durableId="489175585">
    <w:abstractNumId w:val="26"/>
  </w:num>
  <w:num w:numId="17" w16cid:durableId="979042755">
    <w:abstractNumId w:val="20"/>
  </w:num>
  <w:num w:numId="18" w16cid:durableId="920675615">
    <w:abstractNumId w:val="8"/>
  </w:num>
  <w:num w:numId="19" w16cid:durableId="686562354">
    <w:abstractNumId w:val="2"/>
  </w:num>
  <w:num w:numId="20" w16cid:durableId="1996105630">
    <w:abstractNumId w:val="6"/>
  </w:num>
  <w:num w:numId="21" w16cid:durableId="1626498797">
    <w:abstractNumId w:val="5"/>
  </w:num>
  <w:num w:numId="22" w16cid:durableId="1473134683">
    <w:abstractNumId w:val="4"/>
  </w:num>
  <w:num w:numId="23" w16cid:durableId="1748109683">
    <w:abstractNumId w:val="3"/>
  </w:num>
  <w:num w:numId="24" w16cid:durableId="2057314016">
    <w:abstractNumId w:val="1"/>
  </w:num>
  <w:num w:numId="25" w16cid:durableId="899709016">
    <w:abstractNumId w:val="0"/>
  </w:num>
  <w:num w:numId="26" w16cid:durableId="1043752399">
    <w:abstractNumId w:val="27"/>
  </w:num>
  <w:num w:numId="27" w16cid:durableId="569851072">
    <w:abstractNumId w:val="25"/>
  </w:num>
  <w:num w:numId="28" w16cid:durableId="1645961997">
    <w:abstractNumId w:val="23"/>
  </w:num>
  <w:num w:numId="29" w16cid:durableId="1633173097">
    <w:abstractNumId w:val="32"/>
  </w:num>
  <w:num w:numId="30" w16cid:durableId="1855680194">
    <w:abstractNumId w:val="29"/>
  </w:num>
  <w:num w:numId="31" w16cid:durableId="1114254935">
    <w:abstractNumId w:val="30"/>
  </w:num>
  <w:num w:numId="32" w16cid:durableId="1738475974">
    <w:abstractNumId w:val="28"/>
  </w:num>
  <w:num w:numId="33" w16cid:durableId="1280528437">
    <w:abstractNumId w:val="28"/>
  </w:num>
  <w:num w:numId="34" w16cid:durableId="1009524948">
    <w:abstractNumId w:val="27"/>
  </w:num>
  <w:num w:numId="35" w16cid:durableId="844824872">
    <w:abstractNumId w:val="27"/>
  </w:num>
  <w:num w:numId="36" w16cid:durableId="1115641328">
    <w:abstractNumId w:val="27"/>
  </w:num>
  <w:num w:numId="37" w16cid:durableId="1444575663">
    <w:abstractNumId w:val="27"/>
  </w:num>
  <w:num w:numId="38" w16cid:durableId="671681885">
    <w:abstractNumId w:val="27"/>
  </w:num>
  <w:num w:numId="39" w16cid:durableId="437601506">
    <w:abstractNumId w:val="19"/>
  </w:num>
  <w:num w:numId="40" w16cid:durableId="13131760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69461593">
    <w:abstractNumId w:val="18"/>
  </w:num>
  <w:num w:numId="42" w16cid:durableId="540885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89553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03612232">
    <w:abstractNumId w:val="24"/>
  </w:num>
  <w:num w:numId="45" w16cid:durableId="1953827568">
    <w:abstractNumId w:val="21"/>
  </w:num>
  <w:num w:numId="46" w16cid:durableId="1446077786">
    <w:abstractNumId w:val="9"/>
  </w:num>
  <w:num w:numId="47" w16cid:durableId="510948195">
    <w:abstractNumId w:val="3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38D6"/>
    <w:rsid w:val="00007C53"/>
    <w:rsid w:val="00007EA4"/>
    <w:rsid w:val="0001616D"/>
    <w:rsid w:val="00016839"/>
    <w:rsid w:val="000174F9"/>
    <w:rsid w:val="000216E9"/>
    <w:rsid w:val="000249C2"/>
    <w:rsid w:val="000258F6"/>
    <w:rsid w:val="00025FBA"/>
    <w:rsid w:val="00027778"/>
    <w:rsid w:val="00027B36"/>
    <w:rsid w:val="0003449E"/>
    <w:rsid w:val="0003568A"/>
    <w:rsid w:val="00035E1F"/>
    <w:rsid w:val="000379A7"/>
    <w:rsid w:val="000401A4"/>
    <w:rsid w:val="00040EB8"/>
    <w:rsid w:val="000418CA"/>
    <w:rsid w:val="0004255E"/>
    <w:rsid w:val="00043148"/>
    <w:rsid w:val="00044196"/>
    <w:rsid w:val="000446B6"/>
    <w:rsid w:val="00045482"/>
    <w:rsid w:val="00045715"/>
    <w:rsid w:val="00050A67"/>
    <w:rsid w:val="00050F02"/>
    <w:rsid w:val="0005129B"/>
    <w:rsid w:val="00051724"/>
    <w:rsid w:val="0005449E"/>
    <w:rsid w:val="00054C7D"/>
    <w:rsid w:val="00055938"/>
    <w:rsid w:val="00057B6D"/>
    <w:rsid w:val="000609D5"/>
    <w:rsid w:val="00061A7B"/>
    <w:rsid w:val="00062874"/>
    <w:rsid w:val="000820E4"/>
    <w:rsid w:val="00082C85"/>
    <w:rsid w:val="00084F14"/>
    <w:rsid w:val="0008654C"/>
    <w:rsid w:val="00086F8F"/>
    <w:rsid w:val="000870E9"/>
    <w:rsid w:val="000904ED"/>
    <w:rsid w:val="00091545"/>
    <w:rsid w:val="0009165E"/>
    <w:rsid w:val="000A2469"/>
    <w:rsid w:val="000A27A8"/>
    <w:rsid w:val="000A3F58"/>
    <w:rsid w:val="000A49B9"/>
    <w:rsid w:val="000A59C0"/>
    <w:rsid w:val="000A78A9"/>
    <w:rsid w:val="000B12D5"/>
    <w:rsid w:val="000B1A90"/>
    <w:rsid w:val="000B1D62"/>
    <w:rsid w:val="000B2356"/>
    <w:rsid w:val="000B2369"/>
    <w:rsid w:val="000B577B"/>
    <w:rsid w:val="000C2133"/>
    <w:rsid w:val="000C2857"/>
    <w:rsid w:val="000C711B"/>
    <w:rsid w:val="000D1024"/>
    <w:rsid w:val="000D14CE"/>
    <w:rsid w:val="000D1D15"/>
    <w:rsid w:val="000D2431"/>
    <w:rsid w:val="000D46CC"/>
    <w:rsid w:val="000D480D"/>
    <w:rsid w:val="000D76B7"/>
    <w:rsid w:val="000E0EC6"/>
    <w:rsid w:val="000E34D3"/>
    <w:rsid w:val="000E3954"/>
    <w:rsid w:val="000E3E52"/>
    <w:rsid w:val="000F0712"/>
    <w:rsid w:val="000F0F9F"/>
    <w:rsid w:val="000F213E"/>
    <w:rsid w:val="000F22C4"/>
    <w:rsid w:val="000F3F43"/>
    <w:rsid w:val="000F58ED"/>
    <w:rsid w:val="000F5918"/>
    <w:rsid w:val="000F6095"/>
    <w:rsid w:val="0010529E"/>
    <w:rsid w:val="00113D5B"/>
    <w:rsid w:val="00113F8F"/>
    <w:rsid w:val="001161C6"/>
    <w:rsid w:val="00120E4E"/>
    <w:rsid w:val="00121616"/>
    <w:rsid w:val="00121F1B"/>
    <w:rsid w:val="001236B5"/>
    <w:rsid w:val="0013023E"/>
    <w:rsid w:val="001349DB"/>
    <w:rsid w:val="00134B86"/>
    <w:rsid w:val="00135AEB"/>
    <w:rsid w:val="00136E58"/>
    <w:rsid w:val="0014060A"/>
    <w:rsid w:val="0014597C"/>
    <w:rsid w:val="00147755"/>
    <w:rsid w:val="00151BFE"/>
    <w:rsid w:val="00152EB1"/>
    <w:rsid w:val="001535C6"/>
    <w:rsid w:val="0015455C"/>
    <w:rsid w:val="001547F9"/>
    <w:rsid w:val="00154B1E"/>
    <w:rsid w:val="001607D8"/>
    <w:rsid w:val="00161325"/>
    <w:rsid w:val="00161401"/>
    <w:rsid w:val="00162612"/>
    <w:rsid w:val="001635F3"/>
    <w:rsid w:val="00173602"/>
    <w:rsid w:val="00176BB8"/>
    <w:rsid w:val="00182B9C"/>
    <w:rsid w:val="00184427"/>
    <w:rsid w:val="00186FED"/>
    <w:rsid w:val="001875B1"/>
    <w:rsid w:val="00191120"/>
    <w:rsid w:val="0019173E"/>
    <w:rsid w:val="00191F84"/>
    <w:rsid w:val="001A2D8F"/>
    <w:rsid w:val="001A2DCA"/>
    <w:rsid w:val="001A73B9"/>
    <w:rsid w:val="001B1EF6"/>
    <w:rsid w:val="001B206B"/>
    <w:rsid w:val="001B2A35"/>
    <w:rsid w:val="001B339A"/>
    <w:rsid w:val="001B60A6"/>
    <w:rsid w:val="001B7A32"/>
    <w:rsid w:val="001C2971"/>
    <w:rsid w:val="001C40EA"/>
    <w:rsid w:val="001C650B"/>
    <w:rsid w:val="001C72B5"/>
    <w:rsid w:val="001C77FB"/>
    <w:rsid w:val="001D11AC"/>
    <w:rsid w:val="001D1845"/>
    <w:rsid w:val="001D2E7A"/>
    <w:rsid w:val="001D3992"/>
    <w:rsid w:val="001D4A3E"/>
    <w:rsid w:val="001D5D16"/>
    <w:rsid w:val="001D7E89"/>
    <w:rsid w:val="001E02BC"/>
    <w:rsid w:val="001E32E5"/>
    <w:rsid w:val="001E3AEE"/>
    <w:rsid w:val="001E416D"/>
    <w:rsid w:val="001E491D"/>
    <w:rsid w:val="001E4941"/>
    <w:rsid w:val="001F2CC3"/>
    <w:rsid w:val="001F4EF8"/>
    <w:rsid w:val="001F574E"/>
    <w:rsid w:val="001F5AB1"/>
    <w:rsid w:val="001F5D96"/>
    <w:rsid w:val="00200579"/>
    <w:rsid w:val="00201337"/>
    <w:rsid w:val="00201579"/>
    <w:rsid w:val="00202168"/>
    <w:rsid w:val="002022EA"/>
    <w:rsid w:val="002024B0"/>
    <w:rsid w:val="00202CB2"/>
    <w:rsid w:val="002044E9"/>
    <w:rsid w:val="00205B17"/>
    <w:rsid w:val="00205D9B"/>
    <w:rsid w:val="002115A6"/>
    <w:rsid w:val="00212AD8"/>
    <w:rsid w:val="00213436"/>
    <w:rsid w:val="00214033"/>
    <w:rsid w:val="00215E25"/>
    <w:rsid w:val="002176C4"/>
    <w:rsid w:val="002204DA"/>
    <w:rsid w:val="002226EE"/>
    <w:rsid w:val="0022371A"/>
    <w:rsid w:val="00224DAB"/>
    <w:rsid w:val="0022582A"/>
    <w:rsid w:val="00227D69"/>
    <w:rsid w:val="002331B9"/>
    <w:rsid w:val="00234BCC"/>
    <w:rsid w:val="00237785"/>
    <w:rsid w:val="00237A2B"/>
    <w:rsid w:val="002406D3"/>
    <w:rsid w:val="0024229E"/>
    <w:rsid w:val="00246546"/>
    <w:rsid w:val="002505E9"/>
    <w:rsid w:val="00250F89"/>
    <w:rsid w:val="00251FB9"/>
    <w:rsid w:val="002520AD"/>
    <w:rsid w:val="00255FD9"/>
    <w:rsid w:val="0025660A"/>
    <w:rsid w:val="00257DF8"/>
    <w:rsid w:val="00257E4A"/>
    <w:rsid w:val="0026038D"/>
    <w:rsid w:val="002617BA"/>
    <w:rsid w:val="00262828"/>
    <w:rsid w:val="00262E69"/>
    <w:rsid w:val="00263D78"/>
    <w:rsid w:val="0027175D"/>
    <w:rsid w:val="002735DD"/>
    <w:rsid w:val="00274B97"/>
    <w:rsid w:val="00275B45"/>
    <w:rsid w:val="00281877"/>
    <w:rsid w:val="002859F0"/>
    <w:rsid w:val="00286250"/>
    <w:rsid w:val="00286974"/>
    <w:rsid w:val="00290909"/>
    <w:rsid w:val="00295CA9"/>
    <w:rsid w:val="00296AE1"/>
    <w:rsid w:val="0029793F"/>
    <w:rsid w:val="00297DA0"/>
    <w:rsid w:val="002A1C42"/>
    <w:rsid w:val="002A617C"/>
    <w:rsid w:val="002A700D"/>
    <w:rsid w:val="002A71CF"/>
    <w:rsid w:val="002A79B7"/>
    <w:rsid w:val="002A7A14"/>
    <w:rsid w:val="002B3E9D"/>
    <w:rsid w:val="002B4397"/>
    <w:rsid w:val="002B574E"/>
    <w:rsid w:val="002B77DA"/>
    <w:rsid w:val="002C0B4D"/>
    <w:rsid w:val="002C1E38"/>
    <w:rsid w:val="002C2A58"/>
    <w:rsid w:val="002C3C5E"/>
    <w:rsid w:val="002C605E"/>
    <w:rsid w:val="002C77F4"/>
    <w:rsid w:val="002D0869"/>
    <w:rsid w:val="002D4C38"/>
    <w:rsid w:val="002D61A8"/>
    <w:rsid w:val="002D78FE"/>
    <w:rsid w:val="002E3BE3"/>
    <w:rsid w:val="002E4993"/>
    <w:rsid w:val="002E560E"/>
    <w:rsid w:val="002E5BAC"/>
    <w:rsid w:val="002E6010"/>
    <w:rsid w:val="002E7635"/>
    <w:rsid w:val="002F2576"/>
    <w:rsid w:val="002F265A"/>
    <w:rsid w:val="002F3B40"/>
    <w:rsid w:val="002F5336"/>
    <w:rsid w:val="002F605C"/>
    <w:rsid w:val="003032C4"/>
    <w:rsid w:val="0030413F"/>
    <w:rsid w:val="003059E8"/>
    <w:rsid w:val="00305B6A"/>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E40"/>
    <w:rsid w:val="00342429"/>
    <w:rsid w:val="00344408"/>
    <w:rsid w:val="00345E37"/>
    <w:rsid w:val="00346A15"/>
    <w:rsid w:val="00346AEC"/>
    <w:rsid w:val="00347F3E"/>
    <w:rsid w:val="00350A92"/>
    <w:rsid w:val="00356472"/>
    <w:rsid w:val="003621C3"/>
    <w:rsid w:val="00362816"/>
    <w:rsid w:val="0036382D"/>
    <w:rsid w:val="00372DDC"/>
    <w:rsid w:val="00373C5E"/>
    <w:rsid w:val="00374778"/>
    <w:rsid w:val="00380350"/>
    <w:rsid w:val="00380B4E"/>
    <w:rsid w:val="00380F88"/>
    <w:rsid w:val="003816E4"/>
    <w:rsid w:val="00381F7A"/>
    <w:rsid w:val="00382C28"/>
    <w:rsid w:val="00383A9D"/>
    <w:rsid w:val="003858A1"/>
    <w:rsid w:val="0038597C"/>
    <w:rsid w:val="0039131E"/>
    <w:rsid w:val="003A04A6"/>
    <w:rsid w:val="003A5CA4"/>
    <w:rsid w:val="003A6A32"/>
    <w:rsid w:val="003A7759"/>
    <w:rsid w:val="003A7F6E"/>
    <w:rsid w:val="003B0157"/>
    <w:rsid w:val="003B03EA"/>
    <w:rsid w:val="003B76F0"/>
    <w:rsid w:val="003C138B"/>
    <w:rsid w:val="003C7C34"/>
    <w:rsid w:val="003C7CF2"/>
    <w:rsid w:val="003D0F37"/>
    <w:rsid w:val="003D2A7A"/>
    <w:rsid w:val="003D39F8"/>
    <w:rsid w:val="003D3B40"/>
    <w:rsid w:val="003D3DBD"/>
    <w:rsid w:val="003D47DB"/>
    <w:rsid w:val="003D5150"/>
    <w:rsid w:val="003D6614"/>
    <w:rsid w:val="003E1065"/>
    <w:rsid w:val="003E4C9B"/>
    <w:rsid w:val="003F1C3A"/>
    <w:rsid w:val="003F1FA6"/>
    <w:rsid w:val="003F4DE4"/>
    <w:rsid w:val="003F70D2"/>
    <w:rsid w:val="0040009D"/>
    <w:rsid w:val="00405A3E"/>
    <w:rsid w:val="00414698"/>
    <w:rsid w:val="00415649"/>
    <w:rsid w:val="0042138E"/>
    <w:rsid w:val="0042565E"/>
    <w:rsid w:val="00430E20"/>
    <w:rsid w:val="00432C05"/>
    <w:rsid w:val="00440379"/>
    <w:rsid w:val="00441393"/>
    <w:rsid w:val="004441F8"/>
    <w:rsid w:val="00447CF0"/>
    <w:rsid w:val="00456DE1"/>
    <w:rsid w:val="00456F10"/>
    <w:rsid w:val="00457EC8"/>
    <w:rsid w:val="00460D62"/>
    <w:rsid w:val="00461DDC"/>
    <w:rsid w:val="00462095"/>
    <w:rsid w:val="00463B48"/>
    <w:rsid w:val="0046464D"/>
    <w:rsid w:val="00465590"/>
    <w:rsid w:val="004674F9"/>
    <w:rsid w:val="00474746"/>
    <w:rsid w:val="00476942"/>
    <w:rsid w:val="00477D62"/>
    <w:rsid w:val="00481C27"/>
    <w:rsid w:val="004871A2"/>
    <w:rsid w:val="0048743F"/>
    <w:rsid w:val="004908B8"/>
    <w:rsid w:val="00492A8D"/>
    <w:rsid w:val="00493B3C"/>
    <w:rsid w:val="004944C8"/>
    <w:rsid w:val="00495DDA"/>
    <w:rsid w:val="004A0EBF"/>
    <w:rsid w:val="004A3751"/>
    <w:rsid w:val="004A4EC4"/>
    <w:rsid w:val="004A59CB"/>
    <w:rsid w:val="004B65D9"/>
    <w:rsid w:val="004B712D"/>
    <w:rsid w:val="004B744B"/>
    <w:rsid w:val="004B7810"/>
    <w:rsid w:val="004B7B19"/>
    <w:rsid w:val="004C0C7E"/>
    <w:rsid w:val="004C0E4B"/>
    <w:rsid w:val="004C6EDA"/>
    <w:rsid w:val="004D4109"/>
    <w:rsid w:val="004D6A56"/>
    <w:rsid w:val="004D6C87"/>
    <w:rsid w:val="004D7656"/>
    <w:rsid w:val="004E0BBB"/>
    <w:rsid w:val="004E1D57"/>
    <w:rsid w:val="004E2F16"/>
    <w:rsid w:val="004F26FF"/>
    <w:rsid w:val="004F2716"/>
    <w:rsid w:val="004F2AA4"/>
    <w:rsid w:val="004F4AAE"/>
    <w:rsid w:val="004F5930"/>
    <w:rsid w:val="004F6196"/>
    <w:rsid w:val="00503044"/>
    <w:rsid w:val="005051B1"/>
    <w:rsid w:val="005069FD"/>
    <w:rsid w:val="00506A6F"/>
    <w:rsid w:val="005222AF"/>
    <w:rsid w:val="005234D5"/>
    <w:rsid w:val="00523666"/>
    <w:rsid w:val="00525922"/>
    <w:rsid w:val="00525963"/>
    <w:rsid w:val="00526234"/>
    <w:rsid w:val="005308D1"/>
    <w:rsid w:val="0053188B"/>
    <w:rsid w:val="00534F34"/>
    <w:rsid w:val="0053692E"/>
    <w:rsid w:val="00536C1B"/>
    <w:rsid w:val="005378A6"/>
    <w:rsid w:val="00540D36"/>
    <w:rsid w:val="00541ED1"/>
    <w:rsid w:val="00545537"/>
    <w:rsid w:val="00547837"/>
    <w:rsid w:val="00551C89"/>
    <w:rsid w:val="00553815"/>
    <w:rsid w:val="00553FE0"/>
    <w:rsid w:val="00554968"/>
    <w:rsid w:val="005572DD"/>
    <w:rsid w:val="00557434"/>
    <w:rsid w:val="0056326F"/>
    <w:rsid w:val="00563D55"/>
    <w:rsid w:val="005705B7"/>
    <w:rsid w:val="00574ADC"/>
    <w:rsid w:val="00577EC3"/>
    <w:rsid w:val="005805D2"/>
    <w:rsid w:val="00581239"/>
    <w:rsid w:val="005844D9"/>
    <w:rsid w:val="00586C48"/>
    <w:rsid w:val="00586C66"/>
    <w:rsid w:val="00593EFC"/>
    <w:rsid w:val="00595415"/>
    <w:rsid w:val="005966BC"/>
    <w:rsid w:val="00597652"/>
    <w:rsid w:val="005A0507"/>
    <w:rsid w:val="005A0703"/>
    <w:rsid w:val="005A080B"/>
    <w:rsid w:val="005A0C98"/>
    <w:rsid w:val="005A34C9"/>
    <w:rsid w:val="005A722A"/>
    <w:rsid w:val="005A7DEB"/>
    <w:rsid w:val="005B12A5"/>
    <w:rsid w:val="005C161A"/>
    <w:rsid w:val="005C1BCB"/>
    <w:rsid w:val="005C2312"/>
    <w:rsid w:val="005C31AC"/>
    <w:rsid w:val="005C4735"/>
    <w:rsid w:val="005C5036"/>
    <w:rsid w:val="005C5981"/>
    <w:rsid w:val="005C5C63"/>
    <w:rsid w:val="005D03E9"/>
    <w:rsid w:val="005D14E9"/>
    <w:rsid w:val="005D2981"/>
    <w:rsid w:val="005D304B"/>
    <w:rsid w:val="005D329D"/>
    <w:rsid w:val="005D3920"/>
    <w:rsid w:val="005D4056"/>
    <w:rsid w:val="005D6E5D"/>
    <w:rsid w:val="005E091A"/>
    <w:rsid w:val="005E3989"/>
    <w:rsid w:val="005E4659"/>
    <w:rsid w:val="005E5AB7"/>
    <w:rsid w:val="005E657A"/>
    <w:rsid w:val="005E7063"/>
    <w:rsid w:val="005F1314"/>
    <w:rsid w:val="005F1386"/>
    <w:rsid w:val="005F17C2"/>
    <w:rsid w:val="005F4BA4"/>
    <w:rsid w:val="005F7025"/>
    <w:rsid w:val="00600C2B"/>
    <w:rsid w:val="00602A37"/>
    <w:rsid w:val="00606A1F"/>
    <w:rsid w:val="00611BF0"/>
    <w:rsid w:val="006127AC"/>
    <w:rsid w:val="00622C26"/>
    <w:rsid w:val="00634A78"/>
    <w:rsid w:val="00641794"/>
    <w:rsid w:val="00642025"/>
    <w:rsid w:val="00642ECC"/>
    <w:rsid w:val="006444C0"/>
    <w:rsid w:val="00646AFD"/>
    <w:rsid w:val="00646E87"/>
    <w:rsid w:val="0065107F"/>
    <w:rsid w:val="006525B0"/>
    <w:rsid w:val="00661946"/>
    <w:rsid w:val="00664D43"/>
    <w:rsid w:val="00666061"/>
    <w:rsid w:val="00666380"/>
    <w:rsid w:val="00667424"/>
    <w:rsid w:val="00667792"/>
    <w:rsid w:val="006711F5"/>
    <w:rsid w:val="00671677"/>
    <w:rsid w:val="006744D8"/>
    <w:rsid w:val="006750F2"/>
    <w:rsid w:val="006752D6"/>
    <w:rsid w:val="00675E02"/>
    <w:rsid w:val="00676D91"/>
    <w:rsid w:val="00681C16"/>
    <w:rsid w:val="0068553C"/>
    <w:rsid w:val="00685F34"/>
    <w:rsid w:val="006912D0"/>
    <w:rsid w:val="00693B1F"/>
    <w:rsid w:val="006946EE"/>
    <w:rsid w:val="00695656"/>
    <w:rsid w:val="006975A8"/>
    <w:rsid w:val="006A1012"/>
    <w:rsid w:val="006A148E"/>
    <w:rsid w:val="006A7DF5"/>
    <w:rsid w:val="006A7F58"/>
    <w:rsid w:val="006B14E9"/>
    <w:rsid w:val="006B54CC"/>
    <w:rsid w:val="006C1376"/>
    <w:rsid w:val="006C38BD"/>
    <w:rsid w:val="006C48F9"/>
    <w:rsid w:val="006D259C"/>
    <w:rsid w:val="006E0E7D"/>
    <w:rsid w:val="006E10BF"/>
    <w:rsid w:val="006F1C14"/>
    <w:rsid w:val="006F4B80"/>
    <w:rsid w:val="006F546E"/>
    <w:rsid w:val="00703A6A"/>
    <w:rsid w:val="00703C34"/>
    <w:rsid w:val="00713A62"/>
    <w:rsid w:val="00722236"/>
    <w:rsid w:val="00723824"/>
    <w:rsid w:val="00725CCA"/>
    <w:rsid w:val="00726B66"/>
    <w:rsid w:val="0072737A"/>
    <w:rsid w:val="00727CF4"/>
    <w:rsid w:val="007311E7"/>
    <w:rsid w:val="00731DEE"/>
    <w:rsid w:val="00734BC6"/>
    <w:rsid w:val="0074084C"/>
    <w:rsid w:val="007503AE"/>
    <w:rsid w:val="007541D3"/>
    <w:rsid w:val="007577D7"/>
    <w:rsid w:val="00760004"/>
    <w:rsid w:val="007619BF"/>
    <w:rsid w:val="00766ED3"/>
    <w:rsid w:val="007715E8"/>
    <w:rsid w:val="0077382D"/>
    <w:rsid w:val="00773A35"/>
    <w:rsid w:val="00776004"/>
    <w:rsid w:val="00777956"/>
    <w:rsid w:val="007811C4"/>
    <w:rsid w:val="0078486B"/>
    <w:rsid w:val="00785A39"/>
    <w:rsid w:val="00787D8A"/>
    <w:rsid w:val="00790277"/>
    <w:rsid w:val="00791EBC"/>
    <w:rsid w:val="00793577"/>
    <w:rsid w:val="00795637"/>
    <w:rsid w:val="007A446A"/>
    <w:rsid w:val="007A46DD"/>
    <w:rsid w:val="007A4FEF"/>
    <w:rsid w:val="007A53A6"/>
    <w:rsid w:val="007A6159"/>
    <w:rsid w:val="007A70D1"/>
    <w:rsid w:val="007B27E9"/>
    <w:rsid w:val="007B2C5B"/>
    <w:rsid w:val="007B2D11"/>
    <w:rsid w:val="007B4994"/>
    <w:rsid w:val="007B6700"/>
    <w:rsid w:val="007B6A93"/>
    <w:rsid w:val="007B7377"/>
    <w:rsid w:val="007B7BEC"/>
    <w:rsid w:val="007C25BB"/>
    <w:rsid w:val="007C3D03"/>
    <w:rsid w:val="007D1805"/>
    <w:rsid w:val="007D2107"/>
    <w:rsid w:val="007D3A42"/>
    <w:rsid w:val="007D5895"/>
    <w:rsid w:val="007D77AB"/>
    <w:rsid w:val="007D78F6"/>
    <w:rsid w:val="007E28D0"/>
    <w:rsid w:val="007E30DF"/>
    <w:rsid w:val="007F2C43"/>
    <w:rsid w:val="007F7544"/>
    <w:rsid w:val="00800941"/>
    <w:rsid w:val="00800995"/>
    <w:rsid w:val="00804736"/>
    <w:rsid w:val="0080602A"/>
    <w:rsid w:val="008069C5"/>
    <w:rsid w:val="00807974"/>
    <w:rsid w:val="0081117E"/>
    <w:rsid w:val="00816F79"/>
    <w:rsid w:val="008172F8"/>
    <w:rsid w:val="00820C2C"/>
    <w:rsid w:val="00821572"/>
    <w:rsid w:val="00827301"/>
    <w:rsid w:val="008310C9"/>
    <w:rsid w:val="008326B2"/>
    <w:rsid w:val="00834150"/>
    <w:rsid w:val="008357F2"/>
    <w:rsid w:val="00835EA0"/>
    <w:rsid w:val="0084098D"/>
    <w:rsid w:val="008416E0"/>
    <w:rsid w:val="00841E7A"/>
    <w:rsid w:val="00842B85"/>
    <w:rsid w:val="00843CED"/>
    <w:rsid w:val="00844B35"/>
    <w:rsid w:val="00846831"/>
    <w:rsid w:val="00846D0C"/>
    <w:rsid w:val="00847B32"/>
    <w:rsid w:val="00850354"/>
    <w:rsid w:val="00854BCE"/>
    <w:rsid w:val="00857346"/>
    <w:rsid w:val="008603E0"/>
    <w:rsid w:val="0086283D"/>
    <w:rsid w:val="00865532"/>
    <w:rsid w:val="00867686"/>
    <w:rsid w:val="008737D3"/>
    <w:rsid w:val="00874179"/>
    <w:rsid w:val="008747E0"/>
    <w:rsid w:val="00876841"/>
    <w:rsid w:val="00882B3C"/>
    <w:rsid w:val="00886C21"/>
    <w:rsid w:val="0088783D"/>
    <w:rsid w:val="008906EE"/>
    <w:rsid w:val="00892B9B"/>
    <w:rsid w:val="00896EA4"/>
    <w:rsid w:val="008972C3"/>
    <w:rsid w:val="008A28D9"/>
    <w:rsid w:val="008A30BA"/>
    <w:rsid w:val="008A52DC"/>
    <w:rsid w:val="008A5435"/>
    <w:rsid w:val="008B0096"/>
    <w:rsid w:val="008B62E0"/>
    <w:rsid w:val="008B66D8"/>
    <w:rsid w:val="008C2A0C"/>
    <w:rsid w:val="008C2B2A"/>
    <w:rsid w:val="008C33B5"/>
    <w:rsid w:val="008C3A72"/>
    <w:rsid w:val="008C46F4"/>
    <w:rsid w:val="008C4A94"/>
    <w:rsid w:val="008C6969"/>
    <w:rsid w:val="008D45D2"/>
    <w:rsid w:val="008D5CCD"/>
    <w:rsid w:val="008E1D70"/>
    <w:rsid w:val="008E1F69"/>
    <w:rsid w:val="008E2196"/>
    <w:rsid w:val="008E76B1"/>
    <w:rsid w:val="008E7E23"/>
    <w:rsid w:val="008F34F4"/>
    <w:rsid w:val="008F38BB"/>
    <w:rsid w:val="008F57D8"/>
    <w:rsid w:val="00900274"/>
    <w:rsid w:val="00901316"/>
    <w:rsid w:val="00902834"/>
    <w:rsid w:val="009110DD"/>
    <w:rsid w:val="00911675"/>
    <w:rsid w:val="0091285C"/>
    <w:rsid w:val="00913056"/>
    <w:rsid w:val="00914E26"/>
    <w:rsid w:val="0091590F"/>
    <w:rsid w:val="00920BA0"/>
    <w:rsid w:val="009217F2"/>
    <w:rsid w:val="00923B4D"/>
    <w:rsid w:val="0092540C"/>
    <w:rsid w:val="009258FF"/>
    <w:rsid w:val="00925A4B"/>
    <w:rsid w:val="00925B39"/>
    <w:rsid w:val="00925E0F"/>
    <w:rsid w:val="00931A57"/>
    <w:rsid w:val="00933EE0"/>
    <w:rsid w:val="0093492E"/>
    <w:rsid w:val="009414E6"/>
    <w:rsid w:val="009456BB"/>
    <w:rsid w:val="00947A3F"/>
    <w:rsid w:val="00950B15"/>
    <w:rsid w:val="0095450F"/>
    <w:rsid w:val="00956901"/>
    <w:rsid w:val="00960BA7"/>
    <w:rsid w:val="0096203C"/>
    <w:rsid w:val="00962EC1"/>
    <w:rsid w:val="009630F5"/>
    <w:rsid w:val="0096422D"/>
    <w:rsid w:val="009656B9"/>
    <w:rsid w:val="00965F22"/>
    <w:rsid w:val="0096631C"/>
    <w:rsid w:val="00967DD9"/>
    <w:rsid w:val="00971591"/>
    <w:rsid w:val="009718E5"/>
    <w:rsid w:val="009727CB"/>
    <w:rsid w:val="00974564"/>
    <w:rsid w:val="00974B53"/>
    <w:rsid w:val="00974C27"/>
    <w:rsid w:val="00974E99"/>
    <w:rsid w:val="009764FA"/>
    <w:rsid w:val="009776E1"/>
    <w:rsid w:val="00980192"/>
    <w:rsid w:val="00980799"/>
    <w:rsid w:val="00981227"/>
    <w:rsid w:val="009812B5"/>
    <w:rsid w:val="00982A22"/>
    <w:rsid w:val="009830CC"/>
    <w:rsid w:val="00983287"/>
    <w:rsid w:val="00984F62"/>
    <w:rsid w:val="009874E2"/>
    <w:rsid w:val="009928E5"/>
    <w:rsid w:val="00994D97"/>
    <w:rsid w:val="009957CA"/>
    <w:rsid w:val="009961B4"/>
    <w:rsid w:val="0099752C"/>
    <w:rsid w:val="009A07B7"/>
    <w:rsid w:val="009A1D1D"/>
    <w:rsid w:val="009A56BA"/>
    <w:rsid w:val="009A7406"/>
    <w:rsid w:val="009B0C65"/>
    <w:rsid w:val="009B1545"/>
    <w:rsid w:val="009B372E"/>
    <w:rsid w:val="009B5023"/>
    <w:rsid w:val="009B6582"/>
    <w:rsid w:val="009B785E"/>
    <w:rsid w:val="009C26F8"/>
    <w:rsid w:val="009C3134"/>
    <w:rsid w:val="009C387B"/>
    <w:rsid w:val="009C5B84"/>
    <w:rsid w:val="009C609E"/>
    <w:rsid w:val="009C6984"/>
    <w:rsid w:val="009D25B8"/>
    <w:rsid w:val="009D26AB"/>
    <w:rsid w:val="009D6B98"/>
    <w:rsid w:val="009E075B"/>
    <w:rsid w:val="009E16EC"/>
    <w:rsid w:val="009E1F25"/>
    <w:rsid w:val="009E2A7E"/>
    <w:rsid w:val="009E433C"/>
    <w:rsid w:val="009E4A4D"/>
    <w:rsid w:val="009E6578"/>
    <w:rsid w:val="009F081F"/>
    <w:rsid w:val="009F4A19"/>
    <w:rsid w:val="009F55E5"/>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70ED"/>
    <w:rsid w:val="00A37755"/>
    <w:rsid w:val="00A4308C"/>
    <w:rsid w:val="00A43432"/>
    <w:rsid w:val="00A44836"/>
    <w:rsid w:val="00A524B5"/>
    <w:rsid w:val="00A53E1D"/>
    <w:rsid w:val="00A549B3"/>
    <w:rsid w:val="00A56184"/>
    <w:rsid w:val="00A66081"/>
    <w:rsid w:val="00A6784D"/>
    <w:rsid w:val="00A67954"/>
    <w:rsid w:val="00A72893"/>
    <w:rsid w:val="00A72ED7"/>
    <w:rsid w:val="00A72FD6"/>
    <w:rsid w:val="00A800A9"/>
    <w:rsid w:val="00A8083F"/>
    <w:rsid w:val="00A83FF2"/>
    <w:rsid w:val="00A86343"/>
    <w:rsid w:val="00A87080"/>
    <w:rsid w:val="00A90103"/>
    <w:rsid w:val="00A90AAC"/>
    <w:rsid w:val="00A90D86"/>
    <w:rsid w:val="00A91DBA"/>
    <w:rsid w:val="00A97900"/>
    <w:rsid w:val="00AA0672"/>
    <w:rsid w:val="00AA1B91"/>
    <w:rsid w:val="00AA1D7A"/>
    <w:rsid w:val="00AA38A0"/>
    <w:rsid w:val="00AA3E01"/>
    <w:rsid w:val="00AA7AC8"/>
    <w:rsid w:val="00AB0BFA"/>
    <w:rsid w:val="00AB2C66"/>
    <w:rsid w:val="00AB2DAB"/>
    <w:rsid w:val="00AB32C4"/>
    <w:rsid w:val="00AB5662"/>
    <w:rsid w:val="00AB5769"/>
    <w:rsid w:val="00AB76B7"/>
    <w:rsid w:val="00AC33A2"/>
    <w:rsid w:val="00AC583D"/>
    <w:rsid w:val="00AC5DBB"/>
    <w:rsid w:val="00AD12E6"/>
    <w:rsid w:val="00AD38F7"/>
    <w:rsid w:val="00AE65F1"/>
    <w:rsid w:val="00AE6BB4"/>
    <w:rsid w:val="00AE74AD"/>
    <w:rsid w:val="00AF159C"/>
    <w:rsid w:val="00AF6B89"/>
    <w:rsid w:val="00B007F2"/>
    <w:rsid w:val="00B01873"/>
    <w:rsid w:val="00B03EE6"/>
    <w:rsid w:val="00B0572F"/>
    <w:rsid w:val="00B074AB"/>
    <w:rsid w:val="00B07717"/>
    <w:rsid w:val="00B1213D"/>
    <w:rsid w:val="00B13AC5"/>
    <w:rsid w:val="00B15799"/>
    <w:rsid w:val="00B16334"/>
    <w:rsid w:val="00B17253"/>
    <w:rsid w:val="00B237E2"/>
    <w:rsid w:val="00B250D6"/>
    <w:rsid w:val="00B2583D"/>
    <w:rsid w:val="00B266A9"/>
    <w:rsid w:val="00B26A2D"/>
    <w:rsid w:val="00B31A41"/>
    <w:rsid w:val="00B328FA"/>
    <w:rsid w:val="00B40199"/>
    <w:rsid w:val="00B40523"/>
    <w:rsid w:val="00B4404E"/>
    <w:rsid w:val="00B453D3"/>
    <w:rsid w:val="00B45400"/>
    <w:rsid w:val="00B502FF"/>
    <w:rsid w:val="00B50B90"/>
    <w:rsid w:val="00B50E28"/>
    <w:rsid w:val="00B53018"/>
    <w:rsid w:val="00B55ACF"/>
    <w:rsid w:val="00B56A75"/>
    <w:rsid w:val="00B6066D"/>
    <w:rsid w:val="00B621CA"/>
    <w:rsid w:val="00B643DF"/>
    <w:rsid w:val="00B65300"/>
    <w:rsid w:val="00B658B7"/>
    <w:rsid w:val="00B67422"/>
    <w:rsid w:val="00B70796"/>
    <w:rsid w:val="00B70BD4"/>
    <w:rsid w:val="00B712CA"/>
    <w:rsid w:val="00B71527"/>
    <w:rsid w:val="00B73463"/>
    <w:rsid w:val="00B75110"/>
    <w:rsid w:val="00B7711B"/>
    <w:rsid w:val="00B80065"/>
    <w:rsid w:val="00B90123"/>
    <w:rsid w:val="00B9016D"/>
    <w:rsid w:val="00B92476"/>
    <w:rsid w:val="00B945F5"/>
    <w:rsid w:val="00BA0F98"/>
    <w:rsid w:val="00BA1517"/>
    <w:rsid w:val="00BA19B2"/>
    <w:rsid w:val="00BA1C02"/>
    <w:rsid w:val="00BA227B"/>
    <w:rsid w:val="00BA253C"/>
    <w:rsid w:val="00BA46B9"/>
    <w:rsid w:val="00BA4799"/>
    <w:rsid w:val="00BA4E39"/>
    <w:rsid w:val="00BA5B0E"/>
    <w:rsid w:val="00BA6611"/>
    <w:rsid w:val="00BA67FD"/>
    <w:rsid w:val="00BA7C48"/>
    <w:rsid w:val="00BA7E48"/>
    <w:rsid w:val="00BC251F"/>
    <w:rsid w:val="00BC27F6"/>
    <w:rsid w:val="00BC39F4"/>
    <w:rsid w:val="00BC6797"/>
    <w:rsid w:val="00BC7FE0"/>
    <w:rsid w:val="00BD0991"/>
    <w:rsid w:val="00BD150C"/>
    <w:rsid w:val="00BD1587"/>
    <w:rsid w:val="00BD6A20"/>
    <w:rsid w:val="00BD7EE1"/>
    <w:rsid w:val="00BE5568"/>
    <w:rsid w:val="00BE5764"/>
    <w:rsid w:val="00BF1358"/>
    <w:rsid w:val="00C0106D"/>
    <w:rsid w:val="00C031EA"/>
    <w:rsid w:val="00C03A92"/>
    <w:rsid w:val="00C10D3F"/>
    <w:rsid w:val="00C130C5"/>
    <w:rsid w:val="00C133BE"/>
    <w:rsid w:val="00C1400A"/>
    <w:rsid w:val="00C14CAA"/>
    <w:rsid w:val="00C222B4"/>
    <w:rsid w:val="00C257BB"/>
    <w:rsid w:val="00C262E4"/>
    <w:rsid w:val="00C33E20"/>
    <w:rsid w:val="00C35CF6"/>
    <w:rsid w:val="00C3610D"/>
    <w:rsid w:val="00C3725B"/>
    <w:rsid w:val="00C401B7"/>
    <w:rsid w:val="00C40ACC"/>
    <w:rsid w:val="00C473B5"/>
    <w:rsid w:val="00C522BE"/>
    <w:rsid w:val="00C52413"/>
    <w:rsid w:val="00C533EC"/>
    <w:rsid w:val="00C5470E"/>
    <w:rsid w:val="00C55C8A"/>
    <w:rsid w:val="00C55EFB"/>
    <w:rsid w:val="00C56585"/>
    <w:rsid w:val="00C56674"/>
    <w:rsid w:val="00C56B3F"/>
    <w:rsid w:val="00C62DF5"/>
    <w:rsid w:val="00C65492"/>
    <w:rsid w:val="00C65C4C"/>
    <w:rsid w:val="00C67C67"/>
    <w:rsid w:val="00C7022C"/>
    <w:rsid w:val="00C71032"/>
    <w:rsid w:val="00C712B9"/>
    <w:rsid w:val="00C716E5"/>
    <w:rsid w:val="00C773D9"/>
    <w:rsid w:val="00C77C59"/>
    <w:rsid w:val="00C80307"/>
    <w:rsid w:val="00C80ACE"/>
    <w:rsid w:val="00C80B0C"/>
    <w:rsid w:val="00C81162"/>
    <w:rsid w:val="00C819E5"/>
    <w:rsid w:val="00C81D4A"/>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1D11"/>
    <w:rsid w:val="00CB59F3"/>
    <w:rsid w:val="00CB7D0F"/>
    <w:rsid w:val="00CC35EF"/>
    <w:rsid w:val="00CC5048"/>
    <w:rsid w:val="00CC6246"/>
    <w:rsid w:val="00CD0232"/>
    <w:rsid w:val="00CD1D7C"/>
    <w:rsid w:val="00CD543A"/>
    <w:rsid w:val="00CD6FD4"/>
    <w:rsid w:val="00CE5E46"/>
    <w:rsid w:val="00CE6645"/>
    <w:rsid w:val="00CF10E3"/>
    <w:rsid w:val="00CF49CC"/>
    <w:rsid w:val="00D0205F"/>
    <w:rsid w:val="00D03A27"/>
    <w:rsid w:val="00D046AA"/>
    <w:rsid w:val="00D04F0B"/>
    <w:rsid w:val="00D07A82"/>
    <w:rsid w:val="00D120AF"/>
    <w:rsid w:val="00D12407"/>
    <w:rsid w:val="00D1463A"/>
    <w:rsid w:val="00D15BDF"/>
    <w:rsid w:val="00D15F11"/>
    <w:rsid w:val="00D252C9"/>
    <w:rsid w:val="00D270FA"/>
    <w:rsid w:val="00D30B55"/>
    <w:rsid w:val="00D32DDF"/>
    <w:rsid w:val="00D345DB"/>
    <w:rsid w:val="00D36206"/>
    <w:rsid w:val="00D36E93"/>
    <w:rsid w:val="00D36F11"/>
    <w:rsid w:val="00D3700C"/>
    <w:rsid w:val="00D41940"/>
    <w:rsid w:val="00D42776"/>
    <w:rsid w:val="00D5453A"/>
    <w:rsid w:val="00D55D17"/>
    <w:rsid w:val="00D603BF"/>
    <w:rsid w:val="00D61674"/>
    <w:rsid w:val="00D638E0"/>
    <w:rsid w:val="00D653B1"/>
    <w:rsid w:val="00D656A2"/>
    <w:rsid w:val="00D70ED4"/>
    <w:rsid w:val="00D71657"/>
    <w:rsid w:val="00D722B3"/>
    <w:rsid w:val="00D735B7"/>
    <w:rsid w:val="00D740A5"/>
    <w:rsid w:val="00D74AE1"/>
    <w:rsid w:val="00D75D42"/>
    <w:rsid w:val="00D80A15"/>
    <w:rsid w:val="00D80B20"/>
    <w:rsid w:val="00D865A8"/>
    <w:rsid w:val="00D9012A"/>
    <w:rsid w:val="00D92C2D"/>
    <w:rsid w:val="00D9361E"/>
    <w:rsid w:val="00D94F38"/>
    <w:rsid w:val="00D96F91"/>
    <w:rsid w:val="00DA005A"/>
    <w:rsid w:val="00DA17CD"/>
    <w:rsid w:val="00DA20C9"/>
    <w:rsid w:val="00DB25B3"/>
    <w:rsid w:val="00DB651D"/>
    <w:rsid w:val="00DC1C10"/>
    <w:rsid w:val="00DC4B7A"/>
    <w:rsid w:val="00DC6F92"/>
    <w:rsid w:val="00DD4E82"/>
    <w:rsid w:val="00DD60F2"/>
    <w:rsid w:val="00DD69FB"/>
    <w:rsid w:val="00DE0893"/>
    <w:rsid w:val="00DE2814"/>
    <w:rsid w:val="00DE6796"/>
    <w:rsid w:val="00DF41B2"/>
    <w:rsid w:val="00DF47E2"/>
    <w:rsid w:val="00DF76E9"/>
    <w:rsid w:val="00E01272"/>
    <w:rsid w:val="00E01592"/>
    <w:rsid w:val="00E03067"/>
    <w:rsid w:val="00E03814"/>
    <w:rsid w:val="00E03846"/>
    <w:rsid w:val="00E03A07"/>
    <w:rsid w:val="00E06421"/>
    <w:rsid w:val="00E10BDB"/>
    <w:rsid w:val="00E12F37"/>
    <w:rsid w:val="00E13CC9"/>
    <w:rsid w:val="00E16A02"/>
    <w:rsid w:val="00E16EB4"/>
    <w:rsid w:val="00E20A7D"/>
    <w:rsid w:val="00E21A27"/>
    <w:rsid w:val="00E22643"/>
    <w:rsid w:val="00E24620"/>
    <w:rsid w:val="00E27A2F"/>
    <w:rsid w:val="00E30A98"/>
    <w:rsid w:val="00E322A5"/>
    <w:rsid w:val="00E42A94"/>
    <w:rsid w:val="00E4359F"/>
    <w:rsid w:val="00E458BF"/>
    <w:rsid w:val="00E47285"/>
    <w:rsid w:val="00E500D9"/>
    <w:rsid w:val="00E5035D"/>
    <w:rsid w:val="00E5057A"/>
    <w:rsid w:val="00E51C33"/>
    <w:rsid w:val="00E54676"/>
    <w:rsid w:val="00E54AD5"/>
    <w:rsid w:val="00E54BFB"/>
    <w:rsid w:val="00E54CD7"/>
    <w:rsid w:val="00E64013"/>
    <w:rsid w:val="00E706E7"/>
    <w:rsid w:val="00E758EB"/>
    <w:rsid w:val="00E76B2C"/>
    <w:rsid w:val="00E77587"/>
    <w:rsid w:val="00E818AD"/>
    <w:rsid w:val="00E84229"/>
    <w:rsid w:val="00E843F0"/>
    <w:rsid w:val="00E84965"/>
    <w:rsid w:val="00E86147"/>
    <w:rsid w:val="00E86873"/>
    <w:rsid w:val="00E877DC"/>
    <w:rsid w:val="00E87A58"/>
    <w:rsid w:val="00E90841"/>
    <w:rsid w:val="00E90E4E"/>
    <w:rsid w:val="00E9391E"/>
    <w:rsid w:val="00EA1052"/>
    <w:rsid w:val="00EA218F"/>
    <w:rsid w:val="00EA2575"/>
    <w:rsid w:val="00EA36F2"/>
    <w:rsid w:val="00EA4F29"/>
    <w:rsid w:val="00EA5B27"/>
    <w:rsid w:val="00EA5F83"/>
    <w:rsid w:val="00EA6F9D"/>
    <w:rsid w:val="00EB2273"/>
    <w:rsid w:val="00EB6C62"/>
    <w:rsid w:val="00EB6F3C"/>
    <w:rsid w:val="00EB6FB2"/>
    <w:rsid w:val="00EC0CF9"/>
    <w:rsid w:val="00EC1E2C"/>
    <w:rsid w:val="00EC254E"/>
    <w:rsid w:val="00EC2B9A"/>
    <w:rsid w:val="00EC3723"/>
    <w:rsid w:val="00EC5130"/>
    <w:rsid w:val="00EC568A"/>
    <w:rsid w:val="00EC7C87"/>
    <w:rsid w:val="00EC7CB7"/>
    <w:rsid w:val="00EC7D9F"/>
    <w:rsid w:val="00ED030E"/>
    <w:rsid w:val="00ED2672"/>
    <w:rsid w:val="00ED2A8D"/>
    <w:rsid w:val="00ED3784"/>
    <w:rsid w:val="00ED4450"/>
    <w:rsid w:val="00ED7692"/>
    <w:rsid w:val="00EE2455"/>
    <w:rsid w:val="00EE2F17"/>
    <w:rsid w:val="00EE54CB"/>
    <w:rsid w:val="00EE6424"/>
    <w:rsid w:val="00EF1936"/>
    <w:rsid w:val="00EF1C54"/>
    <w:rsid w:val="00EF404B"/>
    <w:rsid w:val="00EF611C"/>
    <w:rsid w:val="00F00376"/>
    <w:rsid w:val="00F01F0C"/>
    <w:rsid w:val="00F02A5A"/>
    <w:rsid w:val="00F036F2"/>
    <w:rsid w:val="00F06ECB"/>
    <w:rsid w:val="00F1078D"/>
    <w:rsid w:val="00F11368"/>
    <w:rsid w:val="00F11764"/>
    <w:rsid w:val="00F118B2"/>
    <w:rsid w:val="00F157E2"/>
    <w:rsid w:val="00F15D41"/>
    <w:rsid w:val="00F165A7"/>
    <w:rsid w:val="00F16C7D"/>
    <w:rsid w:val="00F21960"/>
    <w:rsid w:val="00F23723"/>
    <w:rsid w:val="00F259E2"/>
    <w:rsid w:val="00F30739"/>
    <w:rsid w:val="00F346A3"/>
    <w:rsid w:val="00F404B9"/>
    <w:rsid w:val="00F40749"/>
    <w:rsid w:val="00F40DC3"/>
    <w:rsid w:val="00F41F0B"/>
    <w:rsid w:val="00F50222"/>
    <w:rsid w:val="00F52277"/>
    <w:rsid w:val="00F527AC"/>
    <w:rsid w:val="00F5503F"/>
    <w:rsid w:val="00F55AD7"/>
    <w:rsid w:val="00F61D83"/>
    <w:rsid w:val="00F628DA"/>
    <w:rsid w:val="00F62FAB"/>
    <w:rsid w:val="00F636EF"/>
    <w:rsid w:val="00F64BE0"/>
    <w:rsid w:val="00F65DD1"/>
    <w:rsid w:val="00F67B06"/>
    <w:rsid w:val="00F707B3"/>
    <w:rsid w:val="00F71135"/>
    <w:rsid w:val="00F71C82"/>
    <w:rsid w:val="00F71F86"/>
    <w:rsid w:val="00F730DC"/>
    <w:rsid w:val="00F741EE"/>
    <w:rsid w:val="00F74309"/>
    <w:rsid w:val="00F74B9C"/>
    <w:rsid w:val="00F77B5D"/>
    <w:rsid w:val="00F828E7"/>
    <w:rsid w:val="00F82C35"/>
    <w:rsid w:val="00F83068"/>
    <w:rsid w:val="00F85647"/>
    <w:rsid w:val="00F90461"/>
    <w:rsid w:val="00F91B03"/>
    <w:rsid w:val="00F92AD6"/>
    <w:rsid w:val="00F97988"/>
    <w:rsid w:val="00FA06B2"/>
    <w:rsid w:val="00FA370D"/>
    <w:rsid w:val="00FA5F89"/>
    <w:rsid w:val="00FA66F1"/>
    <w:rsid w:val="00FA7BBD"/>
    <w:rsid w:val="00FB5308"/>
    <w:rsid w:val="00FB5647"/>
    <w:rsid w:val="00FC378B"/>
    <w:rsid w:val="00FC3977"/>
    <w:rsid w:val="00FC4C91"/>
    <w:rsid w:val="00FD2566"/>
    <w:rsid w:val="00FD25C7"/>
    <w:rsid w:val="00FD2F16"/>
    <w:rsid w:val="00FD2F54"/>
    <w:rsid w:val="00FD3078"/>
    <w:rsid w:val="00FD5EB1"/>
    <w:rsid w:val="00FD6065"/>
    <w:rsid w:val="00FE1D34"/>
    <w:rsid w:val="00FE244F"/>
    <w:rsid w:val="00FE2A6F"/>
    <w:rsid w:val="00FF2C98"/>
    <w:rsid w:val="00FF418D"/>
    <w:rsid w:val="00FF6538"/>
    <w:rsid w:val="155F286D"/>
    <w:rsid w:val="21B81D79"/>
    <w:rsid w:val="337360C4"/>
    <w:rsid w:val="44205725"/>
    <w:rsid w:val="6FADB5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ind w:left="992" w:hanging="425"/>
    </w:pPr>
    <w:rPr>
      <w:color w:val="000000" w:themeColor="text1"/>
      <w:sz w:val="22"/>
    </w:rPr>
  </w:style>
  <w:style w:type="paragraph" w:customStyle="1" w:styleId="Bullet2">
    <w:name w:val="Bullet 2"/>
    <w:basedOn w:val="Normal"/>
    <w:link w:val="Bullet2Char"/>
    <w:qFormat/>
    <w:rsid w:val="000B1A90"/>
    <w:pPr>
      <w:numPr>
        <w:numId w:val="29"/>
      </w:numPr>
      <w:spacing w:after="120"/>
      <w:ind w:left="1417"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character" w:styleId="UnresolvedMention">
    <w:name w:val="Unresolved Mention"/>
    <w:basedOn w:val="DefaultParagraphFont"/>
    <w:uiPriority w:val="99"/>
    <w:semiHidden/>
    <w:unhideWhenUsed/>
    <w:rsid w:val="005549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www.iala-aism.org/wiki/dictionary" TargetMode="Externa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masterplandiwa.eu/"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2.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06022411-6e02-423b-85fd-39e0748b9219">
      <UserInfo>
        <DisplayName/>
        <AccountId xsi:nil="true"/>
        <AccountType/>
      </UserInfo>
    </SharedWithUsers>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2.xml><?xml version="1.0" encoding="utf-8"?>
<ds:datastoreItem xmlns:ds="http://schemas.openxmlformats.org/officeDocument/2006/customXml" ds:itemID="{0BBBC106-6F60-4507-930C-524BE8DE21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06022411-6e02-423b-85fd-39e0748b9219"/>
    <ds:schemaRef ds:uri="ac5f8115-f13f-4d01-aff4-515a67108c33"/>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0</TotalTime>
  <Pages>8</Pages>
  <Words>1151</Words>
  <Characters>6566</Characters>
  <Application>Microsoft Office Word</Application>
  <DocSecurity>0</DocSecurity>
  <Lines>54</Lines>
  <Paragraphs>15</Paragraphs>
  <ScaleCrop>false</ScaleCrop>
  <Manager>IALA</Manager>
  <Company>IALA</Company>
  <LinksUpToDate>false</LinksUpToDate>
  <CharactersWithSpaces>7702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Jaime Alvarez</cp:lastModifiedBy>
  <cp:revision>308</cp:revision>
  <cp:lastPrinted>2020-11-25T08:30:00Z</cp:lastPrinted>
  <dcterms:created xsi:type="dcterms:W3CDTF">2024-01-15T10:22:00Z</dcterms:created>
  <dcterms:modified xsi:type="dcterms:W3CDTF">2024-02-19T10:32:00Z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0x0101006326069263449545A2FCB64C90E6E541</vt:lpwstr>
  </property>
  <property fmtid="{D5CDD505-2E9C-101B-9397-08002B2CF9AE}" pid="3" name="Order">
    <vt:r8>3135400</vt:r8>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ediaServiceImageTags">
    <vt:lpwstr/>
  </property>
</Properties>
</file>