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4322B" w14:textId="41A620D7" w:rsidR="000B073D" w:rsidRDefault="00E77C0B">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ARM20-8.4.3</w:t>
      </w:r>
    </w:p>
    <w:p w14:paraId="0954322C" w14:textId="77777777" w:rsidR="000B073D" w:rsidRDefault="000B073D">
      <w:pPr>
        <w:pStyle w:val="BodyText"/>
        <w:tabs>
          <w:tab w:val="left" w:pos="2835"/>
        </w:tabs>
        <w:rPr>
          <w:rFonts w:ascii="Calibri" w:hAnsi="Calibri"/>
        </w:rPr>
      </w:pPr>
    </w:p>
    <w:p w14:paraId="0954322D" w14:textId="77777777" w:rsidR="000B073D" w:rsidRDefault="00E77C0B">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0954322E" w14:textId="77777777" w:rsidR="000B073D" w:rsidRDefault="00E77C0B">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0954322F" w14:textId="77777777" w:rsidR="000B073D" w:rsidRDefault="00E77C0B">
      <w:pPr>
        <w:pStyle w:val="BodyText"/>
        <w:tabs>
          <w:tab w:val="left" w:pos="1843"/>
        </w:tabs>
        <w:rPr>
          <w:rFonts w:ascii="Calibri" w:hAnsi="Calibri" w:cs="Arial"/>
          <w:b/>
        </w:rPr>
      </w:pPr>
      <w:r>
        <w:rPr>
          <w:rFonts w:ascii="Calibri" w:hAnsi="Calibri" w:cs="Arial" w:hint="eastAsia"/>
          <w:b/>
          <w:sz w:val="24"/>
          <w:szCs w:val="24"/>
        </w:rPr>
        <w:t>X</w:t>
      </w:r>
      <w:r>
        <w:rPr>
          <w:rFonts w:ascii="Calibri" w:hAnsi="Calibri" w:cs="Arial" w:hint="eastAsia"/>
          <w:b/>
          <w:sz w:val="24"/>
          <w:szCs w:val="24"/>
          <w:lang w:val="en-US" w:eastAsia="zh-CN"/>
        </w:rPr>
        <w:t xml:space="preserve">  </w:t>
      </w:r>
      <w:r>
        <w:rPr>
          <w:rFonts w:ascii="Calibri" w:hAnsi="Calibri" w:cs="Arial"/>
        </w:rPr>
        <w:t>ARM</w:t>
      </w:r>
      <w:r>
        <w:rPr>
          <w:rFonts w:ascii="Calibri" w:hAnsi="Calibri" w:cs="Arial"/>
        </w:rPr>
        <w:tab/>
      </w:r>
      <w:sdt>
        <w:sdtPr>
          <w:rPr>
            <w:rFonts w:ascii="Calibri" w:hAnsi="Calibri" w:cs="Arial"/>
            <w:b/>
            <w:sz w:val="24"/>
            <w:szCs w:val="24"/>
          </w:rPr>
          <w:id w:val="147478650"/>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147465408"/>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hint="eastAsia"/>
          <w:sz w:val="24"/>
          <w:szCs w:val="24"/>
          <w:lang w:val="en-US" w:eastAsia="zh-CN"/>
        </w:rPr>
        <w:t xml:space="preserve">             </w:t>
      </w:r>
      <w:r>
        <w:rPr>
          <w:rFonts w:ascii="Calibri" w:hAnsi="Calibri" w:cs="Arial" w:hint="eastAsia"/>
          <w:b/>
          <w:sz w:val="24"/>
          <w:szCs w:val="24"/>
          <w:lang w:eastAsia="zh-CN"/>
        </w:rPr>
        <w:t>☑</w:t>
      </w:r>
      <w:r>
        <w:rPr>
          <w:rFonts w:ascii="Calibri" w:hAnsi="Calibri" w:cs="Arial"/>
          <w:sz w:val="24"/>
          <w:szCs w:val="24"/>
        </w:rPr>
        <w:t xml:space="preserve"> Input</w:t>
      </w:r>
    </w:p>
    <w:p w14:paraId="09543230" w14:textId="77777777" w:rsidR="000B073D" w:rsidRDefault="00E77C0B">
      <w:pPr>
        <w:pStyle w:val="BodyText"/>
        <w:tabs>
          <w:tab w:val="left" w:pos="1843"/>
        </w:tabs>
        <w:rPr>
          <w:rFonts w:ascii="Calibri" w:hAnsi="Calibri"/>
        </w:rPr>
      </w:pPr>
      <w:sdt>
        <w:sdtPr>
          <w:rPr>
            <w:rFonts w:ascii="Calibri" w:hAnsi="Calibri" w:cs="Arial"/>
            <w:b/>
            <w:sz w:val="24"/>
            <w:szCs w:val="24"/>
          </w:rPr>
          <w:id w:val="147462760"/>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DTEC</w:t>
      </w:r>
      <w:r>
        <w:rPr>
          <w:rFonts w:ascii="Calibri" w:hAnsi="Calibri" w:cs="Arial"/>
          <w:b/>
        </w:rPr>
        <w:tab/>
      </w:r>
      <w:sdt>
        <w:sdtPr>
          <w:rPr>
            <w:rFonts w:ascii="Calibri" w:hAnsi="Calibri" w:cs="Arial"/>
            <w:b/>
          </w:rPr>
          <w:id w:val="147469970"/>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VTS</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hint="eastAsia"/>
          <w:lang w:val="en-US" w:eastAsia="zh-CN"/>
        </w:rPr>
        <w:t xml:space="preserve">              </w:t>
      </w:r>
      <w:sdt>
        <w:sdtPr>
          <w:rPr>
            <w:rFonts w:ascii="Calibri" w:hAnsi="Calibri" w:cs="Arial"/>
            <w:b/>
          </w:rPr>
          <w:id w:val="147457278"/>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Information</w:t>
      </w:r>
    </w:p>
    <w:p w14:paraId="09543231" w14:textId="77777777" w:rsidR="000B073D" w:rsidRDefault="000B073D">
      <w:pPr>
        <w:pStyle w:val="BodyText"/>
        <w:tabs>
          <w:tab w:val="left" w:pos="2835"/>
        </w:tabs>
        <w:rPr>
          <w:rFonts w:ascii="Calibri" w:hAnsi="Calibri"/>
        </w:rPr>
      </w:pPr>
    </w:p>
    <w:p w14:paraId="09543232" w14:textId="5118FF08" w:rsidR="000B073D" w:rsidRDefault="00E77C0B">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t>8.4</w:t>
      </w:r>
    </w:p>
    <w:p w14:paraId="09543233" w14:textId="77777777" w:rsidR="000B073D" w:rsidRDefault="00E77C0B">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7.1.8</w:t>
      </w:r>
    </w:p>
    <w:p w14:paraId="09543234" w14:textId="77777777" w:rsidR="000B073D" w:rsidRDefault="00E77C0B">
      <w:pPr>
        <w:pStyle w:val="BodyText"/>
        <w:tabs>
          <w:tab w:val="left" w:pos="2835"/>
        </w:tabs>
        <w:rPr>
          <w:rFonts w:ascii="Calibri" w:hAnsi="Calibri"/>
          <w:color w:val="FF0000"/>
          <w:lang w:val="en-US" w:eastAsia="zh-CN"/>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hint="eastAsia"/>
          <w:lang w:eastAsia="zh-CN"/>
        </w:rPr>
        <w:t>CHINA MSA</w:t>
      </w:r>
    </w:p>
    <w:p w14:paraId="09543235" w14:textId="77777777" w:rsidR="000B073D" w:rsidRDefault="000B073D">
      <w:pPr>
        <w:pStyle w:val="BodyText"/>
        <w:tabs>
          <w:tab w:val="left" w:pos="2835"/>
        </w:tabs>
        <w:rPr>
          <w:rFonts w:ascii="Calibri" w:hAnsi="Calibri"/>
        </w:rPr>
      </w:pPr>
    </w:p>
    <w:p w14:paraId="09543236" w14:textId="77777777" w:rsidR="000B073D" w:rsidRDefault="00E77C0B">
      <w:pPr>
        <w:pStyle w:val="Title"/>
      </w:pPr>
      <w:r>
        <w:rPr>
          <w:rFonts w:ascii="Calibri" w:hAnsi="Calibri"/>
          <w:color w:val="0070C0"/>
        </w:rPr>
        <w:t xml:space="preserve">Proposal for revision of </w:t>
      </w:r>
      <w:r>
        <w:rPr>
          <w:rFonts w:ascii="Calibri" w:hAnsi="Calibri" w:hint="eastAsia"/>
          <w:color w:val="0070C0"/>
          <w:lang w:val="en-US" w:eastAsia="zh-CN"/>
        </w:rPr>
        <w:t xml:space="preserve">Guideline </w:t>
      </w:r>
      <w:r>
        <w:rPr>
          <w:rFonts w:ascii="Calibri" w:hAnsi="Calibri"/>
          <w:color w:val="0070C0"/>
        </w:rPr>
        <w:t>G1106</w:t>
      </w:r>
      <w:r>
        <w:rPr>
          <w:rFonts w:hint="eastAsia"/>
        </w:rPr>
        <w:t xml:space="preserve"> </w:t>
      </w:r>
    </w:p>
    <w:p w14:paraId="09543237" w14:textId="77777777" w:rsidR="000B073D" w:rsidRDefault="00E77C0B">
      <w:pPr>
        <w:pStyle w:val="Heading1"/>
      </w:pPr>
      <w:r>
        <w:t>Summary</w:t>
      </w:r>
    </w:p>
    <w:p w14:paraId="09543238" w14:textId="77777777" w:rsidR="000B073D" w:rsidRDefault="00E77C0B">
      <w:pPr>
        <w:pStyle w:val="BodyText"/>
        <w:rPr>
          <w:rFonts w:ascii="Calibri" w:hAnsi="Calibri"/>
          <w:lang w:eastAsia="zh-CN"/>
        </w:rPr>
      </w:pPr>
      <w:r>
        <w:rPr>
          <w:rFonts w:ascii="Calibri" w:hAnsi="Calibri"/>
        </w:rPr>
        <w:t>This</w:t>
      </w:r>
      <w:r>
        <w:rPr>
          <w:rFonts w:ascii="Calibri" w:hAnsi="Calibri" w:hint="eastAsia"/>
        </w:rPr>
        <w:t xml:space="preserve"> proposal </w:t>
      </w:r>
      <w:r>
        <w:rPr>
          <w:rFonts w:ascii="Calibri" w:hAnsi="Calibri"/>
        </w:rPr>
        <w:t xml:space="preserve">proposes revisions to G1106 from the aspects of edition amendments management and review </w:t>
      </w:r>
      <w:r>
        <w:rPr>
          <w:rFonts w:ascii="Calibri" w:hAnsi="Calibri"/>
        </w:rPr>
        <w:t>cycle,</w:t>
      </w:r>
      <w:r>
        <w:rPr>
          <w:rFonts w:ascii="Calibri" w:hAnsi="Calibri" w:hint="eastAsia"/>
        </w:rPr>
        <w:t xml:space="preserve"> </w:t>
      </w:r>
      <w:r>
        <w:rPr>
          <w:rFonts w:ascii="Calibri" w:hAnsi="Calibri"/>
        </w:rPr>
        <w:t>three key technical evaluation indicators and technical contents related to MRN and CamelCase of the S-200 domain product specifications.</w:t>
      </w:r>
    </w:p>
    <w:p w14:paraId="09543239" w14:textId="77777777" w:rsidR="000B073D" w:rsidRDefault="00E77C0B">
      <w:pPr>
        <w:pStyle w:val="Heading2"/>
      </w:pPr>
      <w:r>
        <w:t>Purpose of the document</w:t>
      </w:r>
    </w:p>
    <w:p w14:paraId="0954323A" w14:textId="77777777" w:rsidR="000B073D" w:rsidRDefault="00E77C0B">
      <w:pPr>
        <w:pStyle w:val="BodyText"/>
        <w:rPr>
          <w:rFonts w:ascii="Calibri" w:hAnsi="Calibri"/>
          <w:lang w:eastAsia="zh-CN"/>
        </w:rPr>
      </w:pPr>
      <w:r>
        <w:rPr>
          <w:rFonts w:ascii="Calibri" w:hAnsi="Calibri"/>
        </w:rPr>
        <w:t>The purpose of this document is to provide input for the ARM committee to Review Guideline G1106 on producing an IALA S-200 series Product Specification (ARM-7.1.8).</w:t>
      </w:r>
      <w:r>
        <w:rPr>
          <w:rFonts w:hint="eastAsia"/>
        </w:rPr>
        <w:t xml:space="preserve"> </w:t>
      </w:r>
    </w:p>
    <w:p w14:paraId="0954323B" w14:textId="77777777" w:rsidR="000B073D" w:rsidRDefault="00E77C0B">
      <w:pPr>
        <w:pStyle w:val="Heading2"/>
      </w:pPr>
      <w:r>
        <w:t>Related documents</w:t>
      </w:r>
    </w:p>
    <w:p w14:paraId="0954323C" w14:textId="77777777" w:rsidR="000B073D" w:rsidRDefault="00E77C0B">
      <w:pPr>
        <w:pStyle w:val="BodyText"/>
        <w:rPr>
          <w:rFonts w:ascii="Calibri" w:hAnsi="Calibri"/>
          <w:b/>
          <w:bCs/>
          <w:lang w:val="en-US" w:eastAsia="zh-CN"/>
        </w:rPr>
      </w:pPr>
      <w:bookmarkStart w:id="1" w:name="_Hlk186816803"/>
      <w:r>
        <w:rPr>
          <w:rFonts w:ascii="Calibri" w:hAnsi="Calibri"/>
        </w:rPr>
        <w:t>[1]</w:t>
      </w:r>
      <w:r>
        <w:rPr>
          <w:rFonts w:ascii="Calibri" w:hAnsi="Calibri"/>
        </w:rPr>
        <w:tab/>
      </w:r>
      <w:bookmarkEnd w:id="1"/>
      <w:r>
        <w:rPr>
          <w:rFonts w:ascii="Calibri" w:hAnsi="Calibri"/>
          <w:lang w:val="en-US" w:eastAsia="zh-CN"/>
        </w:rPr>
        <w:t>IALA ARM19-5.1.1 Task Plan 2023-2027 updated</w:t>
      </w:r>
    </w:p>
    <w:p w14:paraId="0954323D" w14:textId="77777777" w:rsidR="000B073D" w:rsidRDefault="00E77C0B">
      <w:pPr>
        <w:pStyle w:val="BodyText"/>
        <w:rPr>
          <w:rFonts w:ascii="Calibri" w:hAnsi="Calibri"/>
          <w:lang w:val="en-US" w:eastAsia="zh-CN"/>
        </w:rPr>
      </w:pPr>
      <w:r>
        <w:rPr>
          <w:rFonts w:ascii="Calibri" w:hAnsi="Calibri"/>
        </w:rPr>
        <w:t>[2]</w:t>
      </w:r>
      <w:r>
        <w:rPr>
          <w:rFonts w:ascii="Calibri" w:hAnsi="Calibri"/>
        </w:rPr>
        <w:tab/>
      </w:r>
      <w:r>
        <w:rPr>
          <w:rFonts w:ascii="Calibri" w:hAnsi="Calibri"/>
          <w:lang w:val="en-US" w:eastAsia="zh-CN"/>
        </w:rPr>
        <w:t>IALA</w:t>
      </w:r>
      <w:r>
        <w:rPr>
          <w:rFonts w:ascii="Calibri" w:hAnsi="Calibri" w:hint="eastAsia"/>
          <w:b/>
          <w:bCs/>
          <w:lang w:val="en-US" w:eastAsia="zh-CN"/>
        </w:rPr>
        <w:t xml:space="preserve"> </w:t>
      </w:r>
      <w:r>
        <w:rPr>
          <w:rFonts w:ascii="Calibri" w:hAnsi="Calibri"/>
          <w:lang w:val="en-US" w:eastAsia="zh-CN"/>
        </w:rPr>
        <w:t>G1106</w:t>
      </w:r>
      <w:r>
        <w:rPr>
          <w:rFonts w:ascii="Calibri" w:hAnsi="Calibri" w:hint="eastAsia"/>
          <w:lang w:val="en-US" w:eastAsia="zh-CN"/>
        </w:rPr>
        <w:t xml:space="preserve"> </w:t>
      </w:r>
      <w:r>
        <w:rPr>
          <w:rFonts w:ascii="Calibri" w:hAnsi="Calibri"/>
          <w:lang w:val="en-US" w:eastAsia="zh-CN"/>
        </w:rPr>
        <w:t>PRODUCING AN IALA S-200 SERIES PRODUCT SPECIFICATION</w:t>
      </w:r>
      <w:r>
        <w:rPr>
          <w:rFonts w:ascii="Calibri" w:hAnsi="Calibri" w:hint="eastAsia"/>
          <w:lang w:val="en-US" w:eastAsia="zh-CN"/>
        </w:rPr>
        <w:t xml:space="preserve"> </w:t>
      </w:r>
      <w:r>
        <w:rPr>
          <w:rFonts w:ascii="Calibri" w:hAnsi="Calibri"/>
          <w:lang w:val="en-US" w:eastAsia="zh-CN"/>
        </w:rPr>
        <w:t xml:space="preserve">Edition </w:t>
      </w:r>
      <w:r>
        <w:rPr>
          <w:rFonts w:ascii="Calibri" w:hAnsi="Calibri" w:hint="eastAsia"/>
          <w:lang w:val="en-US" w:eastAsia="zh-CN"/>
        </w:rPr>
        <w:t>2</w:t>
      </w:r>
      <w:r>
        <w:rPr>
          <w:rFonts w:ascii="Calibri" w:hAnsi="Calibri"/>
          <w:lang w:val="en-US" w:eastAsia="zh-CN"/>
        </w:rPr>
        <w:t>.1</w:t>
      </w:r>
    </w:p>
    <w:p w14:paraId="0954323E" w14:textId="77777777" w:rsidR="000B073D" w:rsidRDefault="00E77C0B">
      <w:pPr>
        <w:pStyle w:val="BodyText"/>
        <w:rPr>
          <w:rFonts w:ascii="Calibri" w:hAnsi="Calibri"/>
        </w:rPr>
      </w:pPr>
      <w:r>
        <w:rPr>
          <w:rFonts w:ascii="Calibri" w:hAnsi="Calibri"/>
        </w:rPr>
        <w:t>[3]</w:t>
      </w:r>
      <w:r>
        <w:rPr>
          <w:rFonts w:ascii="Calibri" w:hAnsi="Calibri"/>
        </w:rPr>
        <w:tab/>
        <w:t>IHO M3-E</w:t>
      </w:r>
      <w:r>
        <w:rPr>
          <w:rFonts w:asciiTheme="minorHAnsi" w:hAnsiTheme="minorHAnsi" w:cstheme="minorHAnsi"/>
          <w:b/>
          <w:color w:val="0070C0"/>
          <w:sz w:val="24"/>
          <w:szCs w:val="24"/>
          <w:lang w:val="en-US" w:eastAsia="zh-CN"/>
        </w:rPr>
        <w:t xml:space="preserve"> </w:t>
      </w:r>
      <w:r>
        <w:rPr>
          <w:rFonts w:ascii="Calibri" w:hAnsi="Calibri"/>
        </w:rPr>
        <w:t xml:space="preserve">Resolution 2/2007 as amended </w:t>
      </w:r>
      <w:r>
        <w:rPr>
          <w:rFonts w:ascii="Calibri" w:hAnsi="Calibri"/>
          <w:lang w:val="en-US" w:eastAsia="zh-CN"/>
        </w:rPr>
        <w:t>RINCIPLES AND PROCEDURES FOR MAKING CHANGES TO IHO TECHNICAL STANDARDS AND SPECIFICATIONS</w:t>
      </w:r>
    </w:p>
    <w:p w14:paraId="0954323F" w14:textId="77777777" w:rsidR="000B073D" w:rsidRDefault="00E77C0B">
      <w:pPr>
        <w:pStyle w:val="BodyText"/>
        <w:rPr>
          <w:rFonts w:ascii="Calibri" w:hAnsi="Calibri"/>
          <w:lang w:val="en-US" w:eastAsia="zh-CN"/>
        </w:rPr>
      </w:pPr>
      <w:bookmarkStart w:id="2" w:name="_Hlk190698916"/>
      <w:r>
        <w:rPr>
          <w:rFonts w:ascii="Calibri" w:hAnsi="Calibri"/>
        </w:rPr>
        <w:t>[4]</w:t>
      </w:r>
      <w:r>
        <w:rPr>
          <w:rFonts w:ascii="Calibri" w:hAnsi="Calibri"/>
        </w:rPr>
        <w:tab/>
      </w:r>
      <w:bookmarkEnd w:id="2"/>
      <w:r>
        <w:rPr>
          <w:rFonts w:ascii="Calibri" w:hAnsi="Calibri"/>
          <w:lang w:val="en-US" w:eastAsia="zh-CN"/>
        </w:rPr>
        <w:t>IHO S-97 IHO Guidelines for Creating S-100 Product Specifications Edition 1.1</w:t>
      </w:r>
    </w:p>
    <w:p w14:paraId="09543240" w14:textId="77777777" w:rsidR="000B073D" w:rsidRDefault="00E77C0B">
      <w:pPr>
        <w:pStyle w:val="BodyText"/>
        <w:rPr>
          <w:rFonts w:ascii="Calibri" w:hAnsi="Calibri"/>
          <w:lang w:val="en-US" w:eastAsia="zh-CN"/>
        </w:rPr>
      </w:pPr>
      <w:r>
        <w:rPr>
          <w:rFonts w:ascii="Calibri" w:hAnsi="Calibri"/>
        </w:rPr>
        <w:t>[5]</w:t>
      </w:r>
      <w:r>
        <w:rPr>
          <w:rFonts w:ascii="Calibri" w:hAnsi="Calibri"/>
        </w:rPr>
        <w:tab/>
      </w:r>
      <w:r>
        <w:rPr>
          <w:rFonts w:ascii="Calibri" w:hAnsi="Calibri"/>
          <w:lang w:val="en-US" w:eastAsia="zh-CN"/>
        </w:rPr>
        <w:t>IHO S-98 Data Product Interoperability in S-100 Navigation Systems Edition 1.0</w:t>
      </w:r>
    </w:p>
    <w:p w14:paraId="09543241" w14:textId="77777777" w:rsidR="000B073D" w:rsidRDefault="00E77C0B">
      <w:pPr>
        <w:pStyle w:val="BodyText"/>
        <w:rPr>
          <w:rFonts w:ascii="Calibri" w:hAnsi="Calibri"/>
          <w:lang w:val="en-US" w:eastAsia="zh-CN"/>
        </w:rPr>
      </w:pPr>
      <w:r>
        <w:rPr>
          <w:rFonts w:ascii="Calibri" w:hAnsi="Calibri"/>
        </w:rPr>
        <w:t>[6]</w:t>
      </w:r>
      <w:r>
        <w:rPr>
          <w:rFonts w:ascii="Calibri" w:hAnsi="Calibri"/>
        </w:rPr>
        <w:tab/>
      </w:r>
      <w:bookmarkStart w:id="3" w:name="_Hlk190698984"/>
      <w:r>
        <w:rPr>
          <w:rFonts w:ascii="Calibri" w:hAnsi="Calibri"/>
          <w:lang w:val="en-US" w:eastAsia="zh-CN"/>
        </w:rPr>
        <w:t>IALA</w:t>
      </w:r>
      <w:r>
        <w:rPr>
          <w:rFonts w:ascii="Calibri" w:hAnsi="Calibri"/>
        </w:rPr>
        <w:t xml:space="preserve"> </w:t>
      </w:r>
      <w:r>
        <w:rPr>
          <w:rFonts w:ascii="Calibri" w:hAnsi="Calibri"/>
          <w:lang w:val="en-US" w:eastAsia="zh-CN"/>
        </w:rPr>
        <w:t>ARM18-8.4.1 Liaison Note to ARM on S-200</w:t>
      </w:r>
      <w:bookmarkEnd w:id="3"/>
    </w:p>
    <w:p w14:paraId="09543242" w14:textId="77777777" w:rsidR="000B073D" w:rsidRDefault="00E77C0B">
      <w:pPr>
        <w:pStyle w:val="BodyText"/>
        <w:rPr>
          <w:rFonts w:ascii="Calibri" w:hAnsi="Calibri"/>
          <w:lang w:val="en-US" w:eastAsia="zh-CN"/>
        </w:rPr>
      </w:pPr>
      <w:r>
        <w:rPr>
          <w:rFonts w:ascii="Calibri" w:hAnsi="Calibri"/>
        </w:rPr>
        <w:t>[7]</w:t>
      </w:r>
      <w:r>
        <w:rPr>
          <w:rFonts w:ascii="Calibri" w:hAnsi="Calibri"/>
        </w:rPr>
        <w:tab/>
      </w:r>
      <w:r>
        <w:rPr>
          <w:rFonts w:ascii="Calibri" w:hAnsi="Calibri"/>
          <w:lang w:val="en-US" w:eastAsia="zh-CN"/>
        </w:rPr>
        <w:t>IALA</w:t>
      </w:r>
      <w:r>
        <w:rPr>
          <w:rFonts w:ascii="Calibri" w:hAnsi="Calibri" w:hint="eastAsia"/>
          <w:b/>
          <w:bCs/>
          <w:lang w:val="en-US" w:eastAsia="zh-CN"/>
        </w:rPr>
        <w:t xml:space="preserve"> </w:t>
      </w:r>
      <w:r>
        <w:rPr>
          <w:rFonts w:ascii="Calibri" w:hAnsi="Calibri" w:hint="eastAsia"/>
          <w:lang w:val="en-US" w:eastAsia="zh-CN"/>
        </w:rPr>
        <w:t>G11</w:t>
      </w:r>
      <w:r>
        <w:rPr>
          <w:rFonts w:ascii="Calibri" w:hAnsi="Calibri"/>
          <w:lang w:val="en-US" w:eastAsia="zh-CN"/>
        </w:rPr>
        <w:t>43 UNIQUE IDENTIFIERS FOR MARITIME RESOURCES Edition 3.1</w:t>
      </w:r>
    </w:p>
    <w:p w14:paraId="09543243" w14:textId="77777777" w:rsidR="000B073D" w:rsidRDefault="00E77C0B">
      <w:pPr>
        <w:pStyle w:val="BodyText"/>
        <w:rPr>
          <w:rFonts w:ascii="Calibri" w:hAnsi="Calibri"/>
          <w:lang w:val="en-US" w:eastAsia="zh-CN"/>
        </w:rPr>
      </w:pPr>
      <w:r>
        <w:rPr>
          <w:rFonts w:ascii="Calibri" w:hAnsi="Calibri"/>
        </w:rPr>
        <w:lastRenderedPageBreak/>
        <w:t>[8]</w:t>
      </w:r>
      <w:r>
        <w:rPr>
          <w:rFonts w:ascii="Calibri" w:hAnsi="Calibri"/>
        </w:rPr>
        <w:tab/>
      </w:r>
      <w:r>
        <w:rPr>
          <w:rFonts w:ascii="Calibri" w:hAnsi="Calibri"/>
          <w:lang w:val="en-US" w:eastAsia="zh-CN"/>
        </w:rPr>
        <w:t>IALA</w:t>
      </w:r>
      <w:r>
        <w:rPr>
          <w:rFonts w:ascii="Calibri" w:hAnsi="Calibri"/>
          <w:b/>
          <w:bCs/>
          <w:lang w:val="en-US" w:eastAsia="zh-CN"/>
        </w:rPr>
        <w:t xml:space="preserve"> </w:t>
      </w:r>
      <w:r>
        <w:rPr>
          <w:rFonts w:ascii="Calibri" w:hAnsi="Calibri"/>
          <w:lang w:val="en-US" w:eastAsia="zh-CN"/>
        </w:rPr>
        <w:t>G1164 MANAGEMENT OF MARITIME RESOURCE NAME ORGANISATION IDENTIFIERS Edition 1.1</w:t>
      </w:r>
    </w:p>
    <w:p w14:paraId="09543244" w14:textId="77777777" w:rsidR="000B073D" w:rsidRDefault="00E77C0B">
      <w:pPr>
        <w:pStyle w:val="Heading1"/>
      </w:pPr>
      <w:r>
        <w:t>Background</w:t>
      </w:r>
    </w:p>
    <w:p w14:paraId="09543245" w14:textId="77777777" w:rsidR="000B073D" w:rsidRDefault="00E77C0B">
      <w:pPr>
        <w:pStyle w:val="BodyText"/>
        <w:rPr>
          <w:rFonts w:ascii="Calibri" w:hAnsi="Calibri"/>
          <w:lang w:val="en-US" w:eastAsia="zh-CN"/>
        </w:rPr>
      </w:pPr>
      <w:r>
        <w:rPr>
          <w:rFonts w:ascii="Calibri" w:hAnsi="Calibri"/>
          <w:lang w:val="en-US" w:eastAsia="zh-CN"/>
        </w:rPr>
        <w:t>IALA's ARM Committee Work Plan 2023-2027 includes a new task to “Review G1106 on producing an IALA S-200 series Product Specification” (Task 7.1.8), which was initiated in ARM18, receiv</w:t>
      </w:r>
      <w:r>
        <w:rPr>
          <w:rFonts w:ascii="Calibri" w:hAnsi="Calibri" w:hint="eastAsia"/>
          <w:lang w:val="en-US" w:eastAsia="zh-CN"/>
        </w:rPr>
        <w:t>ing</w:t>
      </w:r>
      <w:r>
        <w:rPr>
          <w:rFonts w:ascii="Calibri" w:hAnsi="Calibri"/>
          <w:lang w:val="en-US" w:eastAsia="zh-CN"/>
        </w:rPr>
        <w:t xml:space="preserve"> a liaison letter from the VTS Committee to consider updating the G1106 Guide (ARM18-8.4.1/VTS55-12.3.2)</w:t>
      </w:r>
      <w:r>
        <w:rPr>
          <w:rFonts w:ascii="Calibri" w:hAnsi="Calibri" w:hint="eastAsia"/>
          <w:lang w:val="en-US" w:eastAsia="zh-CN"/>
        </w:rPr>
        <w:t>.</w:t>
      </w:r>
      <w:r>
        <w:rPr>
          <w:rFonts w:ascii="Calibri" w:hAnsi="Calibri"/>
          <w:lang w:val="en-US" w:eastAsia="zh-CN"/>
        </w:rPr>
        <w:t xml:space="preserve"> </w:t>
      </w:r>
      <w:r>
        <w:rPr>
          <w:rFonts w:ascii="Calibri" w:hAnsi="Calibri" w:hint="eastAsia"/>
          <w:lang w:val="en-US" w:eastAsia="zh-CN"/>
        </w:rPr>
        <w:t>N</w:t>
      </w:r>
      <w:r>
        <w:rPr>
          <w:rFonts w:ascii="Calibri" w:hAnsi="Calibri"/>
          <w:lang w:val="en-US" w:eastAsia="zh-CN"/>
        </w:rPr>
        <w:t>o progress was made</w:t>
      </w:r>
      <w:r>
        <w:rPr>
          <w:rFonts w:ascii="Calibri" w:hAnsi="Calibri" w:hint="eastAsia"/>
          <w:lang w:val="en-US" w:eastAsia="zh-CN"/>
        </w:rPr>
        <w:t xml:space="preserve"> in </w:t>
      </w:r>
      <w:r>
        <w:rPr>
          <w:rFonts w:ascii="Calibri" w:hAnsi="Calibri"/>
          <w:lang w:val="en-US" w:eastAsia="zh-CN"/>
        </w:rPr>
        <w:t>ARM18 (ARM18-12.1 9.7 Paragraph 29)</w:t>
      </w:r>
      <w:r>
        <w:rPr>
          <w:rFonts w:ascii="Calibri" w:hAnsi="Calibri" w:hint="eastAsia"/>
          <w:lang w:val="en-US" w:eastAsia="zh-CN"/>
        </w:rPr>
        <w:t>.</w:t>
      </w:r>
      <w:r>
        <w:rPr>
          <w:rFonts w:ascii="Calibri" w:hAnsi="Calibri"/>
          <w:lang w:val="en-US" w:eastAsia="zh-CN"/>
        </w:rPr>
        <w:t xml:space="preserve"> ARM19 considered the draft of ARM19-8.4.1, and there was a general agreement among the task group to keep the G1106 independent and update it as much as possible by referring to the relevant IHO standards. The task is planned to be completed in ARM20,</w:t>
      </w:r>
      <w:r>
        <w:rPr>
          <w:rFonts w:ascii="Calibri" w:hAnsi="Calibri" w:hint="eastAsia"/>
          <w:lang w:val="en-US" w:eastAsia="zh-CN"/>
        </w:rPr>
        <w:t xml:space="preserve"> </w:t>
      </w:r>
      <w:r>
        <w:rPr>
          <w:rFonts w:ascii="Calibri" w:hAnsi="Calibri"/>
          <w:lang w:val="en-US" w:eastAsia="zh-CN"/>
        </w:rPr>
        <w:t>and the participation of Member States in the revision of G1106</w:t>
      </w:r>
      <w:r>
        <w:rPr>
          <w:rFonts w:ascii="Calibri" w:hAnsi="Calibri" w:hint="eastAsia"/>
          <w:lang w:val="en-US" w:eastAsia="zh-CN"/>
        </w:rPr>
        <w:t xml:space="preserve"> is welcomed</w:t>
      </w:r>
      <w:r>
        <w:rPr>
          <w:rFonts w:ascii="Calibri" w:hAnsi="Calibri"/>
          <w:lang w:val="en-US" w:eastAsia="zh-CN"/>
        </w:rPr>
        <w:t>.</w:t>
      </w:r>
      <w:r>
        <w:rPr>
          <w:rFonts w:ascii="Calibri" w:hAnsi="Calibri" w:hint="eastAsia"/>
          <w:lang w:val="en-US" w:eastAsia="zh-CN"/>
        </w:rPr>
        <w:t xml:space="preserve"> </w:t>
      </w:r>
    </w:p>
    <w:p w14:paraId="09543246" w14:textId="77777777" w:rsidR="000B073D" w:rsidRDefault="00E77C0B">
      <w:pPr>
        <w:pStyle w:val="BodyText"/>
        <w:rPr>
          <w:rFonts w:ascii="Calibri" w:hAnsi="Calibri"/>
          <w:lang w:val="en-US" w:eastAsia="zh-CN"/>
        </w:rPr>
      </w:pPr>
      <w:r>
        <w:rPr>
          <w:rFonts w:ascii="Calibri" w:hAnsi="Calibri"/>
          <w:lang w:val="en-US" w:eastAsia="zh-CN"/>
        </w:rPr>
        <w:t>China MSA</w:t>
      </w:r>
      <w:r>
        <w:rPr>
          <w:rFonts w:ascii="Calibri" w:hAnsi="Calibri" w:hint="eastAsia"/>
          <w:lang w:val="en-US" w:eastAsia="zh-CN"/>
        </w:rPr>
        <w:t xml:space="preserve"> </w:t>
      </w:r>
      <w:r>
        <w:rPr>
          <w:rFonts w:ascii="Calibri" w:hAnsi="Calibri"/>
          <w:lang w:val="en-US" w:eastAsia="zh-CN"/>
        </w:rPr>
        <w:t xml:space="preserve">submitted S-97 “IHO Guidelines for Creating S-100 Product Specifications” (Chinese version) to IHO, </w:t>
      </w:r>
      <w:r>
        <w:rPr>
          <w:rFonts w:ascii="Calibri" w:hAnsi="Calibri"/>
          <w:lang w:val="en-US" w:eastAsia="zh-CN"/>
        </w:rPr>
        <w:t xml:space="preserve">has </w:t>
      </w:r>
      <w:r>
        <w:rPr>
          <w:rFonts w:ascii="Calibri" w:hAnsi="Calibri"/>
          <w:lang w:val="en-US" w:eastAsia="zh-CN"/>
        </w:rPr>
        <w:t>continuous</w:t>
      </w:r>
      <w:r>
        <w:rPr>
          <w:rFonts w:ascii="Calibri" w:hAnsi="Calibri" w:hint="eastAsia"/>
          <w:lang w:val="en-US" w:eastAsia="zh-CN"/>
        </w:rPr>
        <w:t>ly</w:t>
      </w:r>
      <w:r>
        <w:rPr>
          <w:rFonts w:ascii="Calibri" w:hAnsi="Calibri"/>
          <w:lang w:val="en-US" w:eastAsia="zh-CN"/>
        </w:rPr>
        <w:t xml:space="preserve"> submitted five proposals of S-212, and played an important role in the drafting of the liaison note of the VTS Committee to ARM18 for updating G1106.</w:t>
      </w:r>
    </w:p>
    <w:p w14:paraId="09543247" w14:textId="77777777" w:rsidR="000B073D" w:rsidRDefault="000B073D">
      <w:pPr>
        <w:pStyle w:val="BodyText"/>
        <w:rPr>
          <w:rFonts w:ascii="Calibri" w:hAnsi="Calibri"/>
          <w:lang w:val="en-US" w:eastAsia="zh-CN"/>
        </w:rPr>
      </w:pPr>
    </w:p>
    <w:p w14:paraId="09543248" w14:textId="77777777" w:rsidR="000B073D" w:rsidRDefault="00E77C0B">
      <w:pPr>
        <w:pStyle w:val="Heading1"/>
      </w:pPr>
      <w:r>
        <w:t>Discussion</w:t>
      </w:r>
    </w:p>
    <w:p w14:paraId="09543249" w14:textId="77777777" w:rsidR="000B073D" w:rsidRDefault="00E77C0B">
      <w:pPr>
        <w:pStyle w:val="Heading2"/>
        <w:tabs>
          <w:tab w:val="clear" w:pos="851"/>
        </w:tabs>
        <w:ind w:left="567" w:hanging="567"/>
        <w:rPr>
          <w:lang w:val="en-US" w:eastAsia="zh-CN"/>
        </w:rPr>
      </w:pPr>
      <w:bookmarkStart w:id="4" w:name="_Hlk170114292"/>
      <w:r>
        <w:rPr>
          <w:lang w:val="en-US" w:eastAsia="zh-CN"/>
        </w:rPr>
        <w:t xml:space="preserve">Suggestions to add the edition amendments  </w:t>
      </w:r>
      <w:r>
        <w:rPr>
          <w:lang w:val="en-US" w:eastAsia="zh-CN"/>
        </w:rPr>
        <w:t>management and review cycle of the S-200 domain product specifications</w:t>
      </w:r>
    </w:p>
    <w:bookmarkEnd w:id="4"/>
    <w:p w14:paraId="0954324A" w14:textId="77777777" w:rsidR="000B073D" w:rsidRDefault="00E77C0B">
      <w:pPr>
        <w:pStyle w:val="List1"/>
        <w:numPr>
          <w:ilvl w:val="0"/>
          <w:numId w:val="0"/>
        </w:numPr>
        <w:rPr>
          <w:rFonts w:ascii="Calibri" w:eastAsia="SimSun" w:hAnsi="Calibri"/>
          <w:lang w:val="en-US" w:eastAsia="zh-CN"/>
        </w:rPr>
      </w:pPr>
      <w:r>
        <w:rPr>
          <w:rFonts w:ascii="Calibri" w:eastAsia="SimSun" w:hAnsi="Calibri"/>
          <w:lang w:val="en-US" w:eastAsia="zh-CN"/>
        </w:rPr>
        <w:t>IHO Resolution 2/2007,</w:t>
      </w:r>
      <w:r>
        <w:t xml:space="preserve"> </w:t>
      </w:r>
      <w:r>
        <w:rPr>
          <w:rFonts w:ascii="Calibri" w:eastAsia="SimSun" w:hAnsi="Calibri"/>
          <w:lang w:val="en-US" w:eastAsia="zh-CN"/>
        </w:rPr>
        <w:t xml:space="preserve">as amended in 2023, sets out a specific process for the development, amendment and approval for Creating S-100 Product Specifications, clarifies that Edition 1.0.0 is designed for initial implementation, testing and evaluation and further stakeholder review. The </w:t>
      </w:r>
      <w:r>
        <w:rPr>
          <w:rFonts w:ascii="Calibri" w:eastAsia="SimSun" w:hAnsi="Calibri" w:hint="eastAsia"/>
          <w:lang w:val="en-US" w:eastAsia="zh-CN"/>
        </w:rPr>
        <w:t>e</w:t>
      </w:r>
      <w:r>
        <w:rPr>
          <w:rFonts w:ascii="Calibri" w:eastAsia="SimSun" w:hAnsi="Calibri"/>
          <w:lang w:val="en-US" w:eastAsia="zh-CN"/>
        </w:rPr>
        <w:t>dition aiming to be released and published for regular use in approved arrangements or for provision of operational services is Edition 2.0.0.</w:t>
      </w:r>
    </w:p>
    <w:p w14:paraId="0954324B" w14:textId="77777777" w:rsidR="000B073D" w:rsidRDefault="00E77C0B">
      <w:pPr>
        <w:pStyle w:val="List1"/>
        <w:numPr>
          <w:ilvl w:val="0"/>
          <w:numId w:val="0"/>
        </w:numPr>
        <w:rPr>
          <w:rFonts w:ascii="Calibri" w:eastAsia="SimSun" w:hAnsi="Calibri"/>
          <w:lang w:val="en-US" w:eastAsia="zh-CN"/>
        </w:rPr>
      </w:pPr>
      <w:r>
        <w:rPr>
          <w:rFonts w:ascii="Calibri" w:eastAsia="SimSun" w:hAnsi="Calibri"/>
          <w:lang w:val="en-US" w:eastAsia="zh-CN"/>
        </w:rPr>
        <w:t>S-97, refines the review cycle for S-100-based product specifications (B5.2) and the review priorities for each development iteration phase (B-23.3)</w:t>
      </w:r>
      <w:r>
        <w:rPr>
          <w:rFonts w:ascii="Calibri" w:eastAsia="SimSun" w:hAnsi="Calibri" w:hint="eastAsia"/>
          <w:lang w:val="en-US" w:eastAsia="zh-CN"/>
        </w:rPr>
        <w:t>.</w:t>
      </w:r>
      <w:r>
        <w:rPr>
          <w:rFonts w:ascii="Calibri" w:eastAsia="SimSun" w:hAnsi="Calibri"/>
          <w:lang w:val="en-US" w:eastAsia="zh-CN"/>
        </w:rPr>
        <w:t xml:space="preserve"> A two-year review period is suggested for new Specifications, which may be increased to five years after the Specification reaches maturity. Clarifications, corrections, and revisions should be designated in accordance with the same criteria used for S-100 as described in S-100 Part 12, Clause 12-2 (Maintenance Procedures).</w:t>
      </w:r>
    </w:p>
    <w:p w14:paraId="0954324C" w14:textId="77777777" w:rsidR="000B073D" w:rsidRDefault="00E77C0B">
      <w:pPr>
        <w:pStyle w:val="List1"/>
        <w:numPr>
          <w:ilvl w:val="0"/>
          <w:numId w:val="0"/>
        </w:numPr>
        <w:rPr>
          <w:rFonts w:ascii="Calibri" w:eastAsia="SimSun" w:hAnsi="Calibri"/>
          <w:lang w:val="en-US" w:eastAsia="zh-CN"/>
        </w:rPr>
      </w:pPr>
      <w:r>
        <w:rPr>
          <w:rFonts w:ascii="Calibri" w:eastAsia="SimSun" w:hAnsi="Calibri"/>
          <w:lang w:val="en-US" w:eastAsia="zh-CN"/>
        </w:rPr>
        <w:t xml:space="preserve">G1106 was released in June 2017 with edition 2.1 and  </w:t>
      </w:r>
      <w:r>
        <w:rPr>
          <w:rFonts w:ascii="Calibri" w:eastAsia="SimSun" w:hAnsi="Calibri"/>
          <w:lang w:val="en-US" w:eastAsia="zh-CN"/>
        </w:rPr>
        <w:t xml:space="preserve">updated </w:t>
      </w:r>
      <w:r>
        <w:rPr>
          <w:rFonts w:ascii="Calibri" w:eastAsia="SimSun" w:hAnsi="Calibri"/>
          <w:lang w:val="en-US" w:eastAsia="zh-CN"/>
        </w:rPr>
        <w:t>with some editorial changes</w:t>
      </w:r>
      <w:r>
        <w:rPr>
          <w:rFonts w:ascii="Calibri" w:eastAsia="SimSun" w:hAnsi="Calibri"/>
          <w:lang w:val="en-US" w:eastAsia="zh-CN"/>
        </w:rPr>
        <w:t xml:space="preserve"> </w:t>
      </w:r>
      <w:r>
        <w:rPr>
          <w:rFonts w:ascii="Calibri" w:eastAsia="SimSun" w:hAnsi="Calibri"/>
          <w:lang w:val="en-US" w:eastAsia="zh-CN"/>
        </w:rPr>
        <w:t>in July 2022.</w:t>
      </w:r>
      <w:r>
        <w:rPr>
          <w:rFonts w:ascii="Calibri" w:eastAsia="SimSun" w:hAnsi="Calibri"/>
          <w:lang w:val="en-US" w:eastAsia="zh-CN"/>
        </w:rPr>
        <w:t xml:space="preserve"> </w:t>
      </w:r>
      <w:r>
        <w:rPr>
          <w:rFonts w:ascii="Calibri" w:eastAsia="SimSun" w:hAnsi="Calibri"/>
          <w:lang w:val="en-US" w:eastAsia="zh-CN"/>
        </w:rPr>
        <w:t>However, IHO did not yet have any S-10X edition 1.0.0 and above product specifications published at that time. IHO S-97 IHO Guidelines for Creating S-100 Product Specifications was released in 2019 as version 1.0, and was updated to version 1.1 in June 2020.</w:t>
      </w:r>
      <w:r>
        <w:rPr>
          <w:rFonts w:ascii="Calibri" w:eastAsia="SimSun" w:hAnsi="Calibri" w:hint="eastAsia"/>
          <w:lang w:val="en-US" w:eastAsia="zh-CN"/>
        </w:rPr>
        <w:t xml:space="preserve"> </w:t>
      </w:r>
      <w:r>
        <w:rPr>
          <w:rFonts w:ascii="Calibri" w:eastAsia="SimSun" w:hAnsi="Calibri"/>
          <w:lang w:val="en-US" w:eastAsia="zh-CN"/>
        </w:rPr>
        <w:t xml:space="preserve">IHO Resolution 2007/2, Principles and Procedures for the Development of IHO Standards and Codes and Changes, </w:t>
      </w:r>
      <w:r>
        <w:rPr>
          <w:rFonts w:ascii="Calibri" w:eastAsia="SimSun" w:hAnsi="Calibri" w:hint="eastAsia"/>
          <w:lang w:val="en-US" w:eastAsia="zh-CN"/>
        </w:rPr>
        <w:t xml:space="preserve">was </w:t>
      </w:r>
      <w:r>
        <w:rPr>
          <w:rFonts w:ascii="Calibri" w:eastAsia="SimSun" w:hAnsi="Calibri"/>
          <w:lang w:val="en-US" w:eastAsia="zh-CN"/>
        </w:rPr>
        <w:t>revised</w:t>
      </w:r>
      <w:r>
        <w:rPr>
          <w:rFonts w:ascii="Calibri" w:eastAsia="SimSun" w:hAnsi="Calibri" w:hint="eastAsia"/>
          <w:lang w:val="en-US" w:eastAsia="zh-CN"/>
        </w:rPr>
        <w:t xml:space="preserve"> on the 3</w:t>
      </w:r>
      <w:r>
        <w:rPr>
          <w:rFonts w:ascii="Calibri" w:eastAsia="SimSun" w:hAnsi="Calibri" w:hint="eastAsia"/>
          <w:vertAlign w:val="superscript"/>
          <w:lang w:val="en-US" w:eastAsia="zh-CN"/>
        </w:rPr>
        <w:t>rd</w:t>
      </w:r>
      <w:r>
        <w:rPr>
          <w:rFonts w:ascii="Calibri" w:eastAsia="SimSun" w:hAnsi="Calibri" w:hint="eastAsia"/>
          <w:lang w:val="en-US" w:eastAsia="zh-CN"/>
        </w:rPr>
        <w:t xml:space="preserve"> </w:t>
      </w:r>
      <w:r>
        <w:rPr>
          <w:rFonts w:ascii="Calibri" w:eastAsia="SimSun" w:hAnsi="Calibri"/>
          <w:lang w:val="en-US" w:eastAsia="zh-CN"/>
        </w:rPr>
        <w:t>A</w:t>
      </w:r>
      <w:r>
        <w:rPr>
          <w:rFonts w:ascii="Calibri" w:eastAsia="SimSun" w:hAnsi="Calibri" w:hint="eastAsia"/>
          <w:lang w:val="en-US" w:eastAsia="zh-CN"/>
        </w:rPr>
        <w:t>ssembly</w:t>
      </w:r>
      <w:r>
        <w:rPr>
          <w:rFonts w:ascii="Calibri" w:eastAsia="SimSun" w:hAnsi="Calibri"/>
          <w:lang w:val="en-US" w:eastAsia="zh-CN"/>
        </w:rPr>
        <w:t xml:space="preserve"> in 2023 to incorporate the IHO S-10X edition 1.0.0 and above p</w:t>
      </w:r>
      <w:r>
        <w:rPr>
          <w:rFonts w:ascii="Calibri" w:eastAsia="SimSun" w:hAnsi="Calibri"/>
          <w:lang w:val="en-US" w:eastAsia="zh-CN"/>
        </w:rPr>
        <w:t>roduct specification</w:t>
      </w:r>
      <w:r>
        <w:rPr>
          <w:rFonts w:ascii="Calibri" w:eastAsia="SimSun" w:hAnsi="Calibri" w:hint="eastAsia"/>
          <w:lang w:val="en-US" w:eastAsia="zh-CN"/>
        </w:rPr>
        <w:t>,</w:t>
      </w:r>
      <w:r>
        <w:rPr>
          <w:rFonts w:ascii="Calibri" w:eastAsia="SimSun" w:hAnsi="Calibri"/>
          <w:lang w:val="en-US" w:eastAsia="zh-CN"/>
        </w:rPr>
        <w:t xml:space="preserve"> add</w:t>
      </w:r>
      <w:r>
        <w:rPr>
          <w:rFonts w:ascii="Calibri" w:eastAsia="SimSun" w:hAnsi="Calibri" w:hint="eastAsia"/>
          <w:lang w:val="en-US" w:eastAsia="zh-CN"/>
        </w:rPr>
        <w:t>ing</w:t>
      </w:r>
      <w:r>
        <w:rPr>
          <w:rFonts w:ascii="Calibri" w:eastAsia="SimSun" w:hAnsi="Calibri"/>
          <w:lang w:val="en-US" w:eastAsia="zh-CN"/>
        </w:rPr>
        <w:t xml:space="preserve"> revision schedule</w:t>
      </w:r>
      <w:r>
        <w:rPr>
          <w:rFonts w:ascii="Calibri" w:eastAsia="SimSun" w:hAnsi="Calibri" w:hint="eastAsia"/>
          <w:lang w:val="en-US" w:eastAsia="zh-CN"/>
        </w:rPr>
        <w:t xml:space="preserve">, </w:t>
      </w:r>
      <w:r>
        <w:rPr>
          <w:rFonts w:ascii="Calibri" w:eastAsia="SimSun" w:hAnsi="Calibri"/>
          <w:lang w:val="en-US" w:eastAsia="zh-CN"/>
        </w:rPr>
        <w:t>change management and review cycle for edition 1.0.0 to 2.0.0.</w:t>
      </w:r>
    </w:p>
    <w:p w14:paraId="0954324D" w14:textId="77777777" w:rsidR="000B073D" w:rsidRDefault="00E77C0B">
      <w:pPr>
        <w:pStyle w:val="List1"/>
        <w:numPr>
          <w:ilvl w:val="0"/>
          <w:numId w:val="0"/>
        </w:numPr>
        <w:rPr>
          <w:rFonts w:ascii="Calibri" w:eastAsia="SimSun" w:hAnsi="Calibri"/>
          <w:lang w:val="en-US" w:eastAsia="zh-CN"/>
        </w:rPr>
      </w:pPr>
      <w:r>
        <w:rPr>
          <w:rFonts w:ascii="Calibri" w:eastAsia="SimSun" w:hAnsi="Calibri"/>
          <w:lang w:val="en-US" w:eastAsia="zh-CN"/>
        </w:rPr>
        <w:t>Considering that nine product specifications in IALA domains S-201/211/211/212/230/240/245/246/247 have not been released as official edition 1.0.0 and above, such as the S-211 port report, which was completed as early as January 2018 as a draft of edition 1.0.0 and has not been officially released</w:t>
      </w:r>
      <w:r>
        <w:rPr>
          <w:rFonts w:ascii="Calibri" w:eastAsia="SimSun" w:hAnsi="Calibri" w:hint="eastAsia"/>
          <w:lang w:val="en-US" w:eastAsia="zh-CN"/>
        </w:rPr>
        <w:t xml:space="preserve"> yet</w:t>
      </w:r>
      <w:r>
        <w:rPr>
          <w:rFonts w:ascii="Calibri" w:eastAsia="SimSun" w:hAnsi="Calibri"/>
          <w:lang w:val="en-US" w:eastAsia="zh-CN"/>
        </w:rPr>
        <w:t>, it is suggested that this revision of G1106 can make reference to the above text. Add S-200 domain product specification edition amendments management and review cycle related content.</w:t>
      </w:r>
    </w:p>
    <w:p w14:paraId="0954324E" w14:textId="77777777" w:rsidR="000B073D" w:rsidRDefault="000B073D">
      <w:pPr>
        <w:pStyle w:val="List1"/>
        <w:numPr>
          <w:ilvl w:val="0"/>
          <w:numId w:val="0"/>
        </w:numPr>
        <w:jc w:val="center"/>
        <w:rPr>
          <w:rFonts w:ascii="Calibri" w:eastAsia="SimSun" w:hAnsi="Calibri"/>
          <w:lang w:val="en-US" w:eastAsia="zh-CN"/>
        </w:rPr>
      </w:pPr>
    </w:p>
    <w:p w14:paraId="0954324F" w14:textId="77777777" w:rsidR="000B073D" w:rsidRDefault="00E77C0B">
      <w:pPr>
        <w:pStyle w:val="Heading2"/>
        <w:rPr>
          <w:lang w:val="en-US" w:eastAsia="zh-CN"/>
        </w:rPr>
      </w:pPr>
      <w:r>
        <w:rPr>
          <w:lang w:val="en-US" w:eastAsia="zh-CN"/>
        </w:rPr>
        <w:lastRenderedPageBreak/>
        <w:t>Suggestions to add the three key technical evaluation indicators of the S-200 domain product specification</w:t>
      </w:r>
      <w:r>
        <w:rPr>
          <w:rFonts w:hint="eastAsia"/>
          <w:lang w:val="en-US" w:eastAsia="zh-CN"/>
        </w:rPr>
        <w:t>s</w:t>
      </w:r>
    </w:p>
    <w:p w14:paraId="09543250" w14:textId="77777777" w:rsidR="000B073D" w:rsidRDefault="00E77C0B">
      <w:pPr>
        <w:pStyle w:val="Heading3"/>
        <w:rPr>
          <w:rFonts w:asciiTheme="minorHAnsi" w:hAnsiTheme="minorHAnsi" w:cstheme="majorBidi"/>
          <w:b/>
          <w:bCs/>
          <w:smallCaps/>
          <w:color w:val="00558C"/>
          <w:sz w:val="24"/>
          <w:szCs w:val="24"/>
          <w:lang w:eastAsia="en-US"/>
        </w:rPr>
      </w:pPr>
      <w:r>
        <w:rPr>
          <w:rFonts w:asciiTheme="minorHAnsi" w:hAnsiTheme="minorHAnsi" w:cstheme="majorBidi"/>
          <w:b/>
          <w:bCs/>
          <w:smallCaps/>
          <w:color w:val="00558C"/>
          <w:sz w:val="24"/>
          <w:szCs w:val="24"/>
          <w:lang w:eastAsia="en-US"/>
        </w:rPr>
        <w:t>S-200</w:t>
      </w:r>
      <w:r>
        <w:rPr>
          <w:rFonts w:ascii="Calibri" w:hAnsi="Calibri"/>
          <w:b/>
          <w:bCs/>
          <w:szCs w:val="22"/>
          <w:lang w:val="en-US" w:eastAsia="ja-JP"/>
        </w:rPr>
        <w:t xml:space="preserve"> </w:t>
      </w:r>
      <w:r>
        <w:rPr>
          <w:rFonts w:asciiTheme="minorHAnsi" w:hAnsiTheme="minorHAnsi" w:cstheme="majorBidi"/>
          <w:b/>
          <w:bCs/>
          <w:color w:val="00558C"/>
          <w:sz w:val="24"/>
          <w:szCs w:val="24"/>
          <w:lang w:eastAsia="en-US"/>
        </w:rPr>
        <w:t>Readiness Levels</w:t>
      </w:r>
    </w:p>
    <w:p w14:paraId="09543251" w14:textId="77777777" w:rsidR="000B073D" w:rsidRDefault="00E77C0B">
      <w:pPr>
        <w:pStyle w:val="List1"/>
        <w:numPr>
          <w:ilvl w:val="0"/>
          <w:numId w:val="0"/>
        </w:numPr>
        <w:rPr>
          <w:lang w:val="en-US"/>
        </w:rPr>
      </w:pPr>
      <w:r>
        <w:rPr>
          <w:rFonts w:ascii="Calibri" w:eastAsia="SimSun" w:hAnsi="Calibri"/>
          <w:lang w:val="en-US" w:eastAsia="zh-CN"/>
        </w:rPr>
        <w:t>The IHO S-100WG4 in 2019 recommended for the first time the adoption of the concept of S-100 readiness levels for the objective evaluation of the operational maturity capability of each S-100 product specification. IHO HSSC11 in the same year agreed to incorporate the relevant updates into S-97, edition 1.1.0, and listed the prerequisites for meeting the five levels of S-100 readiness levels in Table A-4-1. The readiness levels concept shows a progression from an idea to regular use, and allows the IALA com</w:t>
      </w:r>
      <w:r>
        <w:rPr>
          <w:rFonts w:ascii="Calibri" w:eastAsia="SimSun" w:hAnsi="Calibri"/>
          <w:lang w:val="en-US" w:eastAsia="zh-CN"/>
        </w:rPr>
        <w:t xml:space="preserve">munity to gain a clear understanding of whether the </w:t>
      </w:r>
      <w:r>
        <w:rPr>
          <w:rFonts w:ascii="Calibri" w:eastAsia="SimSun" w:hAnsi="Calibri" w:hint="eastAsia"/>
          <w:lang w:val="en-US" w:eastAsia="zh-CN"/>
        </w:rPr>
        <w:t>s</w:t>
      </w:r>
      <w:r>
        <w:rPr>
          <w:rFonts w:ascii="Calibri" w:eastAsia="SimSun" w:hAnsi="Calibri"/>
          <w:lang w:val="en-US" w:eastAsia="zh-CN"/>
        </w:rPr>
        <w:t xml:space="preserve">pecification is ready for endorsement and approval. This will also allow other non-IALA stakeholder organizations who are leveraging the S-100 framework to gauge when their </w:t>
      </w:r>
      <w:r>
        <w:rPr>
          <w:rFonts w:ascii="Calibri" w:eastAsia="SimSun" w:hAnsi="Calibri" w:hint="eastAsia"/>
          <w:lang w:val="en-US" w:eastAsia="zh-CN"/>
        </w:rPr>
        <w:t>p</w:t>
      </w:r>
      <w:r>
        <w:rPr>
          <w:rFonts w:ascii="Calibri" w:eastAsia="SimSun" w:hAnsi="Calibri"/>
          <w:lang w:val="en-US" w:eastAsia="zh-CN"/>
        </w:rPr>
        <w:t xml:space="preserve">roduct </w:t>
      </w:r>
      <w:r>
        <w:rPr>
          <w:rFonts w:ascii="Calibri" w:eastAsia="SimSun" w:hAnsi="Calibri" w:hint="eastAsia"/>
          <w:lang w:val="en-US" w:eastAsia="zh-CN"/>
        </w:rPr>
        <w:t>s</w:t>
      </w:r>
      <w:r>
        <w:rPr>
          <w:rFonts w:ascii="Calibri" w:eastAsia="SimSun" w:hAnsi="Calibri"/>
          <w:lang w:val="en-US" w:eastAsia="zh-CN"/>
        </w:rPr>
        <w:t>pecifications meet an appropriate readiness level for transition to live operation.</w:t>
      </w:r>
    </w:p>
    <w:p w14:paraId="09543252" w14:textId="77777777" w:rsidR="000B073D" w:rsidRDefault="00E77C0B">
      <w:pPr>
        <w:pStyle w:val="Heading3"/>
        <w:rPr>
          <w:rFonts w:asciiTheme="minorHAnsi" w:hAnsiTheme="minorHAnsi" w:cstheme="majorBidi"/>
          <w:b/>
          <w:bCs/>
          <w:smallCaps/>
          <w:color w:val="00558C"/>
          <w:sz w:val="24"/>
          <w:szCs w:val="24"/>
          <w:lang w:eastAsia="en-US"/>
        </w:rPr>
      </w:pPr>
      <w:r>
        <w:rPr>
          <w:rFonts w:asciiTheme="minorHAnsi" w:hAnsiTheme="minorHAnsi" w:cstheme="majorBidi"/>
          <w:b/>
          <w:bCs/>
          <w:smallCaps/>
          <w:color w:val="00558C"/>
          <w:sz w:val="24"/>
          <w:szCs w:val="24"/>
          <w:lang w:eastAsia="en-US"/>
        </w:rPr>
        <w:t xml:space="preserve">S-98 </w:t>
      </w:r>
      <w:r>
        <w:rPr>
          <w:rFonts w:asciiTheme="minorHAnsi" w:hAnsiTheme="minorHAnsi" w:cstheme="majorBidi" w:hint="eastAsia"/>
          <w:b/>
          <w:bCs/>
          <w:color w:val="00558C"/>
          <w:sz w:val="24"/>
          <w:szCs w:val="24"/>
          <w:lang w:eastAsia="zh-CN"/>
        </w:rPr>
        <w:t>I</w:t>
      </w:r>
      <w:r>
        <w:rPr>
          <w:rFonts w:asciiTheme="minorHAnsi" w:hAnsiTheme="minorHAnsi" w:cstheme="majorBidi"/>
          <w:b/>
          <w:bCs/>
          <w:color w:val="00558C"/>
          <w:sz w:val="24"/>
          <w:szCs w:val="24"/>
          <w:lang w:eastAsia="en-US"/>
        </w:rPr>
        <w:t>nteroperability</w:t>
      </w:r>
    </w:p>
    <w:p w14:paraId="09543253" w14:textId="77777777" w:rsidR="000B073D" w:rsidRDefault="00E77C0B">
      <w:pPr>
        <w:pStyle w:val="List1"/>
        <w:numPr>
          <w:ilvl w:val="0"/>
          <w:numId w:val="0"/>
        </w:numPr>
        <w:rPr>
          <w:rFonts w:ascii="Calibri" w:eastAsia="SimSun" w:hAnsi="Calibri"/>
          <w:lang w:val="en-US" w:eastAsia="zh-CN"/>
        </w:rPr>
      </w:pPr>
      <w:r>
        <w:rPr>
          <w:rFonts w:ascii="Calibri" w:eastAsia="SimSun" w:hAnsi="Calibri"/>
          <w:lang w:val="en-US" w:eastAsia="zh-CN"/>
        </w:rPr>
        <w:t xml:space="preserve">In order to solve the problems of element redundancy, inconsistency, and duplication of icons that may occur when displaying different data products and radar information in the S-100 standard electronic chart or other shore-based application systems, S-100 defines a total of 0-4 </w:t>
      </w:r>
      <w:r>
        <w:rPr>
          <w:rFonts w:ascii="Calibri" w:eastAsia="SimSun" w:hAnsi="Calibri"/>
          <w:lang w:val="en" w:eastAsia="zh-CN"/>
        </w:rPr>
        <w:t>f</w:t>
      </w:r>
      <w:r>
        <w:rPr>
          <w:rFonts w:ascii="Calibri" w:eastAsia="SimSun" w:hAnsi="Calibri"/>
          <w:lang w:val="en-US" w:eastAsia="zh-CN"/>
        </w:rPr>
        <w:t xml:space="preserve">ive levels of interoperability. At present, the latest interoperability specification is IHO S-98 Data Product Interoperability in S-100 Navigation Systems Edition 1.0, which </w:t>
      </w:r>
      <w:r>
        <w:rPr>
          <w:rFonts w:ascii="Calibri" w:eastAsia="SimSun" w:hAnsi="Calibri"/>
          <w:lang w:val="en-US" w:eastAsia="zh-CN"/>
        </w:rPr>
        <w:t xml:space="preserve">was </w:t>
      </w:r>
      <w:r>
        <w:rPr>
          <w:rFonts w:ascii="Calibri" w:eastAsia="SimSun" w:hAnsi="Calibri"/>
          <w:lang w:val="en-US" w:eastAsia="zh-CN"/>
        </w:rPr>
        <w:t xml:space="preserve">released in 2022. It </w:t>
      </w:r>
      <w:r>
        <w:rPr>
          <w:rFonts w:ascii="Calibri" w:eastAsia="SimSun" w:hAnsi="Calibri"/>
          <w:lang w:val="en-US" w:eastAsia="zh-CN"/>
        </w:rPr>
        <w:t>wa</w:t>
      </w:r>
      <w:r>
        <w:rPr>
          <w:rFonts w:ascii="Calibri" w:eastAsia="SimSun" w:hAnsi="Calibri"/>
          <w:lang w:val="en-US" w:eastAsia="zh-CN"/>
        </w:rPr>
        <w:t xml:space="preserve">s recommended to add interoperability level to the Product Specification Metadata in this model referring to the specification. And draft S-98 edition 2.0 </w:t>
      </w:r>
      <w:r>
        <w:rPr>
          <w:rFonts w:ascii="Calibri" w:eastAsia="SimSun" w:hAnsi="Calibri"/>
          <w:lang w:val="en-US" w:eastAsia="zh-CN"/>
        </w:rPr>
        <w:t>was</w:t>
      </w:r>
      <w:r>
        <w:rPr>
          <w:rFonts w:ascii="Calibri" w:eastAsia="SimSun" w:hAnsi="Calibri"/>
          <w:lang w:val="en-US" w:eastAsia="zh-CN"/>
        </w:rPr>
        <w:t xml:space="preserve"> submitted for review by S-100WG in January 2025.</w:t>
      </w:r>
    </w:p>
    <w:p w14:paraId="09543254" w14:textId="77777777" w:rsidR="000B073D" w:rsidRDefault="00E77C0B">
      <w:pPr>
        <w:pStyle w:val="List1"/>
        <w:numPr>
          <w:ilvl w:val="0"/>
          <w:numId w:val="0"/>
        </w:numPr>
        <w:rPr>
          <w:rFonts w:ascii="Calibri" w:eastAsia="SimSun" w:hAnsi="Calibri"/>
          <w:lang w:val="en-US" w:eastAsia="zh-CN"/>
        </w:rPr>
      </w:pPr>
      <w:r>
        <w:rPr>
          <w:rFonts w:ascii="Calibri" w:eastAsia="SimSun" w:hAnsi="Calibri"/>
          <w:lang w:val="en-US" w:eastAsia="zh-CN"/>
        </w:rPr>
        <w:t>S-97 Table B-6-1 of the S-100 Product Specification Development Guide incorporates the applicability of S-98 into the product specification description template by requiring that the applicability of the product specification to S-98 be explicitly stated and, in turn, requiring that specification developers need to ensure that interoperability, alarms, and alerts are thought through and documented in accordance with the requirements of S-98.</w:t>
      </w:r>
    </w:p>
    <w:p w14:paraId="09543255" w14:textId="77777777" w:rsidR="000B073D" w:rsidRDefault="00E77C0B">
      <w:pPr>
        <w:pStyle w:val="Heading3"/>
        <w:rPr>
          <w:rFonts w:ascii="SimSun" w:hAnsi="SimSun" w:cstheme="majorBidi"/>
          <w:b/>
          <w:bCs/>
          <w:smallCaps/>
          <w:color w:val="00558C"/>
          <w:sz w:val="24"/>
          <w:szCs w:val="24"/>
          <w:lang w:eastAsia="en-US"/>
        </w:rPr>
      </w:pPr>
      <w:r>
        <w:rPr>
          <w:rFonts w:ascii="SimSun" w:hAnsi="SimSun" w:cstheme="majorBidi" w:hint="eastAsia"/>
          <w:b/>
          <w:bCs/>
          <w:smallCaps/>
          <w:color w:val="00558C"/>
          <w:sz w:val="24"/>
          <w:szCs w:val="24"/>
          <w:lang w:eastAsia="en-US"/>
        </w:rPr>
        <w:t xml:space="preserve">S-200 </w:t>
      </w:r>
      <w:r>
        <w:rPr>
          <w:rFonts w:ascii="SimSun" w:hAnsi="SimSun" w:cstheme="majorBidi"/>
          <w:b/>
          <w:bCs/>
          <w:color w:val="00558C"/>
          <w:sz w:val="24"/>
          <w:szCs w:val="24"/>
          <w:lang w:eastAsia="en-US"/>
        </w:rPr>
        <w:t>Compliance</w:t>
      </w:r>
    </w:p>
    <w:p w14:paraId="09543256" w14:textId="77777777" w:rsidR="000B073D" w:rsidRDefault="00E77C0B">
      <w:pPr>
        <w:pStyle w:val="List1"/>
        <w:numPr>
          <w:ilvl w:val="0"/>
          <w:numId w:val="0"/>
        </w:numPr>
        <w:rPr>
          <w:rFonts w:ascii="Calibri" w:eastAsia="SimSun" w:hAnsi="Calibri"/>
          <w:lang w:val="en-US" w:eastAsia="zh-CN"/>
        </w:rPr>
      </w:pPr>
      <w:r>
        <w:rPr>
          <w:rFonts w:asciiTheme="minorHAnsi" w:eastAsia="SimSun" w:hAnsiTheme="minorHAnsi"/>
          <w:lang w:val="en-US" w:eastAsia="zh-CN"/>
        </w:rPr>
        <w:t xml:space="preserve">When implementing S-100 support, different systems may have different requirements to S-100 based products and their adherence to the S-100 framework. ECDIS may require a very high degree of compliance; while a reporting system may require a lower degree of compliance by, for example, not needing an S-100 based exchange method. </w:t>
      </w:r>
      <w:r>
        <w:rPr>
          <w:rFonts w:asciiTheme="minorHAnsi" w:eastAsia="SimSun" w:hAnsiTheme="minorHAnsi"/>
          <w:lang w:val="en-US" w:eastAsia="zh-CN"/>
        </w:rPr>
        <w:t xml:space="preserve">To facilitate a means of communicating the intent of a </w:t>
      </w:r>
      <w:r>
        <w:rPr>
          <w:rFonts w:asciiTheme="minorHAnsi" w:eastAsia="SimSun" w:hAnsiTheme="minorHAnsi" w:hint="eastAsia"/>
          <w:lang w:val="en-US" w:eastAsia="zh-CN"/>
        </w:rPr>
        <w:t>p</w:t>
      </w:r>
      <w:r>
        <w:rPr>
          <w:rFonts w:asciiTheme="minorHAnsi" w:eastAsia="SimSun" w:hAnsiTheme="minorHAnsi"/>
          <w:lang w:val="en-US" w:eastAsia="zh-CN"/>
        </w:rPr>
        <w:t xml:space="preserve">roduct </w:t>
      </w:r>
      <w:r>
        <w:rPr>
          <w:rFonts w:asciiTheme="minorHAnsi" w:eastAsia="SimSun" w:hAnsiTheme="minorHAnsi" w:hint="eastAsia"/>
          <w:lang w:val="en-US" w:eastAsia="zh-CN"/>
        </w:rPr>
        <w:t>s</w:t>
      </w:r>
      <w:r>
        <w:rPr>
          <w:rFonts w:asciiTheme="minorHAnsi" w:eastAsia="SimSun" w:hAnsiTheme="minorHAnsi"/>
          <w:lang w:val="en-US" w:eastAsia="zh-CN"/>
        </w:rPr>
        <w:t>pecification and resulting products</w:t>
      </w:r>
      <w:r>
        <w:rPr>
          <w:rFonts w:asciiTheme="minorHAnsi" w:eastAsia="SimSun" w:hAnsiTheme="minorHAnsi"/>
          <w:lang w:val="en" w:eastAsia="zh-CN"/>
        </w:rPr>
        <w:t xml:space="preserve">, </w:t>
      </w:r>
      <w:r>
        <w:rPr>
          <w:rFonts w:asciiTheme="minorHAnsi" w:eastAsia="SimSun" w:hAnsiTheme="minorHAnsi"/>
          <w:lang w:val="en-US" w:eastAsia="zh-CN"/>
        </w:rPr>
        <w:t xml:space="preserve">an S-100 compliance category can be declared. </w:t>
      </w:r>
      <w:r>
        <w:rPr>
          <w:rFonts w:asciiTheme="minorHAnsi" w:eastAsia="SimSun" w:hAnsiTheme="minorHAnsi"/>
          <w:lang w:val="en-US" w:eastAsia="zh-CN"/>
        </w:rPr>
        <w:t xml:space="preserve">Four compliance categories are defined </w:t>
      </w:r>
      <w:r>
        <w:rPr>
          <w:rFonts w:asciiTheme="minorHAnsi" w:hAnsiTheme="minorHAnsi"/>
          <w:lang w:val="en-US" w:eastAsia="zh-CN"/>
        </w:rPr>
        <w:t xml:space="preserve">in S-100 </w:t>
      </w:r>
      <w:r>
        <w:rPr>
          <w:rFonts w:asciiTheme="minorHAnsi" w:eastAsia="SimSun" w:hAnsiTheme="minorHAnsi"/>
          <w:lang w:val="en-US" w:eastAsia="zh-CN"/>
        </w:rPr>
        <w:t>and S-97</w:t>
      </w:r>
      <w:r>
        <w:rPr>
          <w:rFonts w:asciiTheme="minorHAnsi" w:hAnsiTheme="minorHAnsi" w:hint="eastAsia"/>
          <w:lang w:val="en-US" w:eastAsia="zh-CN"/>
        </w:rPr>
        <w:t>.</w:t>
      </w:r>
    </w:p>
    <w:p w14:paraId="09543257" w14:textId="77777777" w:rsidR="000B073D" w:rsidRDefault="00E77C0B">
      <w:pPr>
        <w:pStyle w:val="List1"/>
        <w:numPr>
          <w:ilvl w:val="0"/>
          <w:numId w:val="0"/>
        </w:numPr>
        <w:rPr>
          <w:rFonts w:asciiTheme="minorHAnsi" w:eastAsia="SimSun" w:hAnsiTheme="minorHAnsi"/>
        </w:rPr>
      </w:pPr>
      <w:r>
        <w:rPr>
          <w:rFonts w:asciiTheme="minorHAnsi" w:eastAsia="SimSun" w:hAnsiTheme="minorHAnsi"/>
          <w:lang w:val="en-US" w:eastAsia="zh-CN"/>
        </w:rPr>
        <w:t>In summary, the assessment of S-100 readiness levels has been carried out throughout the development process of IHO S-100 domains, and its compliance and interoperability have been described in several important chapters in the text of IHO S-100 domain product specification. It is recommended that the revision of IALA G1106 should refer to the practice of IHO S-100 domain product specification, and reflect the three important technical evaluation indexes of S-200 readiness levels, compliance and interoperab</w:t>
      </w:r>
      <w:r>
        <w:rPr>
          <w:rFonts w:asciiTheme="minorHAnsi" w:eastAsia="SimSun" w:hAnsiTheme="minorHAnsi"/>
          <w:lang w:val="en-US" w:eastAsia="zh-CN"/>
        </w:rPr>
        <w:t>ility.</w:t>
      </w:r>
    </w:p>
    <w:p w14:paraId="09543258" w14:textId="77777777" w:rsidR="000B073D" w:rsidRDefault="00E77C0B">
      <w:pPr>
        <w:pStyle w:val="Heading2"/>
        <w:rPr>
          <w:lang w:val="en-US" w:eastAsia="zh-CN"/>
        </w:rPr>
      </w:pPr>
      <w:r>
        <w:rPr>
          <w:lang w:val="en-US" w:eastAsia="zh-CN"/>
        </w:rPr>
        <w:t>Suggestions to add technical contents related to MRN and CamelCase</w:t>
      </w:r>
    </w:p>
    <w:p w14:paraId="09543259" w14:textId="77777777" w:rsidR="000B073D" w:rsidRDefault="00E77C0B">
      <w:pPr>
        <w:pStyle w:val="Heading3"/>
        <w:rPr>
          <w:rFonts w:ascii="SimSun" w:hAnsi="SimSun" w:cstheme="majorBidi"/>
          <w:b/>
          <w:bCs/>
          <w:color w:val="00558C"/>
          <w:sz w:val="24"/>
          <w:szCs w:val="24"/>
          <w:lang w:eastAsia="zh-CN"/>
        </w:rPr>
      </w:pPr>
      <w:r>
        <w:rPr>
          <w:rFonts w:ascii="SimSun" w:hAnsi="SimSun" w:cstheme="majorBidi"/>
          <w:b/>
          <w:bCs/>
          <w:color w:val="00558C"/>
          <w:sz w:val="24"/>
          <w:szCs w:val="24"/>
          <w:lang w:eastAsia="zh-CN"/>
        </w:rPr>
        <w:t>MRN</w:t>
      </w:r>
    </w:p>
    <w:p w14:paraId="0954325A" w14:textId="77777777" w:rsidR="000B073D" w:rsidRDefault="00E77C0B">
      <w:pPr>
        <w:pStyle w:val="List1"/>
        <w:numPr>
          <w:ilvl w:val="0"/>
          <w:numId w:val="0"/>
        </w:numPr>
        <w:rPr>
          <w:rFonts w:asciiTheme="minorHAnsi" w:eastAsia="SimSun" w:hAnsiTheme="minorHAnsi"/>
          <w:lang w:val="en-US" w:eastAsia="zh-CN"/>
        </w:rPr>
      </w:pPr>
      <w:r>
        <w:rPr>
          <w:rFonts w:asciiTheme="minorHAnsi" w:eastAsia="SimSun" w:hAnsiTheme="minorHAnsi"/>
          <w:lang w:val="en-US" w:eastAsia="zh-CN"/>
        </w:rPr>
        <w:t xml:space="preserve">The Marine Resource Name (MRN) is a common naming scheme for marine resources on a global scale, intended to serve as a persistent, </w:t>
      </w:r>
      <w:r>
        <w:rPr>
          <w:rFonts w:asciiTheme="minorHAnsi" w:eastAsia="SimSun" w:hAnsiTheme="minorHAnsi"/>
          <w:lang w:val="en-US" w:eastAsia="zh-CN"/>
        </w:rPr>
        <w:t xml:space="preserve">location-independent resource identifier and to facilitate the mapping of other namespaces. The MRN is a registered domain in the Uniform Resource Names (URNs), a standardized </w:t>
      </w:r>
      <w:r>
        <w:rPr>
          <w:rFonts w:asciiTheme="minorHAnsi" w:eastAsia="SimSun" w:hAnsiTheme="minorHAnsi"/>
          <w:lang w:val="en-US" w:eastAsia="zh-CN"/>
        </w:rPr>
        <w:lastRenderedPageBreak/>
        <w:t>and proven architecture for Internet domains. In the context of E-navigation, the use of unique identifiers is an inevitable requirement for maritime services to maintain uniformity across domains, services, and agencies.</w:t>
      </w:r>
    </w:p>
    <w:p w14:paraId="0954325B" w14:textId="77777777" w:rsidR="000B073D" w:rsidRDefault="00E77C0B">
      <w:pPr>
        <w:pStyle w:val="List1"/>
        <w:numPr>
          <w:ilvl w:val="0"/>
          <w:numId w:val="0"/>
        </w:numPr>
        <w:rPr>
          <w:rFonts w:ascii="SimSun" w:hAnsi="SimSun"/>
          <w:lang w:eastAsia="zh-CN"/>
        </w:rPr>
      </w:pPr>
      <w:r>
        <w:rPr>
          <w:rFonts w:asciiTheme="minorHAnsi" w:hAnsiTheme="minorHAnsi"/>
          <w:lang w:val="en-US" w:eastAsia="zh-CN"/>
        </w:rPr>
        <w:t>Maritime resources, such as Aids to Navigation at Sea (AtoN), Vessel Traffic Services (VTS), fairways regulatory agencies, require unique identifiers to avoid duplication and mismatches when referenced. Currently, there is no single system that can assign maritime identifiers in a uniform and unambiguous manner. With the increasing digitization of maritime operations, and especially with the introduction of new maritime services in the context of E-navigation and the adoption of the IHO S-100 framework, the</w:t>
      </w:r>
      <w:r>
        <w:rPr>
          <w:rFonts w:asciiTheme="minorHAnsi" w:hAnsiTheme="minorHAnsi"/>
          <w:lang w:val="en-US" w:eastAsia="zh-CN"/>
        </w:rPr>
        <w:t xml:space="preserve"> adoption of MRNs has crucial advantages.</w:t>
      </w:r>
    </w:p>
    <w:p w14:paraId="0954325C" w14:textId="77777777" w:rsidR="000B073D" w:rsidRDefault="00E77C0B">
      <w:pPr>
        <w:pStyle w:val="List1"/>
        <w:numPr>
          <w:ilvl w:val="0"/>
          <w:numId w:val="0"/>
        </w:numPr>
        <w:rPr>
          <w:rFonts w:asciiTheme="minorHAnsi" w:eastAsia="SimSun" w:hAnsiTheme="minorHAnsi"/>
          <w:lang w:val="en-US" w:eastAsia="zh-CN"/>
        </w:rPr>
      </w:pPr>
      <w:r>
        <w:rPr>
          <w:rFonts w:asciiTheme="minorHAnsi" w:eastAsia="SimSun" w:hAnsiTheme="minorHAnsi"/>
          <w:lang w:val="en-US" w:eastAsia="zh-CN"/>
        </w:rPr>
        <w:t xml:space="preserve">S-97 A-6.2.13 of Object identifiers recommended that rules for persistent global identifiers for feature and information objects are included within a </w:t>
      </w:r>
      <w:r>
        <w:rPr>
          <w:rFonts w:asciiTheme="minorHAnsi" w:eastAsia="SimSun" w:hAnsiTheme="minorHAnsi" w:hint="eastAsia"/>
          <w:lang w:val="en-US" w:eastAsia="zh-CN"/>
        </w:rPr>
        <w:t>p</w:t>
      </w:r>
      <w:r>
        <w:rPr>
          <w:rFonts w:asciiTheme="minorHAnsi" w:eastAsia="SimSun" w:hAnsiTheme="minorHAnsi"/>
          <w:lang w:val="en-US" w:eastAsia="zh-CN"/>
        </w:rPr>
        <w:t xml:space="preserve">roduct </w:t>
      </w:r>
      <w:r>
        <w:rPr>
          <w:rFonts w:asciiTheme="minorHAnsi" w:eastAsia="SimSun" w:hAnsiTheme="minorHAnsi" w:hint="eastAsia"/>
          <w:lang w:val="en-US" w:eastAsia="zh-CN"/>
        </w:rPr>
        <w:t>s</w:t>
      </w:r>
      <w:r>
        <w:rPr>
          <w:rFonts w:asciiTheme="minorHAnsi" w:eastAsia="SimSun" w:hAnsiTheme="minorHAnsi"/>
          <w:lang w:val="en-US" w:eastAsia="zh-CN"/>
        </w:rPr>
        <w:t xml:space="preserve">pecification. Identifiers of instances should utilize the Maritime Resource Name (MRN) concept and namespace. Guidance should be included on persevering persistent global identifiers on objects throughout their lifecycle, including when they are reused in other products. Maintaining persistent global identifiers between products </w:t>
      </w:r>
      <w:r>
        <w:rPr>
          <w:rFonts w:asciiTheme="minorHAnsi" w:eastAsia="SimSun" w:hAnsiTheme="minorHAnsi" w:hint="eastAsia"/>
          <w:lang w:val="en-US" w:eastAsia="zh-CN"/>
        </w:rPr>
        <w:t xml:space="preserve">is </w:t>
      </w:r>
      <w:r>
        <w:rPr>
          <w:rFonts w:asciiTheme="minorHAnsi" w:eastAsia="SimSun" w:hAnsiTheme="minorHAnsi"/>
          <w:lang w:val="en-US" w:eastAsia="zh-CN"/>
        </w:rPr>
        <w:t>conducive</w:t>
      </w:r>
      <w:r>
        <w:rPr>
          <w:rFonts w:asciiTheme="minorHAnsi" w:eastAsia="SimSun" w:hAnsiTheme="minorHAnsi" w:hint="eastAsia"/>
          <w:lang w:val="en-US" w:eastAsia="zh-CN"/>
        </w:rPr>
        <w:t xml:space="preserve"> </w:t>
      </w:r>
      <w:r>
        <w:rPr>
          <w:rFonts w:asciiTheme="minorHAnsi" w:eastAsia="SimSun" w:hAnsiTheme="minorHAnsi"/>
          <w:lang w:val="en-US" w:eastAsia="zh-CN"/>
        </w:rPr>
        <w:t>to</w:t>
      </w:r>
      <w:r>
        <w:rPr>
          <w:rFonts w:asciiTheme="minorHAnsi" w:eastAsia="SimSun" w:hAnsiTheme="minorHAnsi" w:hint="eastAsia"/>
          <w:lang w:val="en-US" w:eastAsia="zh-CN"/>
        </w:rPr>
        <w:t xml:space="preserve"> </w:t>
      </w:r>
      <w:r>
        <w:rPr>
          <w:rFonts w:asciiTheme="minorHAnsi" w:eastAsia="SimSun" w:hAnsiTheme="minorHAnsi"/>
          <w:lang w:val="en-US" w:eastAsia="zh-CN"/>
        </w:rPr>
        <w:t>interoperability</w:t>
      </w:r>
      <w:r>
        <w:rPr>
          <w:rFonts w:asciiTheme="minorHAnsi" w:eastAsia="SimSun" w:hAnsiTheme="minorHAnsi" w:hint="eastAsia"/>
          <w:lang w:val="en-US" w:eastAsia="zh-CN"/>
        </w:rPr>
        <w:t>,</w:t>
      </w:r>
      <w:r>
        <w:rPr>
          <w:rFonts w:asciiTheme="minorHAnsi" w:eastAsia="SimSun" w:hAnsiTheme="minorHAnsi"/>
          <w:lang w:val="en-US" w:eastAsia="zh-CN"/>
        </w:rPr>
        <w:t xml:space="preserve"> and</w:t>
      </w:r>
      <w:r>
        <w:rPr>
          <w:rFonts w:asciiTheme="minorHAnsi" w:eastAsia="SimSun" w:hAnsiTheme="minorHAnsi" w:hint="eastAsia"/>
          <w:lang w:val="en-US" w:eastAsia="zh-CN"/>
        </w:rPr>
        <w:t xml:space="preserve"> can</w:t>
      </w:r>
      <w:r>
        <w:rPr>
          <w:rFonts w:asciiTheme="minorHAnsi" w:eastAsia="SimSun" w:hAnsiTheme="minorHAnsi"/>
          <w:lang w:val="en-US" w:eastAsia="zh-CN"/>
        </w:rPr>
        <w:t xml:space="preserve"> assist users and systems in identifying identical features between data products.</w:t>
      </w:r>
    </w:p>
    <w:p w14:paraId="0954325D" w14:textId="77777777" w:rsidR="000B073D" w:rsidRDefault="00E77C0B">
      <w:pPr>
        <w:pStyle w:val="List1"/>
        <w:numPr>
          <w:ilvl w:val="0"/>
          <w:numId w:val="0"/>
        </w:numPr>
        <w:rPr>
          <w:rFonts w:asciiTheme="minorHAnsi" w:eastAsia="SimSun" w:hAnsiTheme="minorHAnsi"/>
          <w:lang w:val="en-US" w:eastAsia="zh-CN"/>
        </w:rPr>
      </w:pPr>
      <w:r>
        <w:rPr>
          <w:rFonts w:asciiTheme="minorHAnsi" w:eastAsia="SimSun" w:hAnsiTheme="minorHAnsi" w:hint="eastAsia"/>
          <w:lang w:val="en-US" w:eastAsia="zh-CN"/>
        </w:rPr>
        <w:t xml:space="preserve">The </w:t>
      </w:r>
      <w:r>
        <w:rPr>
          <w:rFonts w:asciiTheme="minorHAnsi" w:eastAsia="SimSun" w:hAnsiTheme="minorHAnsi"/>
          <w:lang w:val="en-US" w:eastAsia="zh-CN"/>
        </w:rPr>
        <w:t>first edition</w:t>
      </w:r>
      <w:r>
        <w:rPr>
          <w:rFonts w:asciiTheme="minorHAnsi" w:eastAsia="SimSun" w:hAnsiTheme="minorHAnsi" w:hint="eastAsia"/>
          <w:lang w:val="en-US" w:eastAsia="zh-CN"/>
        </w:rPr>
        <w:t xml:space="preserve"> of </w:t>
      </w:r>
      <w:r>
        <w:rPr>
          <w:rFonts w:asciiTheme="minorHAnsi" w:eastAsia="SimSun" w:hAnsiTheme="minorHAnsi"/>
          <w:lang w:val="en-US" w:eastAsia="zh-CN"/>
        </w:rPr>
        <w:t>G1143</w:t>
      </w:r>
      <w:r>
        <w:rPr>
          <w:rFonts w:asciiTheme="minorHAnsi" w:eastAsia="SimSun" w:hAnsiTheme="minorHAnsi" w:hint="eastAsia"/>
          <w:lang w:val="en-US" w:eastAsia="zh-CN"/>
        </w:rPr>
        <w:t xml:space="preserve"> </w:t>
      </w:r>
      <w:r>
        <w:rPr>
          <w:rFonts w:asciiTheme="minorHAnsi" w:eastAsia="SimSun" w:hAnsiTheme="minorHAnsi"/>
          <w:lang w:val="en-US" w:eastAsia="zh-CN"/>
        </w:rPr>
        <w:t>UNIQUE IDENTIFIERS FOR MARITIME RESOURCES</w:t>
      </w:r>
      <w:r>
        <w:rPr>
          <w:rFonts w:asciiTheme="minorHAnsi" w:eastAsia="SimSun" w:hAnsiTheme="minorHAnsi" w:hint="eastAsia"/>
          <w:lang w:val="en-US" w:eastAsia="zh-CN"/>
        </w:rPr>
        <w:t xml:space="preserve"> was</w:t>
      </w:r>
      <w:r>
        <w:rPr>
          <w:rFonts w:asciiTheme="minorHAnsi" w:eastAsia="SimSun" w:hAnsiTheme="minorHAnsi"/>
          <w:lang w:val="en-US" w:eastAsia="zh-CN"/>
        </w:rPr>
        <w:t xml:space="preserve">  released in 2019, and the current edition 3.1 released in July 2022.</w:t>
      </w:r>
      <w:r>
        <w:rPr>
          <w:rFonts w:asciiTheme="minorHAnsi" w:eastAsia="SimSun" w:hAnsiTheme="minorHAnsi" w:hint="eastAsia"/>
          <w:lang w:val="en-US" w:eastAsia="zh-CN"/>
        </w:rPr>
        <w:t xml:space="preserve"> The </w:t>
      </w:r>
      <w:r>
        <w:rPr>
          <w:rFonts w:asciiTheme="minorHAnsi" w:eastAsia="SimSun" w:hAnsiTheme="minorHAnsi"/>
          <w:lang w:val="en-US" w:eastAsia="zh-CN"/>
        </w:rPr>
        <w:t>first edition</w:t>
      </w:r>
      <w:r>
        <w:rPr>
          <w:rFonts w:asciiTheme="minorHAnsi" w:eastAsia="SimSun" w:hAnsiTheme="minorHAnsi" w:hint="eastAsia"/>
          <w:lang w:val="en-US" w:eastAsia="zh-CN"/>
        </w:rPr>
        <w:t xml:space="preserve"> of </w:t>
      </w:r>
      <w:r>
        <w:rPr>
          <w:rFonts w:asciiTheme="minorHAnsi" w:eastAsia="SimSun" w:hAnsiTheme="minorHAnsi"/>
          <w:lang w:val="en-US" w:eastAsia="zh-CN"/>
        </w:rPr>
        <w:t>G1164</w:t>
      </w:r>
      <w:r>
        <w:rPr>
          <w:rFonts w:asciiTheme="minorHAnsi" w:eastAsia="SimSun" w:hAnsiTheme="minorHAnsi" w:hint="eastAsia"/>
          <w:lang w:val="en-US" w:eastAsia="zh-CN"/>
        </w:rPr>
        <w:t xml:space="preserve"> </w:t>
      </w:r>
      <w:r>
        <w:rPr>
          <w:rFonts w:asciiTheme="minorHAnsi" w:eastAsia="SimSun" w:hAnsiTheme="minorHAnsi"/>
          <w:lang w:val="en-US" w:eastAsia="zh-CN"/>
        </w:rPr>
        <w:t xml:space="preserve">MANAGEMENT OF MARITIME RESOURCE NAME ORGANIZATION IDENTIFIERS </w:t>
      </w:r>
      <w:r>
        <w:rPr>
          <w:rFonts w:asciiTheme="minorHAnsi" w:eastAsia="SimSun" w:hAnsiTheme="minorHAnsi" w:hint="eastAsia"/>
          <w:lang w:val="en-US" w:eastAsia="zh-CN"/>
        </w:rPr>
        <w:t xml:space="preserve">was </w:t>
      </w:r>
      <w:r>
        <w:rPr>
          <w:rFonts w:asciiTheme="minorHAnsi" w:eastAsia="SimSun" w:hAnsiTheme="minorHAnsi"/>
          <w:lang w:val="en-US" w:eastAsia="zh-CN"/>
        </w:rPr>
        <w:t>release</w:t>
      </w:r>
      <w:r>
        <w:rPr>
          <w:rFonts w:asciiTheme="minorHAnsi" w:eastAsia="SimSun" w:hAnsiTheme="minorHAnsi" w:hint="eastAsia"/>
          <w:lang w:val="en-US" w:eastAsia="zh-CN"/>
        </w:rPr>
        <w:t>d</w:t>
      </w:r>
      <w:r>
        <w:rPr>
          <w:rFonts w:asciiTheme="minorHAnsi" w:eastAsia="SimSun" w:hAnsiTheme="minorHAnsi"/>
          <w:lang w:val="en-US" w:eastAsia="zh-CN"/>
        </w:rPr>
        <w:t xml:space="preserve"> in December 2021, with current edition 1.1 released in July 2022. Considering that the MRN-related technical standards currently in force have not been released after G1106, and the product specifications of IHO S-100 domain and IALA S-200 domain have already adopted a l</w:t>
      </w:r>
      <w:r>
        <w:rPr>
          <w:rFonts w:asciiTheme="minorHAnsi" w:eastAsia="SimSun" w:hAnsiTheme="minorHAnsi"/>
          <w:lang w:val="en-US" w:eastAsia="zh-CN"/>
        </w:rPr>
        <w:t>arge number of MRN-related technical contents, it is proposed to add MRN-related general technical contents in the revision of G1106, with reference to G1143, G1164 and S-97.</w:t>
      </w:r>
    </w:p>
    <w:p w14:paraId="0954325E" w14:textId="77777777" w:rsidR="000B073D" w:rsidRDefault="00E77C0B">
      <w:pPr>
        <w:pStyle w:val="Heading3"/>
        <w:rPr>
          <w:rFonts w:ascii="SimSun" w:hAnsi="SimSun" w:cstheme="majorBidi"/>
          <w:b/>
          <w:bCs/>
          <w:color w:val="00558C"/>
          <w:sz w:val="24"/>
          <w:szCs w:val="24"/>
          <w:lang w:eastAsia="zh-CN"/>
        </w:rPr>
      </w:pPr>
      <w:r>
        <w:rPr>
          <w:rFonts w:ascii="SimSun" w:hAnsi="SimSun" w:cstheme="majorBidi"/>
          <w:b/>
          <w:bCs/>
          <w:color w:val="00558C"/>
          <w:sz w:val="24"/>
          <w:szCs w:val="24"/>
          <w:lang w:eastAsia="zh-CN"/>
        </w:rPr>
        <w:t>CamelCase</w:t>
      </w:r>
    </w:p>
    <w:p w14:paraId="0954325F" w14:textId="77777777" w:rsidR="000B073D" w:rsidRDefault="00E77C0B">
      <w:pPr>
        <w:pStyle w:val="List1"/>
        <w:numPr>
          <w:ilvl w:val="0"/>
          <w:numId w:val="0"/>
        </w:numPr>
        <w:rPr>
          <w:rFonts w:asciiTheme="minorHAnsi" w:eastAsia="SimSun" w:hAnsiTheme="minorHAnsi"/>
          <w:lang w:val="en-US" w:eastAsia="zh-CN"/>
        </w:rPr>
      </w:pPr>
      <w:r>
        <w:rPr>
          <w:rFonts w:asciiTheme="minorHAnsi" w:hAnsiTheme="minorHAnsi"/>
          <w:lang w:val="en-US" w:eastAsia="zh-CN"/>
        </w:rPr>
        <w:t>Camel case (stylized as camelCase or CamelCase) is the practice of writing compound words or phrases such that each word or abbreviation in the middle of the phrase begins with a capital letter, with no intervening spaces or punctuation. Based on principles from ISO 19103,</w:t>
      </w:r>
      <w:r>
        <w:rPr>
          <w:rFonts w:asciiTheme="minorHAnsi" w:hAnsiTheme="minorHAnsi" w:hint="eastAsia"/>
          <w:lang w:val="en-US" w:eastAsia="zh-CN"/>
        </w:rPr>
        <w:t xml:space="preserve"> </w:t>
      </w:r>
      <w:r>
        <w:rPr>
          <w:rFonts w:asciiTheme="minorHAnsi" w:hAnsiTheme="minorHAnsi"/>
          <w:lang w:val="en-US" w:eastAsia="zh-CN"/>
        </w:rPr>
        <w:t>S-100 makes use of CamelCase as a method to construct distinct identifiers or names of elements used within S-100 and the IHO Geospatial Information (GI) Registry.</w:t>
      </w:r>
    </w:p>
    <w:p w14:paraId="09543260" w14:textId="77777777" w:rsidR="000B073D" w:rsidRDefault="00E77C0B">
      <w:pPr>
        <w:pStyle w:val="List1"/>
        <w:numPr>
          <w:ilvl w:val="0"/>
          <w:numId w:val="0"/>
        </w:numPr>
        <w:rPr>
          <w:rFonts w:ascii="SimSun" w:hAnsi="SimSun"/>
          <w:lang w:val="en-US" w:eastAsia="zh-CN"/>
        </w:rPr>
      </w:pPr>
      <w:r>
        <w:rPr>
          <w:rFonts w:asciiTheme="minorHAnsi" w:hAnsiTheme="minorHAnsi"/>
          <w:lang w:val="en-US" w:eastAsia="zh-CN"/>
        </w:rPr>
        <w:t xml:space="preserve">Considering that G1106, which is currently in force, does not yet contain content related to CamelCase, and the product specifications </w:t>
      </w:r>
      <w:r>
        <w:rPr>
          <w:rFonts w:asciiTheme="minorHAnsi" w:hAnsiTheme="minorHAnsi" w:hint="eastAsia"/>
          <w:lang w:val="en-US" w:eastAsia="zh-CN"/>
        </w:rPr>
        <w:t>in</w:t>
      </w:r>
      <w:r>
        <w:rPr>
          <w:rFonts w:asciiTheme="minorHAnsi" w:hAnsiTheme="minorHAnsi"/>
          <w:lang w:val="en-US" w:eastAsia="zh-CN"/>
        </w:rPr>
        <w:t xml:space="preserve"> IHO S-100 domains and IALA S-200 domains already factually use CamelCase extensively, it is recommended that general technical content related to CamelCase be added to G1106 when it is revised.</w:t>
      </w:r>
    </w:p>
    <w:p w14:paraId="09543261" w14:textId="77777777" w:rsidR="000B073D" w:rsidRDefault="00E77C0B">
      <w:pPr>
        <w:pStyle w:val="Heading1"/>
      </w:pPr>
      <w:r>
        <w:t>References</w:t>
      </w:r>
    </w:p>
    <w:p w14:paraId="09543262" w14:textId="77777777" w:rsidR="000B073D" w:rsidRDefault="00E77C0B">
      <w:pPr>
        <w:pStyle w:val="References"/>
        <w:rPr>
          <w:rFonts w:asciiTheme="minorHAnsi" w:hAnsiTheme="minorHAnsi"/>
          <w:lang w:eastAsia="de-DE"/>
        </w:rPr>
      </w:pPr>
      <w:bookmarkStart w:id="5" w:name="_Hlk170115232"/>
      <w:bookmarkStart w:id="6" w:name="_Hlk190700141"/>
      <w:r>
        <w:rPr>
          <w:rFonts w:asciiTheme="minorHAnsi" w:hAnsiTheme="minorHAnsi"/>
          <w:lang w:val="en-US" w:eastAsia="zh-CN"/>
        </w:rPr>
        <w:t>IALA</w:t>
      </w:r>
      <w:r>
        <w:rPr>
          <w:rFonts w:asciiTheme="minorHAnsi" w:hAnsiTheme="minorHAnsi"/>
        </w:rPr>
        <w:t xml:space="preserve"> </w:t>
      </w:r>
      <w:bookmarkEnd w:id="5"/>
      <w:r>
        <w:rPr>
          <w:rFonts w:asciiTheme="minorHAnsi" w:hAnsiTheme="minorHAnsi"/>
          <w:lang w:val="en-US" w:eastAsia="zh-CN"/>
        </w:rPr>
        <w:t>ARM19-8.4.1 Input paper on G1106</w:t>
      </w:r>
    </w:p>
    <w:p w14:paraId="09543263" w14:textId="77777777" w:rsidR="000B073D" w:rsidRDefault="00E77C0B">
      <w:pPr>
        <w:pStyle w:val="References"/>
        <w:rPr>
          <w:rFonts w:asciiTheme="minorHAnsi" w:hAnsiTheme="minorHAnsi"/>
          <w:lang w:eastAsia="de-DE"/>
        </w:rPr>
      </w:pPr>
      <w:r>
        <w:rPr>
          <w:rFonts w:asciiTheme="minorHAnsi" w:hAnsiTheme="minorHAnsi"/>
          <w:lang w:val="en-US" w:eastAsia="zh-CN"/>
        </w:rPr>
        <w:t>IALA</w:t>
      </w:r>
      <w:r>
        <w:rPr>
          <w:rFonts w:asciiTheme="minorHAnsi" w:hAnsiTheme="minorHAnsi"/>
        </w:rPr>
        <w:t xml:space="preserve"> </w:t>
      </w:r>
      <w:r>
        <w:rPr>
          <w:rFonts w:asciiTheme="minorHAnsi" w:hAnsiTheme="minorHAnsi"/>
          <w:lang w:eastAsia="de-DE"/>
        </w:rPr>
        <w:t>ARM19-8.4.1 revised_Guideline 1106_v2</w:t>
      </w:r>
    </w:p>
    <w:p w14:paraId="09543264" w14:textId="77777777" w:rsidR="000B073D" w:rsidRDefault="00E77C0B">
      <w:pPr>
        <w:pStyle w:val="References"/>
        <w:rPr>
          <w:rFonts w:asciiTheme="minorHAnsi" w:hAnsiTheme="minorHAnsi"/>
          <w:lang w:val="en-US" w:eastAsia="zh-CN"/>
        </w:rPr>
      </w:pPr>
      <w:bookmarkStart w:id="7" w:name="_Hlk190698991"/>
      <w:r>
        <w:rPr>
          <w:rFonts w:asciiTheme="minorHAnsi" w:hAnsiTheme="minorHAnsi"/>
          <w:lang w:val="en-US" w:eastAsia="zh-CN"/>
        </w:rPr>
        <w:t>IALA ARM18-12.1 Report of ARM18</w:t>
      </w:r>
    </w:p>
    <w:p w14:paraId="09543265" w14:textId="77777777" w:rsidR="000B073D" w:rsidRDefault="00E77C0B">
      <w:pPr>
        <w:pStyle w:val="References"/>
        <w:rPr>
          <w:rFonts w:asciiTheme="minorHAnsi" w:hAnsiTheme="minorHAnsi"/>
          <w:lang w:val="en-US" w:eastAsia="zh-CN"/>
        </w:rPr>
      </w:pPr>
      <w:bookmarkStart w:id="8" w:name="_Hlk190699001"/>
      <w:bookmarkEnd w:id="7"/>
      <w:r>
        <w:rPr>
          <w:rFonts w:asciiTheme="minorHAnsi" w:hAnsiTheme="minorHAnsi"/>
          <w:lang w:val="en-US" w:eastAsia="zh-CN"/>
        </w:rPr>
        <w:t>IALA ARM19-12.1 Report of ARM19</w:t>
      </w:r>
      <w:bookmarkEnd w:id="8"/>
    </w:p>
    <w:bookmarkEnd w:id="6"/>
    <w:p w14:paraId="09543266" w14:textId="77777777" w:rsidR="000B073D" w:rsidRDefault="00E77C0B">
      <w:pPr>
        <w:pStyle w:val="Heading1"/>
      </w:pPr>
      <w:r>
        <w:t>Action requested of the Committee</w:t>
      </w:r>
    </w:p>
    <w:p w14:paraId="09543267" w14:textId="77777777" w:rsidR="000B073D" w:rsidRDefault="00E77C0B">
      <w:pPr>
        <w:pStyle w:val="BodyText"/>
        <w:rPr>
          <w:rFonts w:ascii="Calibri" w:hAnsi="Calibri"/>
          <w:b/>
          <w:caps/>
          <w:color w:val="0070C0"/>
          <w:kern w:val="28"/>
          <w:sz w:val="24"/>
          <w:lang w:eastAsia="de-DE"/>
        </w:rPr>
      </w:pPr>
      <w:r>
        <w:rPr>
          <w:rFonts w:ascii="Calibri" w:hAnsi="Calibri"/>
          <w:lang w:val="en-US"/>
        </w:rPr>
        <w:t>The Committee is requested to consider the proposals in this document and take actions as appropriate.</w:t>
      </w:r>
    </w:p>
    <w:p w14:paraId="09543268" w14:textId="77777777" w:rsidR="000B073D" w:rsidRDefault="000B073D">
      <w:pPr>
        <w:pStyle w:val="List1"/>
        <w:numPr>
          <w:ilvl w:val="0"/>
          <w:numId w:val="0"/>
        </w:numPr>
        <w:rPr>
          <w:rFonts w:ascii="Calibri" w:hAnsi="Calibri"/>
          <w:b/>
          <w:caps/>
          <w:color w:val="0070C0"/>
          <w:kern w:val="28"/>
          <w:sz w:val="24"/>
          <w:lang w:eastAsia="de-DE"/>
        </w:rPr>
      </w:pPr>
    </w:p>
    <w:sectPr w:rsidR="000B073D">
      <w:headerReference w:type="even" r:id="rId11"/>
      <w:headerReference w:type="default" r:id="rId12"/>
      <w:footerReference w:type="default" r:id="rId13"/>
      <w:headerReference w:type="first" r:id="rId14"/>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43273" w14:textId="77777777" w:rsidR="00E77C0B" w:rsidRDefault="00E77C0B">
      <w:pPr>
        <w:spacing w:after="0" w:line="240" w:lineRule="auto"/>
      </w:pPr>
      <w:r>
        <w:separator/>
      </w:r>
    </w:p>
  </w:endnote>
  <w:endnote w:type="continuationSeparator" w:id="0">
    <w:p w14:paraId="09543275" w14:textId="77777777" w:rsidR="00E77C0B" w:rsidRDefault="00E77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1" w:usb3="00000000" w:csb0="400001BF" w:csb1="DFF7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4326D" w14:textId="77777777" w:rsidR="000B073D" w:rsidRDefault="00E77C0B">
    <w:pPr>
      <w:pStyle w:val="Footer"/>
      <w:rPr>
        <w:rFonts w:ascii="Calibri" w:hAnsi="Calibri"/>
      </w:rPr>
    </w:pPr>
    <w:r>
      <w:rPr>
        <w:rFonts w:ascii="Calibri" w:hAnsi="Calibri"/>
        <w:color w:val="000000" w:themeColor="text1"/>
      </w:rPr>
      <w:t xml:space="preserve">Proposal for revision of </w:t>
    </w:r>
    <w:r>
      <w:rPr>
        <w:rFonts w:ascii="Calibri" w:hAnsi="Calibri" w:hint="eastAsia"/>
        <w:color w:val="000000" w:themeColor="text1"/>
        <w:lang w:val="en-US" w:eastAsia="zh-CN"/>
      </w:rPr>
      <w:t xml:space="preserve">Guideline </w:t>
    </w:r>
    <w:r>
      <w:rPr>
        <w:rFonts w:ascii="Calibri" w:hAnsi="Calibri"/>
        <w:color w:val="000000" w:themeColor="text1"/>
      </w:rPr>
      <w:t>G1106</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543269" w14:textId="77777777" w:rsidR="000B073D" w:rsidRDefault="00E77C0B">
      <w:r>
        <w:separator/>
      </w:r>
    </w:p>
  </w:footnote>
  <w:footnote w:type="continuationSeparator" w:id="0">
    <w:p w14:paraId="0954326A" w14:textId="77777777" w:rsidR="000B073D" w:rsidRDefault="00E77C0B">
      <w:r>
        <w:continuationSeparator/>
      </w:r>
    </w:p>
  </w:footnote>
  <w:footnote w:id="1">
    <w:p w14:paraId="09543278" w14:textId="77777777" w:rsidR="000B073D" w:rsidRDefault="00E77C0B">
      <w:pPr>
        <w:pStyle w:val="FootnoteText"/>
        <w:rPr>
          <w:lang w:val="en-US"/>
        </w:rPr>
      </w:pPr>
      <w:r>
        <w:rPr>
          <w:rStyle w:val="FootnoteReference"/>
        </w:rPr>
        <w:footnoteRef/>
      </w:r>
      <w:r>
        <w:t xml:space="preserve"> </w:t>
      </w:r>
      <w:r>
        <w:rPr>
          <w:sz w:val="16"/>
          <w:szCs w:val="16"/>
        </w:rPr>
        <w:t xml:space="preserve">Input document number, to be assigned by the </w:t>
      </w:r>
      <w:r>
        <w:rPr>
          <w:sz w:val="16"/>
          <w:szCs w:val="16"/>
        </w:rPr>
        <w:t>Committee Secretary</w:t>
      </w:r>
    </w:p>
  </w:footnote>
  <w:footnote w:id="2">
    <w:p w14:paraId="09543279" w14:textId="77777777" w:rsidR="000B073D" w:rsidRDefault="00E77C0B">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4326B" w14:textId="19EC78F3" w:rsidR="000B073D" w:rsidRDefault="000B07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4326C" w14:textId="1FE8C5A4" w:rsidR="000B073D" w:rsidRDefault="00E77C0B">
    <w:pPr>
      <w:pStyle w:val="Header"/>
      <w:jc w:val="right"/>
    </w:pPr>
    <w:r>
      <w:rPr>
        <w:noProof/>
      </w:rPr>
      <w:drawing>
        <wp:anchor distT="0" distB="0" distL="114300" distR="114300" simplePos="0" relativeHeight="251655680" behindDoc="0" locked="0" layoutInCell="1" allowOverlap="1" wp14:anchorId="09543272" wp14:editId="09543273">
          <wp:simplePos x="0" y="0"/>
          <wp:positionH relativeFrom="column">
            <wp:posOffset>6075680</wp:posOffset>
          </wp:positionH>
          <wp:positionV relativeFrom="paragraph">
            <wp:posOffset>-218440</wp:posOffset>
          </wp:positionV>
          <wp:extent cx="574675" cy="560070"/>
          <wp:effectExtent l="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4326E" w14:textId="77777777" w:rsidR="000B073D" w:rsidRDefault="00E77C0B">
    <w:pPr>
      <w:pStyle w:val="Header"/>
      <w:jc w:val="center"/>
    </w:pPr>
    <w:r>
      <w:rPr>
        <w:noProof/>
        <w:lang w:val="nl-NL" w:eastAsia="nl-NL"/>
      </w:rPr>
      <w:drawing>
        <wp:anchor distT="0" distB="0" distL="114300" distR="114300" simplePos="0" relativeHeight="251656704" behindDoc="0" locked="0" layoutInCell="1" allowOverlap="1" wp14:anchorId="09543275" wp14:editId="09543276">
          <wp:simplePos x="0" y="0"/>
          <wp:positionH relativeFrom="column">
            <wp:posOffset>5951220</wp:posOffset>
          </wp:positionH>
          <wp:positionV relativeFrom="paragraph">
            <wp:posOffset>-185420</wp:posOffset>
          </wp:positionV>
          <wp:extent cx="574675" cy="560070"/>
          <wp:effectExtent l="0" t="0" r="15875"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p w14:paraId="0954326F" w14:textId="77777777" w:rsidR="000B073D" w:rsidRDefault="000B073D">
    <w:pPr>
      <w:pStyle w:val="Header"/>
      <w:jc w:val="center"/>
    </w:pPr>
  </w:p>
  <w:p w14:paraId="09543270" w14:textId="27AFAF80" w:rsidR="000B073D" w:rsidRDefault="000B073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lvlText w:val="%1"/>
      <w:lvlJc w:val="left"/>
      <w:pPr>
        <w:tabs>
          <w:tab w:val="left" w:pos="567"/>
        </w:tabs>
        <w:ind w:left="567" w:hanging="567"/>
      </w:pPr>
      <w:rPr>
        <w:rFonts w:hint="default"/>
      </w:rPr>
    </w:lvl>
    <w:lvl w:ilvl="1">
      <w:start w:val="1"/>
      <w:numFmt w:val="decimal"/>
      <w:lvlText w:val="%1.%2"/>
      <w:lvlJc w:val="left"/>
      <w:pPr>
        <w:tabs>
          <w:tab w:val="left" w:pos="851"/>
        </w:tabs>
        <w:ind w:left="851" w:hanging="851"/>
      </w:pPr>
      <w:rPr>
        <w:rFonts w:hint="default"/>
      </w:rPr>
    </w:lvl>
    <w:lvl w:ilvl="2">
      <w:start w:val="1"/>
      <w:numFmt w:val="decimal"/>
      <w:lvlText w:val="%1.%2.%3"/>
      <w:lvlJc w:val="left"/>
      <w:pPr>
        <w:tabs>
          <w:tab w:val="left" w:pos="1985"/>
        </w:tabs>
        <w:ind w:left="1985" w:hanging="992"/>
      </w:pPr>
      <w:rPr>
        <w:rFonts w:hint="default"/>
      </w:rPr>
    </w:lvl>
    <w:lvl w:ilvl="3">
      <w:start w:val="1"/>
      <w:numFmt w:val="decimal"/>
      <w:lvlText w:val="%1.%2.%3.%4"/>
      <w:lvlJc w:val="left"/>
      <w:pPr>
        <w:tabs>
          <w:tab w:val="left" w:pos="1134"/>
        </w:tabs>
        <w:ind w:left="1134" w:hanging="1134"/>
      </w:pPr>
      <w:rPr>
        <w:rFonts w:hint="default"/>
      </w:rPr>
    </w:lvl>
    <w:lvl w:ilvl="4">
      <w:start w:val="1"/>
      <w:numFmt w:val="decimal"/>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Theme="minorHAnsi" w:hAnsiTheme="minorHAns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num w:numId="1" w16cid:durableId="543180460">
    <w:abstractNumId w:val="14"/>
  </w:num>
  <w:num w:numId="2" w16cid:durableId="246965936">
    <w:abstractNumId w:val="2"/>
  </w:num>
  <w:num w:numId="3" w16cid:durableId="1221215091">
    <w:abstractNumId w:val="12"/>
  </w:num>
  <w:num w:numId="4" w16cid:durableId="309286644">
    <w:abstractNumId w:val="8"/>
  </w:num>
  <w:num w:numId="5" w16cid:durableId="1252545560">
    <w:abstractNumId w:val="1"/>
  </w:num>
  <w:num w:numId="6" w16cid:durableId="26175284">
    <w:abstractNumId w:val="15"/>
  </w:num>
  <w:num w:numId="7" w16cid:durableId="1011419513">
    <w:abstractNumId w:val="10"/>
  </w:num>
  <w:num w:numId="8" w16cid:durableId="1635795878">
    <w:abstractNumId w:val="9"/>
  </w:num>
  <w:num w:numId="9" w16cid:durableId="1248928625">
    <w:abstractNumId w:val="7"/>
  </w:num>
  <w:num w:numId="10" w16cid:durableId="102848177">
    <w:abstractNumId w:val="13"/>
  </w:num>
  <w:num w:numId="11" w16cid:durableId="2136826160">
    <w:abstractNumId w:val="6"/>
  </w:num>
  <w:num w:numId="12" w16cid:durableId="899363109">
    <w:abstractNumId w:val="11"/>
  </w:num>
  <w:num w:numId="13" w16cid:durableId="831529945">
    <w:abstractNumId w:val="3"/>
  </w:num>
  <w:num w:numId="14" w16cid:durableId="1820995829">
    <w:abstractNumId w:val="4"/>
  </w:num>
  <w:num w:numId="15" w16cid:durableId="2004118931">
    <w:abstractNumId w:val="5"/>
  </w:num>
  <w:num w:numId="16" w16cid:durableId="1916429363">
    <w:abstractNumId w:val="0"/>
  </w:num>
  <w:num w:numId="17" w16cid:durableId="44022250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93CBB518"/>
    <w:rsid w:val="B3FB786A"/>
    <w:rsid w:val="B67821FE"/>
    <w:rsid w:val="BFBBE950"/>
    <w:rsid w:val="D7F7CB47"/>
    <w:rsid w:val="EE3BCF47"/>
    <w:rsid w:val="F5FF459F"/>
    <w:rsid w:val="FEFF1CA3"/>
    <w:rsid w:val="FF36C103"/>
    <w:rsid w:val="FFD50E54"/>
    <w:rsid w:val="000005D3"/>
    <w:rsid w:val="000010B0"/>
    <w:rsid w:val="000049D8"/>
    <w:rsid w:val="00004ABF"/>
    <w:rsid w:val="0001070A"/>
    <w:rsid w:val="00012241"/>
    <w:rsid w:val="00036A03"/>
    <w:rsid w:val="00036B9E"/>
    <w:rsid w:val="00037DF4"/>
    <w:rsid w:val="0004700E"/>
    <w:rsid w:val="0006405E"/>
    <w:rsid w:val="00070C13"/>
    <w:rsid w:val="000715C9"/>
    <w:rsid w:val="00074D13"/>
    <w:rsid w:val="00084F33"/>
    <w:rsid w:val="000932E8"/>
    <w:rsid w:val="000A111A"/>
    <w:rsid w:val="000A2309"/>
    <w:rsid w:val="000A401A"/>
    <w:rsid w:val="000A513C"/>
    <w:rsid w:val="000A77A7"/>
    <w:rsid w:val="000B073D"/>
    <w:rsid w:val="000B1707"/>
    <w:rsid w:val="000C056A"/>
    <w:rsid w:val="000C1B3E"/>
    <w:rsid w:val="000C1BC1"/>
    <w:rsid w:val="000C349E"/>
    <w:rsid w:val="000D18B5"/>
    <w:rsid w:val="000D650B"/>
    <w:rsid w:val="000D6612"/>
    <w:rsid w:val="000E7A89"/>
    <w:rsid w:val="000F2584"/>
    <w:rsid w:val="000F72BA"/>
    <w:rsid w:val="001013AB"/>
    <w:rsid w:val="00110AE7"/>
    <w:rsid w:val="00110C3F"/>
    <w:rsid w:val="001217C5"/>
    <w:rsid w:val="00141A1A"/>
    <w:rsid w:val="0014567A"/>
    <w:rsid w:val="00146E5F"/>
    <w:rsid w:val="00147F5B"/>
    <w:rsid w:val="00177F4D"/>
    <w:rsid w:val="00180DDA"/>
    <w:rsid w:val="0018209D"/>
    <w:rsid w:val="00184C8C"/>
    <w:rsid w:val="00192ED2"/>
    <w:rsid w:val="00195F4D"/>
    <w:rsid w:val="001B2A2D"/>
    <w:rsid w:val="001B737D"/>
    <w:rsid w:val="001C0283"/>
    <w:rsid w:val="001C44A3"/>
    <w:rsid w:val="001C7527"/>
    <w:rsid w:val="001D497E"/>
    <w:rsid w:val="001D69E5"/>
    <w:rsid w:val="001E0E15"/>
    <w:rsid w:val="001F528A"/>
    <w:rsid w:val="001F704E"/>
    <w:rsid w:val="00200241"/>
    <w:rsid w:val="00200925"/>
    <w:rsid w:val="00201722"/>
    <w:rsid w:val="0020226C"/>
    <w:rsid w:val="002125B0"/>
    <w:rsid w:val="00215BC5"/>
    <w:rsid w:val="00224B4D"/>
    <w:rsid w:val="0022704C"/>
    <w:rsid w:val="00230D88"/>
    <w:rsid w:val="00231F0D"/>
    <w:rsid w:val="00243228"/>
    <w:rsid w:val="00247C5E"/>
    <w:rsid w:val="00251483"/>
    <w:rsid w:val="00255CAA"/>
    <w:rsid w:val="00264305"/>
    <w:rsid w:val="00291DFE"/>
    <w:rsid w:val="002945F7"/>
    <w:rsid w:val="0029706B"/>
    <w:rsid w:val="002A0346"/>
    <w:rsid w:val="002A4487"/>
    <w:rsid w:val="002B49E9"/>
    <w:rsid w:val="002C09D2"/>
    <w:rsid w:val="002C0D87"/>
    <w:rsid w:val="002C632E"/>
    <w:rsid w:val="002C71F9"/>
    <w:rsid w:val="002D3E8B"/>
    <w:rsid w:val="002D4575"/>
    <w:rsid w:val="002D48DC"/>
    <w:rsid w:val="002D5C0C"/>
    <w:rsid w:val="002E03D1"/>
    <w:rsid w:val="002E265B"/>
    <w:rsid w:val="002E6B74"/>
    <w:rsid w:val="002E6FCA"/>
    <w:rsid w:val="003039D6"/>
    <w:rsid w:val="003075E3"/>
    <w:rsid w:val="00310D05"/>
    <w:rsid w:val="00340193"/>
    <w:rsid w:val="0034416D"/>
    <w:rsid w:val="00344AC9"/>
    <w:rsid w:val="003533B4"/>
    <w:rsid w:val="00353BD7"/>
    <w:rsid w:val="00356CD0"/>
    <w:rsid w:val="00362CD9"/>
    <w:rsid w:val="003633E3"/>
    <w:rsid w:val="003703A8"/>
    <w:rsid w:val="003761CA"/>
    <w:rsid w:val="00380DAF"/>
    <w:rsid w:val="00385B20"/>
    <w:rsid w:val="003972CE"/>
    <w:rsid w:val="003A7190"/>
    <w:rsid w:val="003B28F5"/>
    <w:rsid w:val="003B7B7D"/>
    <w:rsid w:val="003C2591"/>
    <w:rsid w:val="003C2A77"/>
    <w:rsid w:val="003C54CB"/>
    <w:rsid w:val="003C7A2A"/>
    <w:rsid w:val="003D2DC1"/>
    <w:rsid w:val="003D69D0"/>
    <w:rsid w:val="003F2918"/>
    <w:rsid w:val="003F430E"/>
    <w:rsid w:val="00405F31"/>
    <w:rsid w:val="0041088C"/>
    <w:rsid w:val="00412DD0"/>
    <w:rsid w:val="0041482C"/>
    <w:rsid w:val="00420A38"/>
    <w:rsid w:val="00431B19"/>
    <w:rsid w:val="00432203"/>
    <w:rsid w:val="004373CC"/>
    <w:rsid w:val="00450D44"/>
    <w:rsid w:val="00451E06"/>
    <w:rsid w:val="00453DC9"/>
    <w:rsid w:val="004661AD"/>
    <w:rsid w:val="00476D19"/>
    <w:rsid w:val="004827D6"/>
    <w:rsid w:val="004954C2"/>
    <w:rsid w:val="004A56F6"/>
    <w:rsid w:val="004A6C1D"/>
    <w:rsid w:val="004B09CB"/>
    <w:rsid w:val="004D1D85"/>
    <w:rsid w:val="004D3C3A"/>
    <w:rsid w:val="004E028F"/>
    <w:rsid w:val="004E1CD1"/>
    <w:rsid w:val="004E5F03"/>
    <w:rsid w:val="004F7EFC"/>
    <w:rsid w:val="005053B5"/>
    <w:rsid w:val="005107EB"/>
    <w:rsid w:val="00521345"/>
    <w:rsid w:val="00526DF0"/>
    <w:rsid w:val="0053405A"/>
    <w:rsid w:val="005454B3"/>
    <w:rsid w:val="00545CC4"/>
    <w:rsid w:val="00546FD1"/>
    <w:rsid w:val="00551FFF"/>
    <w:rsid w:val="00553A93"/>
    <w:rsid w:val="005607A2"/>
    <w:rsid w:val="0057198B"/>
    <w:rsid w:val="00573CFE"/>
    <w:rsid w:val="00590E05"/>
    <w:rsid w:val="005969F2"/>
    <w:rsid w:val="00597995"/>
    <w:rsid w:val="00597FAE"/>
    <w:rsid w:val="005A361B"/>
    <w:rsid w:val="005B32A3"/>
    <w:rsid w:val="005B4762"/>
    <w:rsid w:val="005B4F43"/>
    <w:rsid w:val="005C0D44"/>
    <w:rsid w:val="005C1A0D"/>
    <w:rsid w:val="005C566C"/>
    <w:rsid w:val="005C7E69"/>
    <w:rsid w:val="005E0C16"/>
    <w:rsid w:val="005E262D"/>
    <w:rsid w:val="005F23D3"/>
    <w:rsid w:val="005F7812"/>
    <w:rsid w:val="005F7E20"/>
    <w:rsid w:val="00605E43"/>
    <w:rsid w:val="006153BB"/>
    <w:rsid w:val="006167E8"/>
    <w:rsid w:val="00624475"/>
    <w:rsid w:val="00640417"/>
    <w:rsid w:val="006615B7"/>
    <w:rsid w:val="006652C3"/>
    <w:rsid w:val="00670ADA"/>
    <w:rsid w:val="00691FD0"/>
    <w:rsid w:val="00692148"/>
    <w:rsid w:val="0069372C"/>
    <w:rsid w:val="00694ADF"/>
    <w:rsid w:val="006A1A1E"/>
    <w:rsid w:val="006A25D7"/>
    <w:rsid w:val="006A2AF6"/>
    <w:rsid w:val="006B18CE"/>
    <w:rsid w:val="006C5948"/>
    <w:rsid w:val="006F2A74"/>
    <w:rsid w:val="006F3FA2"/>
    <w:rsid w:val="006F784D"/>
    <w:rsid w:val="007000D4"/>
    <w:rsid w:val="00711438"/>
    <w:rsid w:val="007118F5"/>
    <w:rsid w:val="00712AA4"/>
    <w:rsid w:val="007146C4"/>
    <w:rsid w:val="00717593"/>
    <w:rsid w:val="0072037A"/>
    <w:rsid w:val="00721AA1"/>
    <w:rsid w:val="00724B67"/>
    <w:rsid w:val="00751936"/>
    <w:rsid w:val="007547F8"/>
    <w:rsid w:val="0075626B"/>
    <w:rsid w:val="00763B38"/>
    <w:rsid w:val="00764CF5"/>
    <w:rsid w:val="00765622"/>
    <w:rsid w:val="00766EE4"/>
    <w:rsid w:val="00770B6C"/>
    <w:rsid w:val="00776E59"/>
    <w:rsid w:val="00783FEA"/>
    <w:rsid w:val="007A0AEA"/>
    <w:rsid w:val="007A395D"/>
    <w:rsid w:val="007B066F"/>
    <w:rsid w:val="007B10E9"/>
    <w:rsid w:val="007B6BD5"/>
    <w:rsid w:val="007B7513"/>
    <w:rsid w:val="007C346C"/>
    <w:rsid w:val="007D0709"/>
    <w:rsid w:val="007E6479"/>
    <w:rsid w:val="007F48AD"/>
    <w:rsid w:val="007F63F6"/>
    <w:rsid w:val="0080294B"/>
    <w:rsid w:val="00806F19"/>
    <w:rsid w:val="0082480E"/>
    <w:rsid w:val="00832B2B"/>
    <w:rsid w:val="00841616"/>
    <w:rsid w:val="00845A56"/>
    <w:rsid w:val="00850293"/>
    <w:rsid w:val="00851373"/>
    <w:rsid w:val="008518A2"/>
    <w:rsid w:val="00851BA6"/>
    <w:rsid w:val="00853263"/>
    <w:rsid w:val="0085654D"/>
    <w:rsid w:val="00861160"/>
    <w:rsid w:val="00865772"/>
    <w:rsid w:val="0086654F"/>
    <w:rsid w:val="00885F1D"/>
    <w:rsid w:val="00887277"/>
    <w:rsid w:val="0089150F"/>
    <w:rsid w:val="00894C41"/>
    <w:rsid w:val="008A356F"/>
    <w:rsid w:val="008A4653"/>
    <w:rsid w:val="008A4717"/>
    <w:rsid w:val="008A48DC"/>
    <w:rsid w:val="008A50CC"/>
    <w:rsid w:val="008A665B"/>
    <w:rsid w:val="008A6D99"/>
    <w:rsid w:val="008B3040"/>
    <w:rsid w:val="008B7E8A"/>
    <w:rsid w:val="008C13F1"/>
    <w:rsid w:val="008C2899"/>
    <w:rsid w:val="008C2CD7"/>
    <w:rsid w:val="008C51F1"/>
    <w:rsid w:val="008C7C54"/>
    <w:rsid w:val="008D1694"/>
    <w:rsid w:val="008D3259"/>
    <w:rsid w:val="008D6146"/>
    <w:rsid w:val="008D73A5"/>
    <w:rsid w:val="008D79CB"/>
    <w:rsid w:val="008F07BC"/>
    <w:rsid w:val="00904F3F"/>
    <w:rsid w:val="00904FDC"/>
    <w:rsid w:val="00925ACE"/>
    <w:rsid w:val="0092692B"/>
    <w:rsid w:val="00930561"/>
    <w:rsid w:val="00934E55"/>
    <w:rsid w:val="009374EC"/>
    <w:rsid w:val="009414A3"/>
    <w:rsid w:val="00943E9C"/>
    <w:rsid w:val="00953F4D"/>
    <w:rsid w:val="00955871"/>
    <w:rsid w:val="0095705C"/>
    <w:rsid w:val="00960BB8"/>
    <w:rsid w:val="00963FFE"/>
    <w:rsid w:val="00964F5C"/>
    <w:rsid w:val="009709DA"/>
    <w:rsid w:val="00973B57"/>
    <w:rsid w:val="00975672"/>
    <w:rsid w:val="00975900"/>
    <w:rsid w:val="009831C0"/>
    <w:rsid w:val="00986372"/>
    <w:rsid w:val="0099161D"/>
    <w:rsid w:val="009957D6"/>
    <w:rsid w:val="009B1D23"/>
    <w:rsid w:val="009B4F79"/>
    <w:rsid w:val="009C0CC7"/>
    <w:rsid w:val="009C25F1"/>
    <w:rsid w:val="009C2FE6"/>
    <w:rsid w:val="009D2B8C"/>
    <w:rsid w:val="009D4B72"/>
    <w:rsid w:val="009E35F6"/>
    <w:rsid w:val="009E3C39"/>
    <w:rsid w:val="009F492B"/>
    <w:rsid w:val="00A00582"/>
    <w:rsid w:val="00A0389B"/>
    <w:rsid w:val="00A12C6A"/>
    <w:rsid w:val="00A20280"/>
    <w:rsid w:val="00A23DD2"/>
    <w:rsid w:val="00A27C48"/>
    <w:rsid w:val="00A321D4"/>
    <w:rsid w:val="00A33A3C"/>
    <w:rsid w:val="00A366B6"/>
    <w:rsid w:val="00A43187"/>
    <w:rsid w:val="00A446C9"/>
    <w:rsid w:val="00A635D6"/>
    <w:rsid w:val="00A64717"/>
    <w:rsid w:val="00A8553A"/>
    <w:rsid w:val="00A93AED"/>
    <w:rsid w:val="00AA658A"/>
    <w:rsid w:val="00AB5283"/>
    <w:rsid w:val="00AB5D3D"/>
    <w:rsid w:val="00AB6FBD"/>
    <w:rsid w:val="00AD6ADD"/>
    <w:rsid w:val="00AE1319"/>
    <w:rsid w:val="00AE34BB"/>
    <w:rsid w:val="00B226F2"/>
    <w:rsid w:val="00B274DF"/>
    <w:rsid w:val="00B30EA0"/>
    <w:rsid w:val="00B34F70"/>
    <w:rsid w:val="00B45D85"/>
    <w:rsid w:val="00B55CF3"/>
    <w:rsid w:val="00B56BDF"/>
    <w:rsid w:val="00B628EC"/>
    <w:rsid w:val="00B62BB5"/>
    <w:rsid w:val="00B65812"/>
    <w:rsid w:val="00B76CD7"/>
    <w:rsid w:val="00B85CD6"/>
    <w:rsid w:val="00B900BF"/>
    <w:rsid w:val="00B90A27"/>
    <w:rsid w:val="00B94262"/>
    <w:rsid w:val="00B9554D"/>
    <w:rsid w:val="00BA4820"/>
    <w:rsid w:val="00BB2B9F"/>
    <w:rsid w:val="00BB4D89"/>
    <w:rsid w:val="00BB7D9E"/>
    <w:rsid w:val="00BC2334"/>
    <w:rsid w:val="00BD3CB8"/>
    <w:rsid w:val="00BD3FB8"/>
    <w:rsid w:val="00BD410F"/>
    <w:rsid w:val="00BD4E6F"/>
    <w:rsid w:val="00BE52F6"/>
    <w:rsid w:val="00BE5B41"/>
    <w:rsid w:val="00BF32F0"/>
    <w:rsid w:val="00BF3BE5"/>
    <w:rsid w:val="00BF4DCE"/>
    <w:rsid w:val="00C05CE5"/>
    <w:rsid w:val="00C31335"/>
    <w:rsid w:val="00C4301A"/>
    <w:rsid w:val="00C6171E"/>
    <w:rsid w:val="00C65D28"/>
    <w:rsid w:val="00C91BD8"/>
    <w:rsid w:val="00CA1192"/>
    <w:rsid w:val="00CA22CD"/>
    <w:rsid w:val="00CA6F2C"/>
    <w:rsid w:val="00CB068D"/>
    <w:rsid w:val="00CB4B38"/>
    <w:rsid w:val="00CD6A13"/>
    <w:rsid w:val="00CE1CE1"/>
    <w:rsid w:val="00CF1871"/>
    <w:rsid w:val="00D0007B"/>
    <w:rsid w:val="00D01874"/>
    <w:rsid w:val="00D019CE"/>
    <w:rsid w:val="00D109BB"/>
    <w:rsid w:val="00D1133E"/>
    <w:rsid w:val="00D119FA"/>
    <w:rsid w:val="00D1207D"/>
    <w:rsid w:val="00D15B37"/>
    <w:rsid w:val="00D17A34"/>
    <w:rsid w:val="00D26628"/>
    <w:rsid w:val="00D332B3"/>
    <w:rsid w:val="00D34786"/>
    <w:rsid w:val="00D5336D"/>
    <w:rsid w:val="00D55207"/>
    <w:rsid w:val="00D61040"/>
    <w:rsid w:val="00D75724"/>
    <w:rsid w:val="00D81801"/>
    <w:rsid w:val="00D81FB3"/>
    <w:rsid w:val="00D92B45"/>
    <w:rsid w:val="00D95962"/>
    <w:rsid w:val="00D97B04"/>
    <w:rsid w:val="00DA2F45"/>
    <w:rsid w:val="00DC2E31"/>
    <w:rsid w:val="00DC389B"/>
    <w:rsid w:val="00DD60A9"/>
    <w:rsid w:val="00DE0153"/>
    <w:rsid w:val="00DE2FEE"/>
    <w:rsid w:val="00DF1467"/>
    <w:rsid w:val="00DF56A1"/>
    <w:rsid w:val="00E00BE9"/>
    <w:rsid w:val="00E02141"/>
    <w:rsid w:val="00E22A11"/>
    <w:rsid w:val="00E31E5C"/>
    <w:rsid w:val="00E44DD2"/>
    <w:rsid w:val="00E558C3"/>
    <w:rsid w:val="00E55927"/>
    <w:rsid w:val="00E60540"/>
    <w:rsid w:val="00E74F36"/>
    <w:rsid w:val="00E77C0B"/>
    <w:rsid w:val="00E912A6"/>
    <w:rsid w:val="00E968CD"/>
    <w:rsid w:val="00EA20E3"/>
    <w:rsid w:val="00EA2F86"/>
    <w:rsid w:val="00EA4844"/>
    <w:rsid w:val="00EA4D9C"/>
    <w:rsid w:val="00EA5A97"/>
    <w:rsid w:val="00EB11FF"/>
    <w:rsid w:val="00EB2248"/>
    <w:rsid w:val="00EB75EE"/>
    <w:rsid w:val="00EC6BEA"/>
    <w:rsid w:val="00EC6F9F"/>
    <w:rsid w:val="00ED5ED0"/>
    <w:rsid w:val="00EE3CC5"/>
    <w:rsid w:val="00EE4C1D"/>
    <w:rsid w:val="00EE73A0"/>
    <w:rsid w:val="00EF3685"/>
    <w:rsid w:val="00EF64BD"/>
    <w:rsid w:val="00EF64CB"/>
    <w:rsid w:val="00F01A15"/>
    <w:rsid w:val="00F04350"/>
    <w:rsid w:val="00F06F83"/>
    <w:rsid w:val="00F133DB"/>
    <w:rsid w:val="00F159EB"/>
    <w:rsid w:val="00F25BF4"/>
    <w:rsid w:val="00F267DB"/>
    <w:rsid w:val="00F306BA"/>
    <w:rsid w:val="00F46F6F"/>
    <w:rsid w:val="00F522CF"/>
    <w:rsid w:val="00F57B46"/>
    <w:rsid w:val="00F60608"/>
    <w:rsid w:val="00F62217"/>
    <w:rsid w:val="00F7266C"/>
    <w:rsid w:val="00F90D36"/>
    <w:rsid w:val="00FB17A9"/>
    <w:rsid w:val="00FB527C"/>
    <w:rsid w:val="00FB5F85"/>
    <w:rsid w:val="00FB68A8"/>
    <w:rsid w:val="00FB6F75"/>
    <w:rsid w:val="00FC01CC"/>
    <w:rsid w:val="00FC0387"/>
    <w:rsid w:val="00FC0EB3"/>
    <w:rsid w:val="00FD2577"/>
    <w:rsid w:val="00FD675E"/>
    <w:rsid w:val="00FE3D2C"/>
    <w:rsid w:val="00FE5674"/>
    <w:rsid w:val="00FE5D95"/>
    <w:rsid w:val="1FB93D7A"/>
    <w:rsid w:val="3E5528EA"/>
    <w:rsid w:val="4E2308FA"/>
    <w:rsid w:val="67BF53C3"/>
    <w:rsid w:val="6BE66889"/>
    <w:rsid w:val="6FFF4AD1"/>
    <w:rsid w:val="7577923A"/>
    <w:rsid w:val="7AFF9096"/>
    <w:rsid w:val="7D9E74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5"/>
    </o:shapelayout>
  </w:shapeDefaults>
  <w:decimalSymbol w:val="."/>
  <w:listSeparator w:val=","/>
  <w14:docId w14:val="0954322B"/>
  <w15:docId w15:val="{000D6C34-B3C0-4239-8BDF-2EBAB73A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GB" w:eastAsia="en-GB"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tabs>
        <w:tab w:val="left" w:pos="567"/>
      </w:tabs>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tabs>
        <w:tab w:val="left" w:pos="567"/>
        <w:tab w:val="left" w:pos="851"/>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left" w:pos="567"/>
        <w:tab w:val="left" w:pos="992"/>
      </w:tabs>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tabs>
        <w:tab w:val="left" w:pos="567"/>
        <w:tab w:val="left" w:pos="1134"/>
      </w:tabs>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tabs>
        <w:tab w:val="left" w:pos="567"/>
        <w:tab w:val="left" w:pos="1008"/>
      </w:tabs>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3"/>
      </w:numPr>
      <w:tabs>
        <w:tab w:val="left" w:pos="1701"/>
      </w:tabs>
      <w:jc w:val="both"/>
    </w:pPr>
    <w:rPr>
      <w:snapToGrid w:val="0"/>
      <w:kern w:val="0"/>
      <w:lang w:eastAsia="en-GB"/>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8"/>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9"/>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1"/>
      </w:numPr>
      <w:spacing w:after="120"/>
      <w:jc w:val="both"/>
    </w:pPr>
    <w:rPr>
      <w:rFonts w:eastAsia="MS Mincho"/>
      <w:lang w:eastAsia="ja-JP"/>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1"/>
      </w:numPr>
      <w:tabs>
        <w:tab w:val="left" w:pos="567"/>
      </w:tabs>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3"/>
      </w:numPr>
      <w:spacing w:after="120"/>
    </w:pPr>
    <w:rPr>
      <w:szCs w:val="20"/>
    </w:rPr>
  </w:style>
  <w:style w:type="paragraph" w:customStyle="1" w:styleId="AppendixHeading1">
    <w:name w:val="Appendix Heading 1"/>
    <w:basedOn w:val="Normal"/>
    <w:next w:val="BodyText"/>
    <w:qFormat/>
    <w:pPr>
      <w:numPr>
        <w:numId w:val="14"/>
      </w:numPr>
      <w:spacing w:before="120" w:after="120"/>
    </w:pPr>
    <w:rPr>
      <w:rFonts w:cs="Arial"/>
      <w:b/>
      <w:caps/>
      <w:sz w:val="24"/>
    </w:rPr>
  </w:style>
  <w:style w:type="paragraph" w:customStyle="1" w:styleId="AppendixHeading2">
    <w:name w:val="Appendix Heading 2"/>
    <w:basedOn w:val="Normal"/>
    <w:next w:val="BodyText"/>
    <w:qFormat/>
    <w:pPr>
      <w:numPr>
        <w:ilvl w:val="1"/>
        <w:numId w:val="14"/>
      </w:numPr>
      <w:spacing w:before="120" w:after="120"/>
    </w:pPr>
    <w:rPr>
      <w:rFonts w:cs="Arial"/>
      <w:b/>
    </w:rPr>
  </w:style>
  <w:style w:type="paragraph" w:customStyle="1" w:styleId="AppendixHeading3">
    <w:name w:val="Appendix Heading 3"/>
    <w:basedOn w:val="Normal"/>
    <w:next w:val="Normal"/>
    <w:qFormat/>
    <w:pPr>
      <w:numPr>
        <w:ilvl w:val="2"/>
        <w:numId w:val="14"/>
      </w:numPr>
      <w:spacing w:before="120" w:after="120"/>
    </w:pPr>
    <w:rPr>
      <w:rFonts w:cs="Arial"/>
    </w:rPr>
  </w:style>
  <w:style w:type="paragraph" w:customStyle="1" w:styleId="AppendixHeading4">
    <w:name w:val="Appendix Heading 4"/>
    <w:basedOn w:val="Normal"/>
    <w:next w:val="BodyText"/>
    <w:qFormat/>
    <w:pPr>
      <w:numPr>
        <w:ilvl w:val="3"/>
        <w:numId w:val="14"/>
      </w:numPr>
      <w:spacing w:before="120" w:after="120"/>
    </w:pPr>
    <w:rPr>
      <w:rFonts w:cs="Arial"/>
    </w:rPr>
  </w:style>
  <w:style w:type="paragraph" w:customStyle="1" w:styleId="equation">
    <w:name w:val="equation"/>
    <w:basedOn w:val="Normal"/>
    <w:next w:val="BodyText"/>
    <w:qFormat/>
    <w:pPr>
      <w:keepNext/>
      <w:numPr>
        <w:numId w:val="15"/>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6"/>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Lista">
    <w:name w:val="List a"/>
    <w:basedOn w:val="Normal"/>
    <w:qFormat/>
    <w:pPr>
      <w:numPr>
        <w:ilvl w:val="1"/>
        <w:numId w:val="17"/>
      </w:numPr>
      <w:spacing w:after="120"/>
      <w:jc w:val="both"/>
    </w:pPr>
    <w:rPr>
      <w:rFonts w:asciiTheme="minorHAnsi" w:eastAsia="Times New Roman" w:hAnsiTheme="minorHAnsi" w:cs="Times New Roman"/>
      <w:szCs w:val="20"/>
    </w:rPr>
  </w:style>
  <w:style w:type="paragraph" w:customStyle="1" w:styleId="Listi">
    <w:name w:val="List i"/>
    <w:basedOn w:val="Normal"/>
    <w:qFormat/>
    <w:pPr>
      <w:numPr>
        <w:ilvl w:val="2"/>
        <w:numId w:val="17"/>
      </w:numPr>
      <w:spacing w:line="216" w:lineRule="atLeast"/>
      <w:ind w:left="1701" w:hanging="425"/>
    </w:pPr>
    <w:rPr>
      <w:rFonts w:asciiTheme="minorHAnsi" w:eastAsiaTheme="minorHAnsi" w:hAnsiTheme="minorHAnsi" w:cstheme="minorBidi"/>
      <w:sz w:val="20"/>
      <w:lang w:eastAsia="en-US"/>
    </w:rPr>
  </w:style>
  <w:style w:type="paragraph" w:customStyle="1" w:styleId="p0">
    <w:name w:val="p0"/>
    <w:basedOn w:val="Normal"/>
    <w:qFormat/>
    <w:pPr>
      <w:spacing w:line="360" w:lineRule="auto"/>
      <w:ind w:firstLineChars="200" w:firstLine="800"/>
      <w:jc w:val="both"/>
    </w:pPr>
    <w:rPr>
      <w:rFonts w:ascii="Times New Roman" w:hAnsi="Times New Roman" w:cs="Times New Roman"/>
      <w:sz w:val="24"/>
      <w:szCs w:val="24"/>
      <w:lang w:val="en-US" w:eastAsia="zh-CN"/>
    </w:rPr>
  </w:style>
  <w:style w:type="paragraph" w:customStyle="1" w:styleId="1">
    <w:name w:val="列表段落1"/>
    <w:basedOn w:val="Normal"/>
    <w:qFormat/>
    <w:pPr>
      <w:spacing w:before="100" w:beforeAutospacing="1" w:after="100" w:afterAutospacing="1"/>
      <w:ind w:left="720"/>
      <w:contextualSpacing/>
      <w:jc w:val="both"/>
    </w:pPr>
    <w:rPr>
      <w:rFonts w:eastAsia="MS Mincho" w:cs="Times New Roman"/>
      <w:lang w:val="en-US" w:eastAsia="zh-CN"/>
    </w:rPr>
  </w:style>
  <w:style w:type="paragraph" w:styleId="Revision">
    <w:name w:val="Revision"/>
    <w:hidden/>
    <w:uiPriority w:val="99"/>
    <w:unhideWhenUsed/>
    <w:rsid w:val="00E77C0B"/>
    <w:pPr>
      <w:spacing w:after="0" w:line="240" w:lineRule="auto"/>
    </w:pPr>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hpExts>
    <customShpInfo spid="_x0000_s4098"/>
    <customShpInfo spid="_x0000_s4099"/>
    <customShpInfo spid="_x0000_s4097"/>
  </customShpExts>
</s:customDat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F17648-910C-43C9-AF15-F2D312149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97FD96EE-4EF4-4C75-A256-7E17AB45E01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3B18F339-381E-433B-AF24-5C450DBEF9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1695</Words>
  <Characters>9662</Characters>
  <Application>Microsoft Office Word</Application>
  <DocSecurity>0</DocSecurity>
  <Lines>80</Lines>
  <Paragraphs>22</Paragraphs>
  <ScaleCrop>false</ScaleCrop>
  <Company/>
  <LinksUpToDate>false</LinksUpToDate>
  <CharactersWithSpaces>11335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cp:revision>
  <cp:lastPrinted>2025-02-13T12:40:00Z</cp:lastPrinted>
  <dcterms:created xsi:type="dcterms:W3CDTF">2025-02-27T17:26:00Z</dcterms:created>
  <dcterms:modified xsi:type="dcterms:W3CDTF">2025-03-13T14:37:00Z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ProductBuildVer">
    <vt:lpwstr>2052-11.8.2.10534</vt:lpwstr>
  </property>
  <property fmtid="{D5CDD505-2E9C-101B-9397-08002B2CF9AE}" pid="6" name="ICV">
    <vt:lpwstr>56E152BB1117474893212BD467D8F037_13</vt:lpwstr>
  </property>
  <property fmtid="{D5CDD505-2E9C-101B-9397-08002B2CF9AE}" pid="7" name="KSOTemplateDocerSaveRecord">
    <vt:lpwstr>eyJoZGlkIjoiOTI2MzNkYzc5MWNkMmE3NjYwMTRkOGQ0Y2Y1ODljMmMiLCJ1c2VySWQiOiI1Mzc1MjM4NjgifQ==</vt:lpwstr>
  </property>
</Properties>
</file>