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0A7F94" w14:paraId="1CA83A05" w14:textId="77777777" w:rsidTr="00050DA7">
        <w:tc>
          <w:tcPr>
            <w:tcW w:w="4428" w:type="dxa"/>
          </w:tcPr>
          <w:p w14:paraId="6AD18985" w14:textId="77777777" w:rsidR="000348ED" w:rsidRPr="000A7F94" w:rsidRDefault="005D05AC" w:rsidP="00D64A02">
            <w:pPr>
              <w:tabs>
                <w:tab w:val="left" w:pos="851"/>
              </w:tabs>
            </w:pPr>
            <w:r w:rsidRPr="000A7F94">
              <w:t>From:</w:t>
            </w:r>
            <w:r w:rsidRPr="000A7F94">
              <w:tab/>
            </w:r>
            <w:r w:rsidR="00D64A02" w:rsidRPr="000A7F94">
              <w:t>e-NAV</w:t>
            </w:r>
            <w:r w:rsidR="00CA04AF" w:rsidRPr="000A7F94">
              <w:t xml:space="preserve"> </w:t>
            </w:r>
            <w:r w:rsidRPr="000A7F94">
              <w:t>C</w:t>
            </w:r>
            <w:r w:rsidR="00050DA7" w:rsidRPr="000A7F94">
              <w:t>ommittee</w:t>
            </w:r>
          </w:p>
        </w:tc>
        <w:tc>
          <w:tcPr>
            <w:tcW w:w="5461" w:type="dxa"/>
          </w:tcPr>
          <w:p w14:paraId="03959600" w14:textId="6277C621" w:rsidR="000348ED" w:rsidRPr="000A7F94" w:rsidRDefault="00855DE6" w:rsidP="00D64A02">
            <w:pPr>
              <w:jc w:val="right"/>
            </w:pPr>
            <w:r w:rsidRPr="000A7F94">
              <w:t>PAP22</w:t>
            </w:r>
            <w:r w:rsidR="005D05AC" w:rsidRPr="000A7F94">
              <w:t>/output/</w:t>
            </w:r>
            <w:r w:rsidR="0081775A" w:rsidRPr="000A7F94">
              <w:t>2</w:t>
            </w:r>
          </w:p>
        </w:tc>
      </w:tr>
      <w:tr w:rsidR="000348ED" w:rsidRPr="000A7F94" w14:paraId="5F5EDEF8" w14:textId="77777777" w:rsidTr="00050DA7">
        <w:tc>
          <w:tcPr>
            <w:tcW w:w="4428" w:type="dxa"/>
          </w:tcPr>
          <w:p w14:paraId="69CB9F32" w14:textId="202623AB" w:rsidR="00A06DFC" w:rsidRPr="000A7F94" w:rsidRDefault="005D05AC" w:rsidP="00A06DFC">
            <w:pPr>
              <w:tabs>
                <w:tab w:val="left" w:pos="851"/>
              </w:tabs>
            </w:pPr>
            <w:r w:rsidRPr="000A7F94">
              <w:t>To:</w:t>
            </w:r>
            <w:r w:rsidRPr="000A7F94">
              <w:tab/>
            </w:r>
            <w:r w:rsidR="00D64A02" w:rsidRPr="000A7F94">
              <w:t>IALA Council</w:t>
            </w:r>
          </w:p>
          <w:p w14:paraId="016F913D" w14:textId="5D1EB8D3" w:rsidR="00D64A02" w:rsidRPr="000A7F94" w:rsidRDefault="00D64A02" w:rsidP="00D64A02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3023902D" w14:textId="45DE7AB4" w:rsidR="000348ED" w:rsidRPr="000A7F94" w:rsidRDefault="00855DE6" w:rsidP="00D64A02">
            <w:pPr>
              <w:jc w:val="right"/>
            </w:pPr>
            <w:r w:rsidRPr="000A7F94">
              <w:t>26 October 2011</w:t>
            </w:r>
          </w:p>
        </w:tc>
      </w:tr>
    </w:tbl>
    <w:p w14:paraId="7A78A631" w14:textId="2C5553CE" w:rsidR="000348ED" w:rsidRPr="000A7F94" w:rsidRDefault="003C4840" w:rsidP="00A06DFC">
      <w:pPr>
        <w:pStyle w:val="Title"/>
        <w:spacing w:before="480" w:after="120"/>
      </w:pPr>
      <w:r w:rsidRPr="000A7F94">
        <w:t>Information Paper</w:t>
      </w:r>
    </w:p>
    <w:p w14:paraId="50CF1D76" w14:textId="77777777" w:rsidR="00A06DFC" w:rsidRPr="000A7F94" w:rsidRDefault="00A06DFC" w:rsidP="00A06DFC">
      <w:pPr>
        <w:pStyle w:val="Title"/>
        <w:rPr>
          <w:rFonts w:eastAsiaTheme="majorEastAsia"/>
        </w:rPr>
      </w:pPr>
      <w:r w:rsidRPr="000A7F94">
        <w:rPr>
          <w:rFonts w:eastAsiaTheme="majorEastAsia"/>
        </w:rPr>
        <w:t>Regulatory Process for e-Navigation</w:t>
      </w:r>
    </w:p>
    <w:p w14:paraId="607CD8C8" w14:textId="77777777" w:rsidR="00A06DFC" w:rsidRPr="000A7F94" w:rsidRDefault="00A06DFC" w:rsidP="00A06DFC">
      <w:pPr>
        <w:rPr>
          <w:rFonts w:eastAsiaTheme="majorEastAsia" w:cs="Arial"/>
          <w:color w:val="000000" w:themeColor="text1"/>
          <w:kern w:val="24"/>
          <w:sz w:val="24"/>
          <w:szCs w:val="24"/>
        </w:rPr>
      </w:pPr>
    </w:p>
    <w:p w14:paraId="7EBA98CA" w14:textId="77777777" w:rsidR="00A06DFC" w:rsidRPr="000A7F94" w:rsidRDefault="00A06DFC" w:rsidP="00A06DFC">
      <w:pPr>
        <w:pStyle w:val="Heading1"/>
        <w:rPr>
          <w:lang w:val="en-GB"/>
        </w:rPr>
      </w:pPr>
      <w:r w:rsidRPr="000A7F94">
        <w:rPr>
          <w:lang w:val="en-GB"/>
        </w:rPr>
        <w:t>Background</w:t>
      </w:r>
    </w:p>
    <w:p w14:paraId="5784732B" w14:textId="054C2C2F" w:rsidR="00A06DFC" w:rsidRPr="000A7F94" w:rsidRDefault="00A06DFC" w:rsidP="00A06DFC">
      <w:pPr>
        <w:pStyle w:val="BodyText"/>
      </w:pPr>
      <w:r w:rsidRPr="000A7F94">
        <w:t xml:space="preserve">The implementation of the IMO e-Navigation Strategy is expected to involve preparation of performance standards, or as a minimum, harmonisation of equipment. </w:t>
      </w:r>
      <w:r w:rsidR="0081775A" w:rsidRPr="000A7F94">
        <w:t xml:space="preserve"> </w:t>
      </w:r>
      <w:r w:rsidRPr="000A7F94">
        <w:t>The process for the introduction of new standards can be lengthy and adopting an effective approach will facilitate and accelerate the introduction of e-Navigation.  This note is intended to capture the outcome of discussions on this matter within IALA and other bodies.</w:t>
      </w:r>
    </w:p>
    <w:p w14:paraId="0F432725" w14:textId="77777777" w:rsidR="00A06DFC" w:rsidRPr="000A7F94" w:rsidRDefault="00A06DFC" w:rsidP="00A06DFC">
      <w:pPr>
        <w:pStyle w:val="Heading1"/>
        <w:rPr>
          <w:lang w:val="en-GB"/>
        </w:rPr>
      </w:pPr>
      <w:r w:rsidRPr="000A7F94">
        <w:rPr>
          <w:lang w:val="en-GB"/>
        </w:rPr>
        <w:t>What is the problem?</w:t>
      </w:r>
    </w:p>
    <w:p w14:paraId="1E4166D9" w14:textId="77777777" w:rsidR="00A06DFC" w:rsidRPr="000A7F94" w:rsidRDefault="00A06DFC" w:rsidP="00855DE6">
      <w:pPr>
        <w:pStyle w:val="BodyText"/>
      </w:pPr>
      <w:r w:rsidRPr="000A7F94">
        <w:t>The schedule for the e-Navigation initiative agreed at IMO NAV 57 is: completion of gap analysis by 2012; risk analysis &amp; CBA by 2013; strategy implementation plan by 2014.</w:t>
      </w:r>
    </w:p>
    <w:p w14:paraId="4E135358" w14:textId="77777777" w:rsidR="00A06DFC" w:rsidRPr="000A7F94" w:rsidRDefault="00A06DFC" w:rsidP="00855DE6">
      <w:pPr>
        <w:pStyle w:val="BodyText"/>
      </w:pPr>
      <w:r w:rsidRPr="000A7F94">
        <w:t>The timetable for the actual implementation has not yet been discussed formally, but might be in two phases: phase 1- existing equipment &amp; standards (2014-2020?); phase 2: new equipment &amp; systems (2020 onwards?).</w:t>
      </w:r>
    </w:p>
    <w:p w14:paraId="56713FDE" w14:textId="3E8F396B" w:rsidR="00A06DFC" w:rsidRPr="000A7F94" w:rsidRDefault="00A06DFC" w:rsidP="00855DE6">
      <w:pPr>
        <w:pStyle w:val="BodyText"/>
      </w:pPr>
      <w:r w:rsidRPr="000A7F94">
        <w:t xml:space="preserve">New standards take 4-5 years to introduce and the implementation periods can be 10 years or more. </w:t>
      </w:r>
      <w:r w:rsidR="0097550F" w:rsidRPr="000A7F94">
        <w:t xml:space="preserve"> </w:t>
      </w:r>
      <w:r w:rsidRPr="000A7F94">
        <w:t>Therefore, if several new items of equipment or complete systems are involved, the overall process could become so lengthy as to negate the expected benefits.</w:t>
      </w:r>
    </w:p>
    <w:p w14:paraId="51AC0CE0" w14:textId="77777777" w:rsidR="00A06DFC" w:rsidRPr="000A7F94" w:rsidRDefault="00A06DFC" w:rsidP="00A06DFC">
      <w:pPr>
        <w:pStyle w:val="Heading1"/>
        <w:rPr>
          <w:lang w:val="en-GB"/>
        </w:rPr>
      </w:pPr>
      <w:r w:rsidRPr="000A7F94">
        <w:rPr>
          <w:lang w:val="en-GB"/>
        </w:rPr>
        <w:t>Potential solutions</w:t>
      </w:r>
    </w:p>
    <w:p w14:paraId="5076D66C" w14:textId="77777777" w:rsidR="00A06DFC" w:rsidRPr="000A7F94" w:rsidRDefault="00A06DFC" w:rsidP="00855DE6">
      <w:pPr>
        <w:pStyle w:val="BodyText"/>
      </w:pPr>
      <w:r w:rsidRPr="000A7F94">
        <w:t>Various possible solutions can be envisaged:</w:t>
      </w:r>
    </w:p>
    <w:p w14:paraId="7A0CE065" w14:textId="77777777" w:rsidR="00A06DFC" w:rsidRPr="000A7F94" w:rsidRDefault="00A06DFC" w:rsidP="0097550F">
      <w:pPr>
        <w:pStyle w:val="Bullet1"/>
        <w:rPr>
          <w:lang w:val="en-GB"/>
        </w:rPr>
      </w:pPr>
      <w:proofErr w:type="gramStart"/>
      <w:r w:rsidRPr="000A7F94">
        <w:rPr>
          <w:lang w:val="en-GB"/>
        </w:rPr>
        <w:t>a</w:t>
      </w:r>
      <w:proofErr w:type="gramEnd"/>
      <w:r w:rsidRPr="000A7F94">
        <w:rPr>
          <w:lang w:val="en-GB"/>
        </w:rPr>
        <w:t xml:space="preserve"> completely open-systems, market-led approach; </w:t>
      </w:r>
    </w:p>
    <w:p w14:paraId="5B0989DC" w14:textId="77777777" w:rsidR="00A06DFC" w:rsidRPr="000A7F94" w:rsidRDefault="00A06DFC" w:rsidP="0097550F">
      <w:pPr>
        <w:pStyle w:val="Bullet1"/>
        <w:rPr>
          <w:lang w:val="en-GB"/>
        </w:rPr>
      </w:pPr>
      <w:proofErr w:type="gramStart"/>
      <w:r w:rsidRPr="000A7F94">
        <w:rPr>
          <w:lang w:val="en-GB"/>
        </w:rPr>
        <w:t>an</w:t>
      </w:r>
      <w:proofErr w:type="gramEnd"/>
      <w:r w:rsidRPr="000A7F94">
        <w:rPr>
          <w:lang w:val="en-GB"/>
        </w:rPr>
        <w:t xml:space="preserve"> over-arching performance standard, referencing existing equipment performance standards and test specifications; </w:t>
      </w:r>
    </w:p>
    <w:p w14:paraId="17FAB0D7" w14:textId="179A9FA8" w:rsidR="00A06DFC" w:rsidRPr="000A7F94" w:rsidRDefault="00A06DFC" w:rsidP="0097550F">
      <w:pPr>
        <w:pStyle w:val="Bullet1"/>
        <w:rPr>
          <w:lang w:val="en-GB"/>
        </w:rPr>
      </w:pPr>
      <w:proofErr w:type="gramStart"/>
      <w:r w:rsidRPr="000A7F94">
        <w:rPr>
          <w:lang w:val="en-GB"/>
        </w:rPr>
        <w:t>a</w:t>
      </w:r>
      <w:proofErr w:type="gramEnd"/>
      <w:r w:rsidRPr="000A7F94">
        <w:rPr>
          <w:lang w:val="en-GB"/>
        </w:rPr>
        <w:t xml:space="preserve"> complete review of the processes to speed them up and make them more flexible, for example using a requirements register and modular structure (like INS)</w:t>
      </w:r>
      <w:r w:rsidR="0097550F" w:rsidRPr="000A7F94">
        <w:rPr>
          <w:lang w:val="en-GB"/>
        </w:rPr>
        <w:t>;</w:t>
      </w:r>
    </w:p>
    <w:p w14:paraId="5D17D4EE" w14:textId="6828E12E" w:rsidR="00A06DFC" w:rsidRPr="000A7F94" w:rsidRDefault="00A06DFC" w:rsidP="0097550F">
      <w:pPr>
        <w:pStyle w:val="Bullet1"/>
        <w:rPr>
          <w:lang w:val="en-GB"/>
        </w:rPr>
      </w:pPr>
      <w:proofErr w:type="gramStart"/>
      <w:r w:rsidRPr="000A7F94">
        <w:rPr>
          <w:lang w:val="en-GB"/>
        </w:rPr>
        <w:t>generic</w:t>
      </w:r>
      <w:proofErr w:type="gramEnd"/>
      <w:r w:rsidRPr="000A7F94">
        <w:rPr>
          <w:lang w:val="en-GB"/>
        </w:rPr>
        <w:t xml:space="preserve"> performance sta</w:t>
      </w:r>
      <w:r w:rsidR="0097550F" w:rsidRPr="000A7F94">
        <w:rPr>
          <w:lang w:val="en-GB"/>
        </w:rPr>
        <w:t>ndards and test specifications.</w:t>
      </w:r>
    </w:p>
    <w:p w14:paraId="7D9DAF0B" w14:textId="0EE38F5E" w:rsidR="00A06DFC" w:rsidRPr="000A7F94" w:rsidRDefault="00A06DFC" w:rsidP="00855DE6">
      <w:pPr>
        <w:pStyle w:val="BodyText"/>
      </w:pPr>
      <w:r w:rsidRPr="000A7F94">
        <w:t xml:space="preserve">There may be other solutions and the best option may be a combination of one or more approaches. </w:t>
      </w:r>
      <w:r w:rsidR="0097550F" w:rsidRPr="000A7F94">
        <w:t xml:space="preserve"> </w:t>
      </w:r>
      <w:r w:rsidRPr="000A7F94">
        <w:t>However, it is worth noting that the first option of an unregulated, market driven approach has not received any support and there seems to be a consensus that some degree of regulation is necessary.</w:t>
      </w:r>
    </w:p>
    <w:p w14:paraId="255146EA" w14:textId="77777777" w:rsidR="00A06DFC" w:rsidRPr="000A7F94" w:rsidRDefault="00A06DFC" w:rsidP="00855DE6">
      <w:pPr>
        <w:pStyle w:val="Heading1"/>
        <w:rPr>
          <w:lang w:val="en-GB"/>
        </w:rPr>
      </w:pPr>
      <w:r w:rsidRPr="000A7F94">
        <w:rPr>
          <w:lang w:val="en-GB"/>
        </w:rPr>
        <w:t>Proposed Way Forward</w:t>
      </w:r>
    </w:p>
    <w:p w14:paraId="3A1A33AF" w14:textId="77777777" w:rsidR="00A06DFC" w:rsidRPr="000A7F94" w:rsidRDefault="00A06DFC" w:rsidP="00855DE6">
      <w:pPr>
        <w:pStyle w:val="BodyText"/>
      </w:pPr>
      <w:r w:rsidRPr="000A7F94">
        <w:t>Based on the discussions so far, it is proposed that a two-stage approach might be adopted, corresponding to the two phases envisaged for the implementation of e-Navigation:</w:t>
      </w:r>
    </w:p>
    <w:p w14:paraId="1A3D8EA7" w14:textId="5647B5C1" w:rsidR="00A06DFC" w:rsidRPr="000A7F94" w:rsidRDefault="00A06DFC" w:rsidP="00855DE6">
      <w:pPr>
        <w:pStyle w:val="BodyText"/>
      </w:pPr>
      <w:r w:rsidRPr="000A7F94">
        <w:lastRenderedPageBreak/>
        <w:t xml:space="preserve">A single, over-arching standard for a display compatible with existing </w:t>
      </w:r>
      <w:proofErr w:type="spellStart"/>
      <w:r w:rsidRPr="000A7F94">
        <w:t>shipborne</w:t>
      </w:r>
      <w:proofErr w:type="spellEnd"/>
      <w:r w:rsidRPr="000A7F94">
        <w:t xml:space="preserve"> equipment should be prepared to allow for a rapid first-stage implementation. </w:t>
      </w:r>
      <w:r w:rsidR="0081775A" w:rsidRPr="000A7F94">
        <w:t xml:space="preserve"> </w:t>
      </w:r>
      <w:r w:rsidRPr="000A7F94">
        <w:t>This could be supported by the introduction of generic standards, together with non-regulated applications, where appropriate, to provide early benefits and efficiencies.</w:t>
      </w:r>
    </w:p>
    <w:p w14:paraId="46965A7C" w14:textId="18148D2D" w:rsidR="00A06DFC" w:rsidRPr="000A7F94" w:rsidRDefault="00A06DFC" w:rsidP="00855DE6">
      <w:pPr>
        <w:pStyle w:val="BodyText"/>
      </w:pPr>
      <w:r w:rsidRPr="000A7F94">
        <w:t xml:space="preserve">A complete reconsideration of the standardisation processes should be initiated for the longer-term, overseen by a panel of experts within IMO. </w:t>
      </w:r>
      <w:r w:rsidR="0081775A" w:rsidRPr="000A7F94">
        <w:t xml:space="preserve"> </w:t>
      </w:r>
      <w:r w:rsidRPr="000A7F94">
        <w:t xml:space="preserve">One model would be </w:t>
      </w:r>
      <w:proofErr w:type="gramStart"/>
      <w:r w:rsidRPr="000A7F94">
        <w:t>a requirements</w:t>
      </w:r>
      <w:proofErr w:type="gramEnd"/>
      <w:r w:rsidRPr="000A7F94">
        <w:t xml:space="preserve"> driven, modular approach, similar to INS.</w:t>
      </w:r>
    </w:p>
    <w:p w14:paraId="111A1B45" w14:textId="77777777" w:rsidR="00A06DFC" w:rsidRPr="000A7F94" w:rsidRDefault="00A06DFC" w:rsidP="00855DE6">
      <w:pPr>
        <w:pStyle w:val="BodyText"/>
      </w:pPr>
      <w:r w:rsidRPr="000A7F94">
        <w:t>Such a panel of experts (or IMO-led harmonisation group) might also be a productive approach to the implementation process as a whole.</w:t>
      </w:r>
    </w:p>
    <w:p w14:paraId="3194DFD6" w14:textId="234F150B" w:rsidR="00A06DFC" w:rsidRPr="000A7F94" w:rsidRDefault="00A06DFC" w:rsidP="00855DE6">
      <w:pPr>
        <w:pStyle w:val="Heading1"/>
        <w:rPr>
          <w:lang w:val="en-GB"/>
        </w:rPr>
      </w:pPr>
      <w:r w:rsidRPr="000A7F94">
        <w:rPr>
          <w:lang w:val="en-GB"/>
        </w:rPr>
        <w:t>Action</w:t>
      </w:r>
      <w:r w:rsidR="000A7F94" w:rsidRPr="000A7F94">
        <w:rPr>
          <w:lang w:val="en-GB"/>
        </w:rPr>
        <w:t xml:space="preserve"> requested</w:t>
      </w:r>
    </w:p>
    <w:p w14:paraId="62BF1BB0" w14:textId="34B0946D" w:rsidR="00D64A02" w:rsidRPr="000A7F94" w:rsidRDefault="00A06DFC" w:rsidP="00855DE6">
      <w:pPr>
        <w:pStyle w:val="BodyText"/>
      </w:pPr>
      <w:r w:rsidRPr="000A7F94">
        <w:t>The Council is invited to consider this proposal as a possible input to the IMO Correspondence Group on e-Navigation.</w:t>
      </w:r>
      <w:bookmarkStart w:id="0" w:name="_GoBack"/>
      <w:bookmarkEnd w:id="0"/>
    </w:p>
    <w:sectPr w:rsidR="00D64A02" w:rsidRPr="000A7F94" w:rsidSect="0081775A"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5F2BBB" w14:textId="77777777" w:rsidR="008E0525" w:rsidRDefault="008E0525" w:rsidP="00002906">
      <w:r>
        <w:separator/>
      </w:r>
    </w:p>
  </w:endnote>
  <w:endnote w:type="continuationSeparator" w:id="0">
    <w:p w14:paraId="7FA3A2F4" w14:textId="77777777" w:rsidR="008E0525" w:rsidRDefault="008E0525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7AF6A2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A7F94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282FCA" w14:textId="77777777" w:rsidR="008E0525" w:rsidRDefault="008E0525" w:rsidP="00002906">
      <w:r>
        <w:separator/>
      </w:r>
    </w:p>
  </w:footnote>
  <w:footnote w:type="continuationSeparator" w:id="0">
    <w:p w14:paraId="666D6368" w14:textId="77777777" w:rsidR="008E0525" w:rsidRDefault="008E0525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E243092"/>
    <w:multiLevelType w:val="hybridMultilevel"/>
    <w:tmpl w:val="0C906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8C0"/>
    <w:rsid w:val="00002906"/>
    <w:rsid w:val="00031A92"/>
    <w:rsid w:val="000348ED"/>
    <w:rsid w:val="00036801"/>
    <w:rsid w:val="00050DA7"/>
    <w:rsid w:val="000A5A01"/>
    <w:rsid w:val="000A7F94"/>
    <w:rsid w:val="001138C0"/>
    <w:rsid w:val="00135447"/>
    <w:rsid w:val="00152273"/>
    <w:rsid w:val="001A654A"/>
    <w:rsid w:val="001C74CF"/>
    <w:rsid w:val="0029602A"/>
    <w:rsid w:val="003C4840"/>
    <w:rsid w:val="003D55DD"/>
    <w:rsid w:val="003E1831"/>
    <w:rsid w:val="00424954"/>
    <w:rsid w:val="004C1386"/>
    <w:rsid w:val="004C220D"/>
    <w:rsid w:val="00575BBD"/>
    <w:rsid w:val="005D05AC"/>
    <w:rsid w:val="00630F7F"/>
    <w:rsid w:val="0064435F"/>
    <w:rsid w:val="006D470F"/>
    <w:rsid w:val="00704F49"/>
    <w:rsid w:val="00727E88"/>
    <w:rsid w:val="00775878"/>
    <w:rsid w:val="0080092C"/>
    <w:rsid w:val="0081775A"/>
    <w:rsid w:val="00855DE6"/>
    <w:rsid w:val="00872453"/>
    <w:rsid w:val="008E0525"/>
    <w:rsid w:val="008F0F05"/>
    <w:rsid w:val="008F13DD"/>
    <w:rsid w:val="00902AA4"/>
    <w:rsid w:val="0097550F"/>
    <w:rsid w:val="009F3B6C"/>
    <w:rsid w:val="009F5C36"/>
    <w:rsid w:val="00A06DFC"/>
    <w:rsid w:val="00A27F12"/>
    <w:rsid w:val="00A30579"/>
    <w:rsid w:val="00AA76C0"/>
    <w:rsid w:val="00B077EC"/>
    <w:rsid w:val="00B15B24"/>
    <w:rsid w:val="00B428DA"/>
    <w:rsid w:val="00B8247E"/>
    <w:rsid w:val="00BE56DF"/>
    <w:rsid w:val="00C3124A"/>
    <w:rsid w:val="00CA04AF"/>
    <w:rsid w:val="00D57412"/>
    <w:rsid w:val="00D64A02"/>
    <w:rsid w:val="00D66DBE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0ABD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NoSpacing">
    <w:name w:val="No Spacing"/>
    <w:uiPriority w:val="1"/>
    <w:qFormat/>
    <w:rsid w:val="00D64A02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D64A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4A0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06DFC"/>
    <w:pPr>
      <w:ind w:left="720"/>
      <w:contextualSpacing/>
    </w:pPr>
    <w:rPr>
      <w:rFonts w:ascii="Times New Roman" w:hAnsi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NoSpacing">
    <w:name w:val="No Spacing"/>
    <w:uiPriority w:val="1"/>
    <w:qFormat/>
    <w:rsid w:val="00D64A02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D64A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4A0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06DFC"/>
    <w:pPr>
      <w:ind w:left="720"/>
      <w:contextualSpacing/>
    </w:pPr>
    <w:rPr>
      <w:rFonts w:ascii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adley\Documents\A_Work\IALA\Committees\Administration%20-%20Committee%20File\Templates\Internal%20Committee%20Liaison%20Note_Sep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02461A-6BA6-2348-A388-F37171AB9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\Users\mhadley\Documents\A_Work\IALA\Committees\Administration - Committee File\Templates\Internal Committee Liaison Note_Sep10.dot</Template>
  <TotalTime>19</TotalTime>
  <Pages>2</Pages>
  <Words>446</Words>
  <Characters>2546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Michael Hadley</cp:lastModifiedBy>
  <cp:revision>6</cp:revision>
  <cp:lastPrinted>2006-10-19T10:49:00Z</cp:lastPrinted>
  <dcterms:created xsi:type="dcterms:W3CDTF">2011-10-26T08:55:00Z</dcterms:created>
  <dcterms:modified xsi:type="dcterms:W3CDTF">2011-10-26T10:57:00Z</dcterms:modified>
</cp:coreProperties>
</file>