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DE03" w14:textId="636A311D" w:rsidR="00BF32F0" w:rsidRPr="007A395D" w:rsidRDefault="00420A38" w:rsidP="0068520E">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000D4">
        <w:rPr>
          <w:rFonts w:ascii="Calibri" w:hAnsi="Calibri"/>
        </w:rPr>
        <w:t>ENAV23</w:t>
      </w:r>
      <w:r w:rsidRPr="007A395D">
        <w:rPr>
          <w:rFonts w:ascii="Calibri" w:hAnsi="Calibri"/>
        </w:rPr>
        <w:t>-</w:t>
      </w:r>
      <w:r w:rsidR="0068520E">
        <w:rPr>
          <w:rFonts w:ascii="Calibri" w:hAnsi="Calibri"/>
        </w:rPr>
        <w:t>3.1.6</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D47F62C"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C4190">
        <w:rPr>
          <w:rFonts w:ascii="Calibri" w:hAnsi="Calibri" w:cs="Arial"/>
          <w:b/>
          <w:sz w:val="24"/>
          <w:szCs w:val="24"/>
        </w:rPr>
        <w:t>X</w:t>
      </w:r>
      <w:r w:rsidR="003C4190" w:rsidRPr="007A395D">
        <w:rPr>
          <w:rFonts w:ascii="Calibri" w:hAnsi="Calibri" w:cs="Arial"/>
          <w:sz w:val="24"/>
          <w:szCs w:val="24"/>
        </w:rPr>
        <w:t xml:space="preserve"> </w:t>
      </w:r>
      <w:r w:rsidRPr="007A395D">
        <w:rPr>
          <w:rFonts w:ascii="Calibri" w:hAnsi="Calibri" w:cs="Arial"/>
          <w:sz w:val="24"/>
          <w:szCs w:val="24"/>
        </w:rPr>
        <w:t>Input</w:t>
      </w:r>
    </w:p>
    <w:p w14:paraId="0BC79547" w14:textId="3DE10F26" w:rsidR="0080294B" w:rsidRPr="007A395D" w:rsidRDefault="003C4190" w:rsidP="00037DF4">
      <w:pPr>
        <w:pStyle w:val="BodyText"/>
        <w:tabs>
          <w:tab w:val="left" w:pos="1843"/>
        </w:tabs>
        <w:rPr>
          <w:rFonts w:ascii="Calibri" w:hAnsi="Calibri"/>
        </w:rPr>
      </w:pPr>
      <w:r>
        <w:rPr>
          <w:rFonts w:ascii="Calibri" w:hAnsi="Calibri" w:cs="Arial"/>
          <w:b/>
          <w:sz w:val="24"/>
          <w:szCs w:val="24"/>
        </w:rPr>
        <w:t>X</w:t>
      </w:r>
      <w:r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5814D9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8520E">
        <w:rPr>
          <w:rFonts w:ascii="Calibri" w:hAnsi="Calibri"/>
        </w:rPr>
        <w:t>3.1</w:t>
      </w:r>
      <w:bookmarkStart w:id="0" w:name="_GoBack"/>
      <w:bookmarkEnd w:id="0"/>
    </w:p>
    <w:p w14:paraId="1AB3E246" w14:textId="5CB8CF3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r w:rsidR="003C4190">
        <w:rPr>
          <w:rFonts w:ascii="Calibri" w:hAnsi="Calibri"/>
        </w:rPr>
        <w:t>WG3/COMMS</w:t>
      </w:r>
      <w:r w:rsidRPr="007A395D">
        <w:rPr>
          <w:rFonts w:ascii="Calibri" w:hAnsi="Calibri"/>
        </w:rPr>
        <w:t>………………………………</w:t>
      </w:r>
    </w:p>
    <w:p w14:paraId="01FC5420" w14:textId="535AED5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r w:rsidR="003C4190">
        <w:rPr>
          <w:rFonts w:ascii="Calibri" w:hAnsi="Calibri"/>
        </w:rPr>
        <w:t xml:space="preserve">Hans Christian </w:t>
      </w:r>
      <w:proofErr w:type="spellStart"/>
      <w:r w:rsidR="003C4190">
        <w:rPr>
          <w:rFonts w:ascii="Calibri" w:hAnsi="Calibri"/>
        </w:rPr>
        <w:t>Haugli</w:t>
      </w:r>
      <w:proofErr w:type="spellEnd"/>
      <w:r w:rsidR="003C4190">
        <w:rPr>
          <w:rFonts w:ascii="Calibri" w:hAnsi="Calibri"/>
        </w:rPr>
        <w:t>, Space Norway</w:t>
      </w:r>
      <w:r w:rsidR="0080294B" w:rsidRPr="007A395D">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78F81767" w:rsidR="00A446C9" w:rsidRPr="00605E43" w:rsidRDefault="000A0BAF" w:rsidP="00A446C9">
      <w:pPr>
        <w:pStyle w:val="Title"/>
        <w:rPr>
          <w:rFonts w:ascii="Calibri" w:hAnsi="Calibri"/>
          <w:color w:val="0070C0"/>
        </w:rPr>
      </w:pPr>
      <w:r>
        <w:rPr>
          <w:rFonts w:ascii="Calibri" w:hAnsi="Calibri"/>
          <w:color w:val="0070C0"/>
        </w:rPr>
        <w:t>Proposal for changes to the IALA position on WRC-19 agenda item 1.9.2</w:t>
      </w:r>
    </w:p>
    <w:p w14:paraId="0F258596" w14:textId="50FB6E37" w:rsidR="00A446C9" w:rsidRPr="00605E43" w:rsidRDefault="00A446C9" w:rsidP="00605E43">
      <w:pPr>
        <w:pStyle w:val="Heading1"/>
      </w:pPr>
      <w:r w:rsidRPr="00605E43">
        <w:t>Summary</w:t>
      </w:r>
    </w:p>
    <w:p w14:paraId="2D829213" w14:textId="7C7FB021" w:rsidR="00BD4E6F" w:rsidRDefault="000A0BAF" w:rsidP="00B56BDF">
      <w:pPr>
        <w:pStyle w:val="BodyText"/>
        <w:rPr>
          <w:rFonts w:ascii="Calibri" w:hAnsi="Calibri"/>
        </w:rPr>
      </w:pPr>
      <w:r>
        <w:rPr>
          <w:rFonts w:ascii="Calibri" w:hAnsi="Calibri"/>
        </w:rPr>
        <w:t>At ENAV22 a draft IALA position on WRC-19 agenda item 1.9.2 (VDE-SAT) was developed. Since ENAV22, ITU-R WP</w:t>
      </w:r>
      <w:r w:rsidR="0053657A">
        <w:rPr>
          <w:rFonts w:ascii="Calibri" w:hAnsi="Calibri"/>
        </w:rPr>
        <w:t xml:space="preserve"> </w:t>
      </w:r>
      <w:r>
        <w:rPr>
          <w:rFonts w:ascii="Calibri" w:hAnsi="Calibri"/>
        </w:rPr>
        <w:t xml:space="preserve">5B met in November 2018 and concluded their studies in preparation for WRC-19 on agenda item 1.9.2 </w:t>
      </w:r>
      <w:r w:rsidR="0053657A">
        <w:rPr>
          <w:rFonts w:ascii="Calibri" w:hAnsi="Calibri"/>
        </w:rPr>
        <w:t xml:space="preserve">(VDE-SAT) </w:t>
      </w:r>
      <w:r>
        <w:rPr>
          <w:rFonts w:ascii="Calibri" w:hAnsi="Calibri"/>
        </w:rPr>
        <w:t>and the Conference Preparatory Meeting has been held in February 2019.</w:t>
      </w:r>
      <w:r w:rsidR="0053657A">
        <w:rPr>
          <w:rFonts w:ascii="Calibri" w:hAnsi="Calibri"/>
        </w:rPr>
        <w:t xml:space="preserve"> It is therefore appropriate to update the IALA position on WRC-19 agenda item 1.9.2 (VDE-SAT), taking into account any developments since ENAV22.</w:t>
      </w:r>
    </w:p>
    <w:p w14:paraId="4D3B9A42" w14:textId="5913E30A" w:rsidR="0053657A" w:rsidRPr="007A395D" w:rsidRDefault="0053657A" w:rsidP="00B56BDF">
      <w:pPr>
        <w:pStyle w:val="BodyText"/>
        <w:rPr>
          <w:rFonts w:ascii="Calibri" w:hAnsi="Calibri"/>
        </w:rPr>
      </w:pPr>
      <w:r>
        <w:rPr>
          <w:rFonts w:ascii="Calibri" w:hAnsi="Calibri"/>
        </w:rPr>
        <w:t>Furthermore, the final deadline for submission of contributions to WRC-19 is set to 7</w:t>
      </w:r>
      <w:r w:rsidRPr="0053657A">
        <w:rPr>
          <w:rFonts w:ascii="Calibri" w:hAnsi="Calibri"/>
          <w:vertAlign w:val="superscript"/>
        </w:rPr>
        <w:t>th</w:t>
      </w:r>
      <w:r>
        <w:rPr>
          <w:rFonts w:ascii="Calibri" w:hAnsi="Calibri"/>
        </w:rPr>
        <w:t xml:space="preserve"> of October 2019</w:t>
      </w:r>
      <w:r w:rsidR="00C24EDE">
        <w:rPr>
          <w:rFonts w:ascii="Calibri" w:hAnsi="Calibri"/>
        </w:rPr>
        <w:t xml:space="preserve">. Thus, </w:t>
      </w:r>
      <w:r>
        <w:rPr>
          <w:rFonts w:ascii="Calibri" w:hAnsi="Calibri"/>
        </w:rPr>
        <w:t xml:space="preserve">ENAV23 is the last meeting of the ENAV committee </w:t>
      </w:r>
      <w:r w:rsidR="00C24EDE">
        <w:rPr>
          <w:rFonts w:ascii="Calibri" w:hAnsi="Calibri"/>
        </w:rPr>
        <w:t>before the submission deadline, and as such the ENAV committee should finalize their work in the IALA position on WRC-10 agenda item 1.9.2 (VDE-SAT) at ENAV23.</w:t>
      </w:r>
    </w:p>
    <w:p w14:paraId="052AC0CB" w14:textId="0FF6B561" w:rsidR="00C24EDE" w:rsidRPr="007A395D" w:rsidRDefault="00C24EDE" w:rsidP="00C24EDE">
      <w:pPr>
        <w:pStyle w:val="BodyText"/>
        <w:rPr>
          <w:rFonts w:ascii="Calibri" w:hAnsi="Calibri"/>
        </w:rPr>
      </w:pPr>
      <w:r>
        <w:rPr>
          <w:rFonts w:ascii="Calibri" w:hAnsi="Calibri"/>
          <w:lang w:eastAsia="de-DE"/>
        </w:rPr>
        <w:t xml:space="preserve">A proposal for updates to the IALA position on WRC-19 agenda item 1.9.2 (VDE-SAT) is attached in </w:t>
      </w:r>
      <w:r w:rsidR="00FE193E">
        <w:rPr>
          <w:rFonts w:ascii="Calibri" w:hAnsi="Calibri"/>
          <w:lang w:eastAsia="de-DE"/>
        </w:rPr>
        <w:t>Appendix</w:t>
      </w:r>
      <w:r>
        <w:rPr>
          <w:rFonts w:ascii="Calibri" w:hAnsi="Calibri"/>
          <w:lang w:eastAsia="de-DE"/>
        </w:rPr>
        <w:t xml:space="preserve"> 1. Changes from the draft IALA position developed at ENAV22 is marked in track changes.</w:t>
      </w:r>
    </w:p>
    <w:p w14:paraId="7A8D2F27" w14:textId="77777777" w:rsidR="00A446C9" w:rsidRPr="007A395D" w:rsidRDefault="00A446C9" w:rsidP="00605E43">
      <w:pPr>
        <w:pStyle w:val="Heading1"/>
      </w:pPr>
      <w:r w:rsidRPr="007A395D">
        <w:t>Action requested of the Committee</w:t>
      </w:r>
    </w:p>
    <w:p w14:paraId="1556E528" w14:textId="7EA955DE"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5CD264B1" w:rsidR="00F25BF4" w:rsidRPr="007A395D" w:rsidRDefault="00C24EDE" w:rsidP="00362CD9">
      <w:pPr>
        <w:pStyle w:val="List1"/>
        <w:numPr>
          <w:ilvl w:val="0"/>
          <w:numId w:val="39"/>
        </w:numPr>
        <w:rPr>
          <w:rFonts w:ascii="Calibri" w:hAnsi="Calibri"/>
        </w:rPr>
      </w:pPr>
      <w:r>
        <w:rPr>
          <w:rFonts w:ascii="Calibri" w:hAnsi="Calibri"/>
        </w:rPr>
        <w:t>consider the proposed changes to the IALA position on WRC-19 agenda item 1.9.2 (VDE-SAT)</w:t>
      </w:r>
    </w:p>
    <w:p w14:paraId="7A9FD49F" w14:textId="1D4269DB" w:rsidR="00F25BF4" w:rsidRDefault="00C24EDE" w:rsidP="00F25BF4">
      <w:pPr>
        <w:pStyle w:val="List1"/>
        <w:rPr>
          <w:rFonts w:ascii="Calibri" w:hAnsi="Calibri"/>
        </w:rPr>
      </w:pPr>
      <w:r>
        <w:rPr>
          <w:rFonts w:ascii="Calibri" w:hAnsi="Calibri"/>
        </w:rPr>
        <w:t>finalize their work on the IALA position on WRC-19 agenda item 1.9.2 (VDE-SAT)</w:t>
      </w:r>
    </w:p>
    <w:p w14:paraId="32D687CD" w14:textId="77777777" w:rsidR="00F63E26" w:rsidRDefault="00C24EDE" w:rsidP="00F63E26">
      <w:pPr>
        <w:pStyle w:val="List1"/>
        <w:rPr>
          <w:rFonts w:ascii="Calibri" w:hAnsi="Calibri"/>
        </w:rPr>
      </w:pPr>
      <w:r>
        <w:rPr>
          <w:rFonts w:ascii="Calibri" w:hAnsi="Calibri"/>
        </w:rPr>
        <w:t>forward the outcome of that work to the IALA Council for approval</w:t>
      </w:r>
    </w:p>
    <w:p w14:paraId="1C4413DC" w14:textId="4AD72A74" w:rsidR="00F63E26" w:rsidRDefault="00F63E26" w:rsidP="00F63E26">
      <w:pPr>
        <w:pStyle w:val="List1"/>
        <w:rPr>
          <w:rFonts w:ascii="Calibri" w:hAnsi="Calibri"/>
        </w:rPr>
      </w:pPr>
      <w:r>
        <w:rPr>
          <w:rFonts w:ascii="Calibri" w:hAnsi="Calibri"/>
        </w:rPr>
        <w:t xml:space="preserve">if approved by the IALA Council, request the </w:t>
      </w:r>
      <w:r>
        <w:t>IALA Secretariat to</w:t>
      </w:r>
      <w:r>
        <w:rPr>
          <w:rFonts w:ascii="Calibri" w:hAnsi="Calibri"/>
        </w:rPr>
        <w:t>;</w:t>
      </w:r>
    </w:p>
    <w:p w14:paraId="71D9052F" w14:textId="77FB0F8F" w:rsidR="00F63E26" w:rsidRDefault="00F63E26" w:rsidP="00F63E26">
      <w:pPr>
        <w:pStyle w:val="List1indent1"/>
      </w:pPr>
      <w:r>
        <w:t xml:space="preserve">distribute the IALA position on WRC-19 agenda item 1.9.2 (VDE-SAT) to the IALA members, and invitation the IALA members to promote this position to their ITU representatives </w:t>
      </w:r>
    </w:p>
    <w:p w14:paraId="7A68E8D6" w14:textId="5283DCC5" w:rsidR="00F63E26" w:rsidRPr="00F63E26" w:rsidRDefault="00F63E26" w:rsidP="00F63E26">
      <w:pPr>
        <w:pStyle w:val="List1indent1"/>
      </w:pPr>
      <w:r>
        <w:t xml:space="preserve">submit the IALA position on WRC-19 agenda item 1.9.2 (VDE-SAT) </w:t>
      </w:r>
      <w:r w:rsidR="00137418">
        <w:t xml:space="preserve">for information </w:t>
      </w:r>
      <w:r>
        <w:t>to WRC-19 before the 7</w:t>
      </w:r>
      <w:r w:rsidRPr="00F63E26">
        <w:rPr>
          <w:vertAlign w:val="superscript"/>
        </w:rPr>
        <w:t>th</w:t>
      </w:r>
      <w:r>
        <w:t xml:space="preserve"> of October 2019 submission deadline</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10A64E8F" w14:textId="44F7937F" w:rsidR="000005D3" w:rsidRPr="007A395D" w:rsidRDefault="000005D3" w:rsidP="000005D3">
      <w:pPr>
        <w:pStyle w:val="Appendix"/>
        <w:rPr>
          <w:rFonts w:ascii="Calibri" w:hAnsi="Calibri"/>
        </w:rPr>
      </w:pPr>
    </w:p>
    <w:p w14:paraId="44E954BD" w14:textId="32CE186E" w:rsidR="005012DE" w:rsidRPr="00D9229E" w:rsidRDefault="005012DE" w:rsidP="005012DE">
      <w:pPr>
        <w:pStyle w:val="Title"/>
        <w:spacing w:after="120"/>
        <w:rPr>
          <w:rFonts w:ascii="Calibri" w:hAnsi="Calibri"/>
          <w:color w:val="00558C"/>
        </w:rPr>
      </w:pPr>
      <w:r>
        <w:rPr>
          <w:rFonts w:ascii="Calibri" w:hAnsi="Calibri"/>
          <w:color w:val="00558C"/>
        </w:rPr>
        <w:t xml:space="preserve">IALA position on WRC-19 agenda item 1.9.2 (VDE-SAT) </w:t>
      </w:r>
    </w:p>
    <w:p w14:paraId="4664AEC7" w14:textId="77777777" w:rsidR="005012DE" w:rsidRPr="00D9229E" w:rsidRDefault="005012DE" w:rsidP="005012DE">
      <w:pPr>
        <w:pStyle w:val="Heading1"/>
        <w:numPr>
          <w:ilvl w:val="0"/>
          <w:numId w:val="45"/>
        </w:numPr>
      </w:pPr>
      <w:r w:rsidRPr="00D9229E">
        <w:t>Introduction</w:t>
      </w:r>
    </w:p>
    <w:p w14:paraId="1F91D326" w14:textId="77777777" w:rsidR="005012DE" w:rsidRDefault="005012DE" w:rsidP="005012DE">
      <w:pPr>
        <w:pStyle w:val="BodyText"/>
      </w:pPr>
      <w:r>
        <w:t>IALA, through the work of the experts of the Communications Working Group of the IALA ENAV Committee, continues to advance its work to create the VHF Data Exchange System (VDES) to provide the first world-wide standard communication channel to support e-Navigation.</w:t>
      </w:r>
    </w:p>
    <w:p w14:paraId="385E1DE4" w14:textId="4AB8C304" w:rsidR="005012DE" w:rsidRDefault="005012DE" w:rsidP="005012DE">
      <w:pPr>
        <w:pStyle w:val="BodyText"/>
      </w:pPr>
      <w:r>
        <w:t>IALA notes that WRC-15 allocated frequencies for the terrestrial component of VDES, including ASM satellite uplink, but requested further compatibility and sharing studies between the satellite component of VDES (VDE-SAT) and other services in the same and in the adjacent frequency bands. The decision to allocate frequencies for VDE-SAT was deferred until WRC-19, subject to further studies, including consideration of alternative frequency plans for VDE-SAT. IALA has provided contributions to the compatibility and sharing studies for VDE-SAT to all ITU-R WP 5B meetings since WRC-15, to show compatibility with incumbent services in both directions, uplink and downlink. The results of sharing studies and compatibility analyses are included in Report ITU-R M.2435-0.</w:t>
      </w:r>
    </w:p>
    <w:p w14:paraId="0DAD7971" w14:textId="2D1E40A1" w:rsidR="005012DE" w:rsidRPr="007A395D" w:rsidRDefault="005012DE" w:rsidP="005012DE">
      <w:pPr>
        <w:pStyle w:val="Heading1"/>
      </w:pPr>
      <w:r>
        <w:t>IALA position on WRC-19 Agenda Item 1.9.2 (VDE-SAT)</w:t>
      </w:r>
    </w:p>
    <w:p w14:paraId="53188DB6" w14:textId="45C69C67" w:rsidR="005012DE" w:rsidRDefault="005012DE" w:rsidP="005012DE">
      <w:pPr>
        <w:pStyle w:val="BodyText"/>
      </w:pPr>
      <w:r>
        <w:t>IALA supports the introduction of new frequency allocations to the maritime mobile-satellite service (Earth-to-space) and (space-to-Earth) within the frequency bands 156.0125-157.4375 MHz and 160.6125-162.0375 MHz for the satellite component of VDES (VDE-SAT) in support of the digital evolution of maritime communications.</w:t>
      </w:r>
    </w:p>
    <w:p w14:paraId="700158A7" w14:textId="6F6AF973" w:rsidR="005012DE" w:rsidRDefault="005012DE" w:rsidP="005012DE">
      <w:pPr>
        <w:pStyle w:val="BodyText"/>
      </w:pPr>
      <w:r>
        <w:t xml:space="preserve">To protect incumbent services, a coordination threshold according to the </w:t>
      </w:r>
      <w:proofErr w:type="spellStart"/>
      <w:r>
        <w:t>pfd</w:t>
      </w:r>
      <w:proofErr w:type="spellEnd"/>
      <w:r>
        <w:t>-mask provided in Recommendation ITU-R M.2092</w:t>
      </w:r>
      <w:r w:rsidR="00E014DA">
        <w:t xml:space="preserve"> is appropriate and</w:t>
      </w:r>
      <w:r>
        <w:t xml:space="preserve"> should be applied to the space-to-Earth allocation for VDE-SAT.</w:t>
      </w:r>
    </w:p>
    <w:p w14:paraId="7EB30131" w14:textId="75F0AF67" w:rsidR="005012DE" w:rsidRPr="007A395D" w:rsidRDefault="005012DE" w:rsidP="005012DE">
      <w:pPr>
        <w:pStyle w:val="BodyText"/>
      </w:pPr>
      <w:r>
        <w:t>Noting that the specific frequency or channel allocation, and the level of protection for the allocation, is under the auspices of ITU, IALA recommends that the maritime mobile-satellite service allocation for the satellite component of VDES (VDE-SAT) should have the maximum bandwidth available to facilitate both high volume and speed for VHF digital data exchange, and that the allocation should be protected to the maximum extent possible.</w:t>
      </w:r>
    </w:p>
    <w:p w14:paraId="34419ED3" w14:textId="77777777" w:rsidR="005012DE" w:rsidRPr="00D9229E" w:rsidRDefault="005012DE" w:rsidP="005012DE">
      <w:pPr>
        <w:pStyle w:val="Heading1"/>
      </w:pPr>
      <w:r w:rsidRPr="00D9229E">
        <w:t>Action requested</w:t>
      </w:r>
    </w:p>
    <w:p w14:paraId="5476DF64" w14:textId="2D8601B9" w:rsidR="005012DE" w:rsidRPr="00DA69BB" w:rsidRDefault="005012DE" w:rsidP="005012DE">
      <w:pPr>
        <w:pStyle w:val="BodyText"/>
      </w:pPr>
      <w:r>
        <w:t xml:space="preserve">IALA members are invited to take note of the IALA position on WRC-19 Agenda Item 1.9.2 (VDE-SAT), promote this position to their ITU representatives, and in relevant forums to support the work towards </w:t>
      </w:r>
      <w:r w:rsidR="00607081">
        <w:t xml:space="preserve">the </w:t>
      </w:r>
      <w:r>
        <w:t>allocation of frequencies to the satellite component of VDES (VDE-SAT) at the WRC-19, noting that for VDES to be truly global, the satellite link is required.</w:t>
      </w:r>
    </w:p>
    <w:p w14:paraId="16AE6650" w14:textId="4C571C66" w:rsidR="004D1D85" w:rsidRPr="007A395D" w:rsidRDefault="004D1D85" w:rsidP="005012DE">
      <w:pPr>
        <w:pStyle w:val="AnnexHeading3"/>
        <w:numPr>
          <w:ilvl w:val="0"/>
          <w:numId w:val="0"/>
        </w:numPr>
        <w:ind w:left="992" w:hanging="992"/>
        <w:rPr>
          <w:rFonts w:ascii="Calibri" w:hAnsi="Calibri"/>
          <w:lang w:eastAsia="en-US"/>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C021F" w14:textId="77777777" w:rsidR="008B4B21" w:rsidRDefault="008B4B21" w:rsidP="00362CD9">
      <w:r>
        <w:separator/>
      </w:r>
    </w:p>
  </w:endnote>
  <w:endnote w:type="continuationSeparator" w:id="0">
    <w:p w14:paraId="2A58D0A5" w14:textId="77777777" w:rsidR="008B4B21" w:rsidRDefault="008B4B2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57E0FA7" w:rsidR="00362CD9" w:rsidRPr="00036B9E" w:rsidRDefault="00762BC8">
    <w:pPr>
      <w:pStyle w:val="Footer"/>
      <w:rPr>
        <w:rFonts w:ascii="Calibri" w:hAnsi="Calibri"/>
      </w:rPr>
    </w:pPr>
    <w:r w:rsidRPr="00762BC8">
      <w:rPr>
        <w:rFonts w:ascii="Calibri" w:hAnsi="Calibri"/>
        <w:sz w:val="20"/>
        <w:szCs w:val="20"/>
      </w:rPr>
      <w:t>Proposal for changes to the IALA position on WRC-19 agenda item 1.9.2</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E7C74" w14:textId="77777777" w:rsidR="008B4B21" w:rsidRDefault="008B4B21" w:rsidP="00362CD9">
      <w:r>
        <w:separator/>
      </w:r>
    </w:p>
  </w:footnote>
  <w:footnote w:type="continuationSeparator" w:id="0">
    <w:p w14:paraId="0BECCE34" w14:textId="77777777" w:rsidR="008B4B21" w:rsidRDefault="008B4B2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8B4B2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alt="" style="position:absolute;margin-left:0;margin-top:0;width:623.85pt;height:65.6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B4B2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alt="" style="position:absolute;left:0;text-align:left;margin-left:0;margin-top:0;width:623.85pt;height:65.6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8B4B2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alt="" style="position:absolute;left:0;text-align:left;margin-left:0;margin-top:0;width:623.85pt;height:65.6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0BAF"/>
    <w:rsid w:val="000A77A7"/>
    <w:rsid w:val="000B1707"/>
    <w:rsid w:val="000C1B3E"/>
    <w:rsid w:val="000C349E"/>
    <w:rsid w:val="00110AE7"/>
    <w:rsid w:val="00137418"/>
    <w:rsid w:val="00177F4D"/>
    <w:rsid w:val="00180DDA"/>
    <w:rsid w:val="001B2A2D"/>
    <w:rsid w:val="001B737D"/>
    <w:rsid w:val="001C44A3"/>
    <w:rsid w:val="001E0E15"/>
    <w:rsid w:val="001F528A"/>
    <w:rsid w:val="001F704E"/>
    <w:rsid w:val="00201722"/>
    <w:rsid w:val="002125B0"/>
    <w:rsid w:val="00223A3A"/>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410A1"/>
    <w:rsid w:val="00356CD0"/>
    <w:rsid w:val="00362CD9"/>
    <w:rsid w:val="003761CA"/>
    <w:rsid w:val="00380DAF"/>
    <w:rsid w:val="003972CE"/>
    <w:rsid w:val="003B28F5"/>
    <w:rsid w:val="003B7B7D"/>
    <w:rsid w:val="003C4190"/>
    <w:rsid w:val="003C54CB"/>
    <w:rsid w:val="003C7A2A"/>
    <w:rsid w:val="003D2DC1"/>
    <w:rsid w:val="003D69D0"/>
    <w:rsid w:val="003F2918"/>
    <w:rsid w:val="003F430E"/>
    <w:rsid w:val="0041088C"/>
    <w:rsid w:val="00412DD0"/>
    <w:rsid w:val="00420A38"/>
    <w:rsid w:val="00431B19"/>
    <w:rsid w:val="004661AD"/>
    <w:rsid w:val="00476781"/>
    <w:rsid w:val="004A6C1D"/>
    <w:rsid w:val="004D1D85"/>
    <w:rsid w:val="004D3C3A"/>
    <w:rsid w:val="004E1CD1"/>
    <w:rsid w:val="004F7EFC"/>
    <w:rsid w:val="005012DE"/>
    <w:rsid w:val="005107EB"/>
    <w:rsid w:val="00521345"/>
    <w:rsid w:val="00526DF0"/>
    <w:rsid w:val="0053657A"/>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07081"/>
    <w:rsid w:val="006153BB"/>
    <w:rsid w:val="006570D4"/>
    <w:rsid w:val="006652C3"/>
    <w:rsid w:val="0068520E"/>
    <w:rsid w:val="00691FD0"/>
    <w:rsid w:val="00692148"/>
    <w:rsid w:val="006A1A1E"/>
    <w:rsid w:val="006C5948"/>
    <w:rsid w:val="006F2A74"/>
    <w:rsid w:val="007000D4"/>
    <w:rsid w:val="007118F5"/>
    <w:rsid w:val="00712AA4"/>
    <w:rsid w:val="007146C4"/>
    <w:rsid w:val="00721AA1"/>
    <w:rsid w:val="00724B67"/>
    <w:rsid w:val="007251E1"/>
    <w:rsid w:val="007547F8"/>
    <w:rsid w:val="00762BC8"/>
    <w:rsid w:val="00765622"/>
    <w:rsid w:val="00770B6C"/>
    <w:rsid w:val="00783FEA"/>
    <w:rsid w:val="007A395D"/>
    <w:rsid w:val="007B6BD5"/>
    <w:rsid w:val="007C346C"/>
    <w:rsid w:val="007E6479"/>
    <w:rsid w:val="0080294B"/>
    <w:rsid w:val="0082480E"/>
    <w:rsid w:val="00847B04"/>
    <w:rsid w:val="00850293"/>
    <w:rsid w:val="00851373"/>
    <w:rsid w:val="00851BA6"/>
    <w:rsid w:val="0085654D"/>
    <w:rsid w:val="00861160"/>
    <w:rsid w:val="0086654F"/>
    <w:rsid w:val="008A356F"/>
    <w:rsid w:val="008A4653"/>
    <w:rsid w:val="008A4717"/>
    <w:rsid w:val="008A50CC"/>
    <w:rsid w:val="008B3040"/>
    <w:rsid w:val="008B4B21"/>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AE7CDC"/>
    <w:rsid w:val="00B1365A"/>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24EDE"/>
    <w:rsid w:val="00C6171E"/>
    <w:rsid w:val="00CA6F2C"/>
    <w:rsid w:val="00CD6A13"/>
    <w:rsid w:val="00CF1871"/>
    <w:rsid w:val="00D019CE"/>
    <w:rsid w:val="00D1133E"/>
    <w:rsid w:val="00D17A34"/>
    <w:rsid w:val="00D26628"/>
    <w:rsid w:val="00D332B3"/>
    <w:rsid w:val="00D55207"/>
    <w:rsid w:val="00D81801"/>
    <w:rsid w:val="00D92B45"/>
    <w:rsid w:val="00D95962"/>
    <w:rsid w:val="00DA3937"/>
    <w:rsid w:val="00DC389B"/>
    <w:rsid w:val="00DE2FEE"/>
    <w:rsid w:val="00E00BE9"/>
    <w:rsid w:val="00E014DA"/>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047DB"/>
    <w:rsid w:val="00F133DB"/>
    <w:rsid w:val="00F159EB"/>
    <w:rsid w:val="00F25BF4"/>
    <w:rsid w:val="00F267DB"/>
    <w:rsid w:val="00F46F6F"/>
    <w:rsid w:val="00F60608"/>
    <w:rsid w:val="00F62217"/>
    <w:rsid w:val="00F63E26"/>
    <w:rsid w:val="00FB17A9"/>
    <w:rsid w:val="00FB527C"/>
    <w:rsid w:val="00FB6F75"/>
    <w:rsid w:val="00FC0EB3"/>
    <w:rsid w:val="00FC6BDE"/>
    <w:rsid w:val="00FD675E"/>
    <w:rsid w:val="00FE193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FE200-9C65-4FEC-8738-6DD5D37BF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2019-03-06T14:25:00Z</dcterms:created>
  <dcterms:modified xsi:type="dcterms:W3CDTF">2019-03-06T14:29:00Z</dcterms:modified>
</cp:coreProperties>
</file>