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bookmarkStart w:id="0" w:name="_GoBack" w:colFirst="0" w:colLast="0"/>
            <w:r w:rsidRPr="00F55AD7">
              <w:t>I</w:t>
            </w:r>
            <w:bookmarkStart w:id="1" w:name="_Ref446317644"/>
            <w:bookmarkEnd w:id="1"/>
            <w:r w:rsidRPr="00F55AD7">
              <w:t xml:space="preserve">ALA </w:t>
            </w:r>
            <w:r w:rsidR="0093492E" w:rsidRPr="00F55AD7">
              <w:t>G</w:t>
            </w:r>
            <w:r w:rsidR="00722236" w:rsidRPr="00F55AD7">
              <w:t>uideline</w:t>
            </w:r>
          </w:p>
        </w:tc>
      </w:tr>
      <w:bookmarkEnd w:id="0"/>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20F59BBD" w14:textId="02AED6A9" w:rsidR="006C2E61" w:rsidRDefault="002735DD" w:rsidP="006C2E61">
      <w:pPr>
        <w:pStyle w:val="Documentnumber"/>
      </w:pPr>
      <w:r>
        <w:t>G</w:t>
      </w:r>
      <w:r w:rsidR="006C2E61">
        <w:t>-XXXX</w:t>
      </w:r>
    </w:p>
    <w:p w14:paraId="3AE41CC0" w14:textId="77777777" w:rsidR="006C2E61" w:rsidRDefault="006C2E61" w:rsidP="006C2E61">
      <w:pPr>
        <w:pStyle w:val="Documentnumber"/>
      </w:pPr>
    </w:p>
    <w:p w14:paraId="0CFA2B34" w14:textId="0906B21A" w:rsidR="000E16D3" w:rsidRDefault="006C2E61" w:rsidP="006C2E61">
      <w:pPr>
        <w:pStyle w:val="Documentnumber"/>
      </w:pPr>
      <w:r>
        <w:t>GUIDELINE ON</w:t>
      </w:r>
      <w:r w:rsidR="000E16D3" w:rsidRPr="000E16D3">
        <w:t xml:space="preserve"> platforms to support the implementation </w:t>
      </w:r>
      <w:r w:rsidR="00D51020">
        <w:t xml:space="preserve">OF </w:t>
      </w:r>
      <w:r w:rsidR="000E16D3" w:rsidRPr="000E16D3">
        <w:t>maritime services</w:t>
      </w:r>
      <w:r w:rsidR="00D51020">
        <w:t xml:space="preserve"> IN THE CONTEXT OF E-NAVIGATION</w:t>
      </w:r>
      <w:r w:rsidR="000E16D3" w:rsidRPr="000E16D3">
        <w:t xml:space="preserve"> </w:t>
      </w:r>
    </w:p>
    <w:p w14:paraId="1C9B541F" w14:textId="77777777" w:rsidR="000E16D3" w:rsidRDefault="000E16D3" w:rsidP="006C2E61">
      <w:pPr>
        <w:pStyle w:val="Documentnumber"/>
      </w:pP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2A27EA63" w:rsidR="004E0BBB" w:rsidRPr="00F55AD7" w:rsidRDefault="002735DD" w:rsidP="004E0BBB">
      <w:pPr>
        <w:pStyle w:val="Editionnumber"/>
      </w:pPr>
      <w:r>
        <w:t xml:space="preserve">Edition </w:t>
      </w:r>
      <w:r w:rsidR="008B7F77">
        <w:t>1.0</w:t>
      </w:r>
    </w:p>
    <w:p w14:paraId="6ACE54B7" w14:textId="33674783" w:rsidR="004E0BBB" w:rsidRDefault="002735DD" w:rsidP="004E0BBB">
      <w:pPr>
        <w:pStyle w:val="Documentdate"/>
      </w:pPr>
      <w:r>
        <w:t>Date (of approval by Council)</w:t>
      </w:r>
    </w:p>
    <w:p w14:paraId="426B8F5A" w14:textId="519675DA" w:rsidR="002735DD" w:rsidRPr="002735DD" w:rsidRDefault="002735DD" w:rsidP="004E0BBB">
      <w:pPr>
        <w:pStyle w:val="Documentdate"/>
        <w:rPr>
          <w:i/>
        </w:rPr>
      </w:pP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6DA14D8" w14:textId="1AF32BAE" w:rsidR="000E16D3"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0E16D3" w:rsidRPr="009131F0">
        <w:t>1.</w:t>
      </w:r>
      <w:r w:rsidR="000E16D3">
        <w:rPr>
          <w:rFonts w:eastAsiaTheme="minorEastAsia"/>
          <w:b w:val="0"/>
          <w:color w:val="auto"/>
          <w:lang w:val="en-AU" w:eastAsia="en-AU"/>
        </w:rPr>
        <w:tab/>
      </w:r>
      <w:r w:rsidR="000E16D3">
        <w:t>INTRODUCTION</w:t>
      </w:r>
      <w:r w:rsidR="000E16D3">
        <w:tab/>
      </w:r>
      <w:r w:rsidR="000E16D3">
        <w:fldChar w:fldCharType="begin"/>
      </w:r>
      <w:r w:rsidR="000E16D3">
        <w:instrText xml:space="preserve"> PAGEREF _Toc21563239 \h </w:instrText>
      </w:r>
      <w:r w:rsidR="000E16D3">
        <w:fldChar w:fldCharType="separate"/>
      </w:r>
      <w:r w:rsidR="000E16D3">
        <w:t>4</w:t>
      </w:r>
      <w:r w:rsidR="000E16D3">
        <w:fldChar w:fldCharType="end"/>
      </w:r>
    </w:p>
    <w:p w14:paraId="275EA8F8" w14:textId="0D62D3FC" w:rsidR="000E16D3" w:rsidRDefault="000E16D3">
      <w:pPr>
        <w:pStyle w:val="TOC2"/>
        <w:rPr>
          <w:rFonts w:eastAsiaTheme="minorEastAsia"/>
          <w:color w:val="auto"/>
          <w:lang w:val="en-AU" w:eastAsia="en-AU"/>
        </w:rPr>
      </w:pPr>
      <w:r w:rsidRPr="009131F0">
        <w:t>1.1.</w:t>
      </w:r>
      <w:r>
        <w:rPr>
          <w:rFonts w:eastAsiaTheme="minorEastAsia"/>
          <w:color w:val="auto"/>
          <w:lang w:val="en-AU" w:eastAsia="en-AU"/>
        </w:rPr>
        <w:tab/>
      </w:r>
      <w:r>
        <w:t>SCOPE</w:t>
      </w:r>
      <w:r>
        <w:tab/>
      </w:r>
      <w:r>
        <w:fldChar w:fldCharType="begin"/>
      </w:r>
      <w:r>
        <w:instrText xml:space="preserve"> PAGEREF _Toc21563240 \h </w:instrText>
      </w:r>
      <w:r>
        <w:fldChar w:fldCharType="separate"/>
      </w:r>
      <w:r>
        <w:t>4</w:t>
      </w:r>
      <w:r>
        <w:fldChar w:fldCharType="end"/>
      </w:r>
    </w:p>
    <w:p w14:paraId="7584E75D" w14:textId="18BF105E" w:rsidR="000E16D3" w:rsidRDefault="000E16D3">
      <w:pPr>
        <w:pStyle w:val="TOC2"/>
        <w:rPr>
          <w:rFonts w:eastAsiaTheme="minorEastAsia"/>
          <w:color w:val="auto"/>
          <w:lang w:val="en-AU" w:eastAsia="en-AU"/>
        </w:rPr>
      </w:pPr>
      <w:r w:rsidRPr="009131F0">
        <w:t>1.2.</w:t>
      </w:r>
      <w:r>
        <w:rPr>
          <w:rFonts w:eastAsiaTheme="minorEastAsia"/>
          <w:color w:val="auto"/>
          <w:lang w:val="en-AU" w:eastAsia="en-AU"/>
        </w:rPr>
        <w:tab/>
      </w:r>
      <w:r>
        <w:t>BACKGROUND</w:t>
      </w:r>
      <w:r>
        <w:tab/>
      </w:r>
      <w:r>
        <w:fldChar w:fldCharType="begin"/>
      </w:r>
      <w:r>
        <w:instrText xml:space="preserve"> PAGEREF _Toc21563241 \h </w:instrText>
      </w:r>
      <w:r>
        <w:fldChar w:fldCharType="separate"/>
      </w:r>
      <w:r>
        <w:t>4</w:t>
      </w:r>
      <w:r>
        <w:fldChar w:fldCharType="end"/>
      </w:r>
    </w:p>
    <w:p w14:paraId="06ACE09C" w14:textId="1A28B7C1" w:rsidR="000E16D3" w:rsidRDefault="000E16D3">
      <w:pPr>
        <w:pStyle w:val="TOC1"/>
        <w:rPr>
          <w:rFonts w:eastAsiaTheme="minorEastAsia"/>
          <w:b w:val="0"/>
          <w:color w:val="auto"/>
          <w:lang w:val="en-AU" w:eastAsia="en-AU"/>
        </w:rPr>
      </w:pPr>
      <w:r w:rsidRPr="009131F0">
        <w:t>2.</w:t>
      </w:r>
      <w:r>
        <w:rPr>
          <w:rFonts w:eastAsiaTheme="minorEastAsia"/>
          <w:b w:val="0"/>
          <w:color w:val="auto"/>
          <w:lang w:val="en-AU" w:eastAsia="en-AU"/>
        </w:rPr>
        <w:tab/>
      </w:r>
      <w:r w:rsidRPr="009131F0">
        <w:t>REQUIREMENTS OF PLATFORMS FOR MARITIME SERVICES IN THE CONTEXT OF E-NAVIGATION</w:t>
      </w:r>
      <w:r>
        <w:tab/>
      </w:r>
      <w:r>
        <w:fldChar w:fldCharType="begin"/>
      </w:r>
      <w:r>
        <w:instrText xml:space="preserve"> PAGEREF _Toc21563242 \h </w:instrText>
      </w:r>
      <w:r>
        <w:fldChar w:fldCharType="separate"/>
      </w:r>
      <w:r>
        <w:t>4</w:t>
      </w:r>
      <w:r>
        <w:fldChar w:fldCharType="end"/>
      </w:r>
    </w:p>
    <w:p w14:paraId="31318409" w14:textId="600B9815" w:rsidR="000E16D3" w:rsidRDefault="000E16D3">
      <w:pPr>
        <w:pStyle w:val="TOC2"/>
        <w:rPr>
          <w:rFonts w:eastAsiaTheme="minorEastAsia"/>
          <w:color w:val="auto"/>
          <w:lang w:val="en-AU" w:eastAsia="en-AU"/>
        </w:rPr>
      </w:pPr>
      <w:r w:rsidRPr="009131F0">
        <w:t>2.1.</w:t>
      </w:r>
      <w:r>
        <w:rPr>
          <w:rFonts w:eastAsiaTheme="minorEastAsia"/>
          <w:color w:val="auto"/>
          <w:lang w:val="en-AU" w:eastAsia="en-AU"/>
        </w:rPr>
        <w:tab/>
      </w:r>
      <w:r w:rsidRPr="009131F0">
        <w:t>HARMONISED</w:t>
      </w:r>
      <w:r>
        <w:tab/>
      </w:r>
      <w:r>
        <w:fldChar w:fldCharType="begin"/>
      </w:r>
      <w:r>
        <w:instrText xml:space="preserve"> PAGEREF _Toc21563243 \h </w:instrText>
      </w:r>
      <w:r>
        <w:fldChar w:fldCharType="separate"/>
      </w:r>
      <w:r>
        <w:t>4</w:t>
      </w:r>
      <w:r>
        <w:fldChar w:fldCharType="end"/>
      </w:r>
    </w:p>
    <w:p w14:paraId="53A30C0F" w14:textId="41A87340" w:rsidR="000E16D3" w:rsidRDefault="000E16D3">
      <w:pPr>
        <w:pStyle w:val="TOC2"/>
        <w:rPr>
          <w:rFonts w:eastAsiaTheme="minorEastAsia"/>
          <w:color w:val="auto"/>
          <w:lang w:val="en-AU" w:eastAsia="en-AU"/>
        </w:rPr>
      </w:pPr>
      <w:r w:rsidRPr="009131F0">
        <w:t>2.2.</w:t>
      </w:r>
      <w:r>
        <w:rPr>
          <w:rFonts w:eastAsiaTheme="minorEastAsia"/>
          <w:color w:val="auto"/>
          <w:lang w:val="en-AU" w:eastAsia="en-AU"/>
        </w:rPr>
        <w:tab/>
      </w:r>
      <w:r w:rsidRPr="009131F0">
        <w:t>INTEROPERABLE</w:t>
      </w:r>
      <w:r>
        <w:tab/>
      </w:r>
      <w:r>
        <w:fldChar w:fldCharType="begin"/>
      </w:r>
      <w:r>
        <w:instrText xml:space="preserve"> PAGEREF _Toc21563244 \h </w:instrText>
      </w:r>
      <w:r>
        <w:fldChar w:fldCharType="separate"/>
      </w:r>
      <w:r>
        <w:t>5</w:t>
      </w:r>
      <w:r>
        <w:fldChar w:fldCharType="end"/>
      </w:r>
    </w:p>
    <w:p w14:paraId="31127D88" w14:textId="655C3ABD" w:rsidR="000E16D3" w:rsidRDefault="000E16D3">
      <w:pPr>
        <w:pStyle w:val="TOC2"/>
        <w:rPr>
          <w:rFonts w:eastAsiaTheme="minorEastAsia"/>
          <w:color w:val="auto"/>
          <w:lang w:val="en-AU" w:eastAsia="en-AU"/>
        </w:rPr>
      </w:pPr>
      <w:r w:rsidRPr="009131F0">
        <w:t>2.3.</w:t>
      </w:r>
      <w:r>
        <w:rPr>
          <w:rFonts w:eastAsiaTheme="minorEastAsia"/>
          <w:color w:val="auto"/>
          <w:lang w:val="en-AU" w:eastAsia="en-AU"/>
        </w:rPr>
        <w:tab/>
      </w:r>
      <w:r w:rsidRPr="009131F0">
        <w:t>EFFICIENCY, ROBUSTNESS AND RESILIENCE</w:t>
      </w:r>
      <w:r>
        <w:tab/>
      </w:r>
      <w:r>
        <w:fldChar w:fldCharType="begin"/>
      </w:r>
      <w:r>
        <w:instrText xml:space="preserve"> PAGEREF _Toc21563245 \h </w:instrText>
      </w:r>
      <w:r>
        <w:fldChar w:fldCharType="separate"/>
      </w:r>
      <w:r>
        <w:t>5</w:t>
      </w:r>
      <w:r>
        <w:fldChar w:fldCharType="end"/>
      </w:r>
    </w:p>
    <w:p w14:paraId="2D669B55" w14:textId="064AF7BC" w:rsidR="000E16D3" w:rsidRDefault="000E16D3">
      <w:pPr>
        <w:pStyle w:val="TOC2"/>
        <w:rPr>
          <w:rFonts w:eastAsiaTheme="minorEastAsia"/>
          <w:color w:val="auto"/>
          <w:lang w:val="en-AU" w:eastAsia="en-AU"/>
        </w:rPr>
      </w:pPr>
      <w:r w:rsidRPr="009131F0">
        <w:t>2.4.</w:t>
      </w:r>
      <w:r>
        <w:rPr>
          <w:rFonts w:eastAsiaTheme="minorEastAsia"/>
          <w:color w:val="auto"/>
          <w:lang w:val="en-AU" w:eastAsia="en-AU"/>
        </w:rPr>
        <w:tab/>
      </w:r>
      <w:r w:rsidRPr="009131F0">
        <w:t>CYBERSECURITY</w:t>
      </w:r>
      <w:r>
        <w:tab/>
      </w:r>
      <w:r>
        <w:fldChar w:fldCharType="begin"/>
      </w:r>
      <w:r>
        <w:instrText xml:space="preserve"> PAGEREF _Toc21563246 \h </w:instrText>
      </w:r>
      <w:r>
        <w:fldChar w:fldCharType="separate"/>
      </w:r>
      <w:r>
        <w:t>5</w:t>
      </w:r>
      <w:r>
        <w:fldChar w:fldCharType="end"/>
      </w:r>
    </w:p>
    <w:p w14:paraId="5461C5F3" w14:textId="27830502" w:rsidR="000E16D3" w:rsidRDefault="000E16D3">
      <w:pPr>
        <w:pStyle w:val="TOC2"/>
        <w:rPr>
          <w:rFonts w:eastAsiaTheme="minorEastAsia"/>
          <w:color w:val="auto"/>
          <w:lang w:val="en-AU" w:eastAsia="en-AU"/>
        </w:rPr>
      </w:pPr>
      <w:r w:rsidRPr="009131F0">
        <w:t>2.5.</w:t>
      </w:r>
      <w:r>
        <w:rPr>
          <w:rFonts w:eastAsiaTheme="minorEastAsia"/>
          <w:color w:val="auto"/>
          <w:lang w:val="en-AU" w:eastAsia="en-AU"/>
        </w:rPr>
        <w:tab/>
      </w:r>
      <w:r>
        <w:t>GOVERNANCE</w:t>
      </w:r>
      <w:r>
        <w:tab/>
      </w:r>
      <w:r>
        <w:fldChar w:fldCharType="begin"/>
      </w:r>
      <w:r>
        <w:instrText xml:space="preserve"> PAGEREF _Toc21563247 \h </w:instrText>
      </w:r>
      <w:r>
        <w:fldChar w:fldCharType="separate"/>
      </w:r>
      <w:r>
        <w:t>5</w:t>
      </w:r>
      <w:r>
        <w:fldChar w:fldCharType="end"/>
      </w:r>
    </w:p>
    <w:p w14:paraId="45F3CC5A" w14:textId="7DC0B503" w:rsidR="000E16D3" w:rsidRDefault="000E16D3">
      <w:pPr>
        <w:pStyle w:val="TOC2"/>
        <w:rPr>
          <w:rFonts w:eastAsiaTheme="minorEastAsia"/>
          <w:color w:val="auto"/>
          <w:lang w:val="en-AU" w:eastAsia="en-AU"/>
        </w:rPr>
      </w:pPr>
      <w:r w:rsidRPr="009131F0">
        <w:t>2.6.</w:t>
      </w:r>
      <w:r>
        <w:rPr>
          <w:rFonts w:eastAsiaTheme="minorEastAsia"/>
          <w:color w:val="auto"/>
          <w:lang w:val="en-AU" w:eastAsia="en-AU"/>
        </w:rPr>
        <w:tab/>
      </w:r>
      <w:r w:rsidRPr="009131F0">
        <w:t>MANAGEMENT OF SERVICE SPECIFICATION</w:t>
      </w:r>
      <w:r>
        <w:tab/>
      </w:r>
      <w:r>
        <w:fldChar w:fldCharType="begin"/>
      </w:r>
      <w:r>
        <w:instrText xml:space="preserve"> PAGEREF _Toc21563248 \h </w:instrText>
      </w:r>
      <w:r>
        <w:fldChar w:fldCharType="separate"/>
      </w:r>
      <w:r>
        <w:t>6</w:t>
      </w:r>
      <w:r>
        <w:fldChar w:fldCharType="end"/>
      </w:r>
    </w:p>
    <w:p w14:paraId="34F360B4" w14:textId="69846947" w:rsidR="000E16D3" w:rsidRDefault="000E16D3">
      <w:pPr>
        <w:pStyle w:val="TOC2"/>
        <w:rPr>
          <w:rFonts w:eastAsiaTheme="minorEastAsia"/>
          <w:color w:val="auto"/>
          <w:lang w:val="en-AU" w:eastAsia="en-AU"/>
        </w:rPr>
      </w:pPr>
      <w:r w:rsidRPr="009131F0">
        <w:t>2.7.</w:t>
      </w:r>
      <w:r>
        <w:rPr>
          <w:rFonts w:eastAsiaTheme="minorEastAsia"/>
          <w:color w:val="auto"/>
          <w:lang w:val="en-AU" w:eastAsia="en-AU"/>
        </w:rPr>
        <w:tab/>
      </w:r>
      <w:r w:rsidRPr="009131F0">
        <w:t>APPLICATION PROGRAMMING INTERFACE</w:t>
      </w:r>
      <w:r>
        <w:tab/>
      </w:r>
      <w:r>
        <w:fldChar w:fldCharType="begin"/>
      </w:r>
      <w:r>
        <w:instrText xml:space="preserve"> PAGEREF _Toc21563249 \h </w:instrText>
      </w:r>
      <w:r>
        <w:fldChar w:fldCharType="separate"/>
      </w:r>
      <w:r>
        <w:t>6</w:t>
      </w:r>
      <w:r>
        <w:fldChar w:fldCharType="end"/>
      </w:r>
    </w:p>
    <w:p w14:paraId="77D1A238" w14:textId="23D4B766" w:rsidR="000E16D3" w:rsidRDefault="000E16D3">
      <w:pPr>
        <w:pStyle w:val="TOC1"/>
        <w:rPr>
          <w:rFonts w:eastAsiaTheme="minorEastAsia"/>
          <w:b w:val="0"/>
          <w:color w:val="auto"/>
          <w:lang w:val="en-AU" w:eastAsia="en-AU"/>
        </w:rPr>
      </w:pPr>
      <w:r w:rsidRPr="009131F0">
        <w:rPr>
          <w:highlight w:val="yellow"/>
        </w:rPr>
        <w:t>3.</w:t>
      </w:r>
      <w:r>
        <w:rPr>
          <w:rFonts w:eastAsiaTheme="minorEastAsia"/>
          <w:b w:val="0"/>
          <w:color w:val="auto"/>
          <w:lang w:val="en-AU" w:eastAsia="en-AU"/>
        </w:rPr>
        <w:tab/>
      </w:r>
      <w:r w:rsidRPr="009131F0">
        <w:t xml:space="preserve">MARITIME CONNECTIVITY PLATFORM (MCP) – A </w:t>
      </w:r>
      <w:r w:rsidRPr="009131F0">
        <w:rPr>
          <w:highlight w:val="yellow"/>
        </w:rPr>
        <w:t>CANDIDATE (MCP CONSORTIUM will provide text before ENAV 25)</w:t>
      </w:r>
      <w:r>
        <w:tab/>
      </w:r>
      <w:r>
        <w:fldChar w:fldCharType="begin"/>
      </w:r>
      <w:r>
        <w:instrText xml:space="preserve"> PAGEREF _Toc21563250 \h </w:instrText>
      </w:r>
      <w:r>
        <w:fldChar w:fldCharType="separate"/>
      </w:r>
      <w:r>
        <w:t>6</w:t>
      </w:r>
      <w:r>
        <w:fldChar w:fldCharType="end"/>
      </w:r>
    </w:p>
    <w:p w14:paraId="40492D76" w14:textId="5D51B62D" w:rsidR="000E16D3" w:rsidRDefault="000E16D3">
      <w:pPr>
        <w:pStyle w:val="TOC2"/>
        <w:rPr>
          <w:rFonts w:eastAsiaTheme="minorEastAsia"/>
          <w:color w:val="auto"/>
          <w:lang w:val="en-AU" w:eastAsia="en-AU"/>
        </w:rPr>
      </w:pPr>
      <w:r w:rsidRPr="009131F0">
        <w:t>3.1.</w:t>
      </w:r>
      <w:r>
        <w:rPr>
          <w:rFonts w:eastAsiaTheme="minorEastAsia"/>
          <w:color w:val="auto"/>
          <w:lang w:val="en-AU" w:eastAsia="en-AU"/>
        </w:rPr>
        <w:tab/>
      </w:r>
      <w:r w:rsidRPr="009131F0">
        <w:t>WHAT IS THE MCP</w:t>
      </w:r>
      <w:r>
        <w:tab/>
      </w:r>
      <w:r>
        <w:fldChar w:fldCharType="begin"/>
      </w:r>
      <w:r>
        <w:instrText xml:space="preserve"> PAGEREF _Toc21563251 \h </w:instrText>
      </w:r>
      <w:r>
        <w:fldChar w:fldCharType="separate"/>
      </w:r>
      <w:r>
        <w:t>6</w:t>
      </w:r>
      <w:r>
        <w:fldChar w:fldCharType="end"/>
      </w:r>
    </w:p>
    <w:p w14:paraId="5261F017" w14:textId="6320A919" w:rsidR="000E16D3" w:rsidRDefault="000E16D3">
      <w:pPr>
        <w:pStyle w:val="TOC3"/>
        <w:tabs>
          <w:tab w:val="left" w:pos="1134"/>
          <w:tab w:val="right" w:leader="dot" w:pos="10195"/>
        </w:tabs>
        <w:rPr>
          <w:rFonts w:eastAsiaTheme="minorEastAsia"/>
          <w:noProof/>
          <w:sz w:val="22"/>
          <w:lang w:val="en-AU" w:eastAsia="en-AU"/>
        </w:rPr>
      </w:pPr>
      <w:r w:rsidRPr="009131F0">
        <w:rPr>
          <w:noProof/>
        </w:rPr>
        <w:t>3.1.1.</w:t>
      </w:r>
      <w:r>
        <w:rPr>
          <w:rFonts w:eastAsiaTheme="minorEastAsia"/>
          <w:noProof/>
          <w:sz w:val="22"/>
          <w:lang w:val="en-AU" w:eastAsia="en-AU"/>
        </w:rPr>
        <w:tab/>
      </w:r>
      <w:r>
        <w:rPr>
          <w:noProof/>
        </w:rPr>
        <w:t>web service based communications</w:t>
      </w:r>
      <w:r>
        <w:rPr>
          <w:noProof/>
        </w:rPr>
        <w:tab/>
      </w:r>
      <w:r>
        <w:rPr>
          <w:noProof/>
        </w:rPr>
        <w:fldChar w:fldCharType="begin"/>
      </w:r>
      <w:r>
        <w:rPr>
          <w:noProof/>
        </w:rPr>
        <w:instrText xml:space="preserve"> PAGEREF _Toc21563252 \h </w:instrText>
      </w:r>
      <w:r>
        <w:rPr>
          <w:noProof/>
        </w:rPr>
      </w:r>
      <w:r>
        <w:rPr>
          <w:noProof/>
        </w:rPr>
        <w:fldChar w:fldCharType="separate"/>
      </w:r>
      <w:r>
        <w:rPr>
          <w:noProof/>
        </w:rPr>
        <w:t>6</w:t>
      </w:r>
      <w:r>
        <w:rPr>
          <w:noProof/>
        </w:rPr>
        <w:fldChar w:fldCharType="end"/>
      </w:r>
    </w:p>
    <w:p w14:paraId="12449599" w14:textId="58D864DD" w:rsidR="000E16D3" w:rsidRDefault="000E16D3">
      <w:pPr>
        <w:pStyle w:val="TOC3"/>
        <w:tabs>
          <w:tab w:val="left" w:pos="1134"/>
          <w:tab w:val="right" w:leader="dot" w:pos="10195"/>
        </w:tabs>
        <w:rPr>
          <w:rFonts w:eastAsiaTheme="minorEastAsia"/>
          <w:noProof/>
          <w:sz w:val="22"/>
          <w:lang w:val="en-AU" w:eastAsia="en-AU"/>
        </w:rPr>
      </w:pPr>
      <w:r w:rsidRPr="009131F0">
        <w:rPr>
          <w:noProof/>
        </w:rPr>
        <w:t>3.1.2.</w:t>
      </w:r>
      <w:r>
        <w:rPr>
          <w:rFonts w:eastAsiaTheme="minorEastAsia"/>
          <w:noProof/>
          <w:sz w:val="22"/>
          <w:lang w:val="en-AU" w:eastAsia="en-AU"/>
        </w:rPr>
        <w:tab/>
      </w:r>
      <w:r>
        <w:rPr>
          <w:noProof/>
        </w:rPr>
        <w:t>The Maritime Identity Registry</w:t>
      </w:r>
      <w:r>
        <w:rPr>
          <w:noProof/>
        </w:rPr>
        <w:tab/>
      </w:r>
      <w:r>
        <w:rPr>
          <w:noProof/>
        </w:rPr>
        <w:fldChar w:fldCharType="begin"/>
      </w:r>
      <w:r>
        <w:rPr>
          <w:noProof/>
        </w:rPr>
        <w:instrText xml:space="preserve"> PAGEREF _Toc21563253 \h </w:instrText>
      </w:r>
      <w:r>
        <w:rPr>
          <w:noProof/>
        </w:rPr>
      </w:r>
      <w:r>
        <w:rPr>
          <w:noProof/>
        </w:rPr>
        <w:fldChar w:fldCharType="separate"/>
      </w:r>
      <w:r>
        <w:rPr>
          <w:noProof/>
        </w:rPr>
        <w:t>6</w:t>
      </w:r>
      <w:r>
        <w:rPr>
          <w:noProof/>
        </w:rPr>
        <w:fldChar w:fldCharType="end"/>
      </w:r>
    </w:p>
    <w:p w14:paraId="6C2BCFFE" w14:textId="7F965AB7" w:rsidR="000E16D3" w:rsidRDefault="000E16D3">
      <w:pPr>
        <w:pStyle w:val="TOC3"/>
        <w:tabs>
          <w:tab w:val="left" w:pos="1134"/>
          <w:tab w:val="right" w:leader="dot" w:pos="10195"/>
        </w:tabs>
        <w:rPr>
          <w:rFonts w:eastAsiaTheme="minorEastAsia"/>
          <w:noProof/>
          <w:sz w:val="22"/>
          <w:lang w:val="en-AU" w:eastAsia="en-AU"/>
        </w:rPr>
      </w:pPr>
      <w:r w:rsidRPr="009131F0">
        <w:rPr>
          <w:noProof/>
        </w:rPr>
        <w:t>3.1.3.</w:t>
      </w:r>
      <w:r>
        <w:rPr>
          <w:rFonts w:eastAsiaTheme="minorEastAsia"/>
          <w:noProof/>
          <w:sz w:val="22"/>
          <w:lang w:val="en-AU" w:eastAsia="en-AU"/>
        </w:rPr>
        <w:tab/>
      </w:r>
      <w:r>
        <w:rPr>
          <w:noProof/>
        </w:rPr>
        <w:t>the maritime service registry</w:t>
      </w:r>
      <w:r>
        <w:rPr>
          <w:noProof/>
        </w:rPr>
        <w:tab/>
      </w:r>
      <w:r>
        <w:rPr>
          <w:noProof/>
        </w:rPr>
        <w:fldChar w:fldCharType="begin"/>
      </w:r>
      <w:r>
        <w:rPr>
          <w:noProof/>
        </w:rPr>
        <w:instrText xml:space="preserve"> PAGEREF _Toc21563254 \h </w:instrText>
      </w:r>
      <w:r>
        <w:rPr>
          <w:noProof/>
        </w:rPr>
      </w:r>
      <w:r>
        <w:rPr>
          <w:noProof/>
        </w:rPr>
        <w:fldChar w:fldCharType="separate"/>
      </w:r>
      <w:r>
        <w:rPr>
          <w:noProof/>
        </w:rPr>
        <w:t>7</w:t>
      </w:r>
      <w:r>
        <w:rPr>
          <w:noProof/>
        </w:rPr>
        <w:fldChar w:fldCharType="end"/>
      </w:r>
    </w:p>
    <w:p w14:paraId="67D73310" w14:textId="41E4C2BF" w:rsidR="000E16D3" w:rsidRDefault="000E16D3">
      <w:pPr>
        <w:pStyle w:val="TOC3"/>
        <w:tabs>
          <w:tab w:val="left" w:pos="1134"/>
          <w:tab w:val="right" w:leader="dot" w:pos="10195"/>
        </w:tabs>
        <w:rPr>
          <w:rFonts w:eastAsiaTheme="minorEastAsia"/>
          <w:noProof/>
          <w:sz w:val="22"/>
          <w:lang w:val="en-AU" w:eastAsia="en-AU"/>
        </w:rPr>
      </w:pPr>
      <w:r w:rsidRPr="009131F0">
        <w:rPr>
          <w:noProof/>
        </w:rPr>
        <w:t>3.1.4.</w:t>
      </w:r>
      <w:r>
        <w:rPr>
          <w:rFonts w:eastAsiaTheme="minorEastAsia"/>
          <w:noProof/>
          <w:sz w:val="22"/>
          <w:lang w:val="en-AU" w:eastAsia="en-AU"/>
        </w:rPr>
        <w:tab/>
      </w:r>
      <w:r>
        <w:rPr>
          <w:noProof/>
        </w:rPr>
        <w:t>the maritime messaging service</w:t>
      </w:r>
      <w:r>
        <w:rPr>
          <w:noProof/>
        </w:rPr>
        <w:tab/>
      </w:r>
      <w:r>
        <w:rPr>
          <w:noProof/>
        </w:rPr>
        <w:fldChar w:fldCharType="begin"/>
      </w:r>
      <w:r>
        <w:rPr>
          <w:noProof/>
        </w:rPr>
        <w:instrText xml:space="preserve"> PAGEREF _Toc21563255 \h </w:instrText>
      </w:r>
      <w:r>
        <w:rPr>
          <w:noProof/>
        </w:rPr>
      </w:r>
      <w:r>
        <w:rPr>
          <w:noProof/>
        </w:rPr>
        <w:fldChar w:fldCharType="separate"/>
      </w:r>
      <w:r>
        <w:rPr>
          <w:noProof/>
        </w:rPr>
        <w:t>7</w:t>
      </w:r>
      <w:r>
        <w:rPr>
          <w:noProof/>
        </w:rPr>
        <w:fldChar w:fldCharType="end"/>
      </w:r>
    </w:p>
    <w:p w14:paraId="45CEED51" w14:textId="52E5EC5A" w:rsidR="000E16D3" w:rsidRDefault="000E16D3">
      <w:pPr>
        <w:pStyle w:val="TOC2"/>
        <w:rPr>
          <w:rFonts w:eastAsiaTheme="minorEastAsia"/>
          <w:color w:val="auto"/>
          <w:lang w:val="en-AU" w:eastAsia="en-AU"/>
        </w:rPr>
      </w:pPr>
      <w:r w:rsidRPr="009131F0">
        <w:t>3.2.</w:t>
      </w:r>
      <w:r>
        <w:rPr>
          <w:rFonts w:eastAsiaTheme="minorEastAsia"/>
          <w:color w:val="auto"/>
          <w:lang w:val="en-AU" w:eastAsia="en-AU"/>
        </w:rPr>
        <w:tab/>
      </w:r>
      <w:r>
        <w:t>THE MARITIME CONNECTIVITY PLATFORM CONSORTIUM (MCC)</w:t>
      </w:r>
      <w:r>
        <w:tab/>
      </w:r>
      <w:r>
        <w:fldChar w:fldCharType="begin"/>
      </w:r>
      <w:r>
        <w:instrText xml:space="preserve"> PAGEREF _Toc21563256 \h </w:instrText>
      </w:r>
      <w:r>
        <w:fldChar w:fldCharType="separate"/>
      </w:r>
      <w:r>
        <w:t>7</w:t>
      </w:r>
      <w:r>
        <w:fldChar w:fldCharType="end"/>
      </w:r>
    </w:p>
    <w:p w14:paraId="2E73039C" w14:textId="6DAFBD12" w:rsidR="000E16D3" w:rsidRDefault="000E16D3">
      <w:pPr>
        <w:pStyle w:val="TOC1"/>
        <w:rPr>
          <w:rFonts w:eastAsiaTheme="minorEastAsia"/>
          <w:b w:val="0"/>
          <w:color w:val="auto"/>
          <w:lang w:val="en-AU" w:eastAsia="en-AU"/>
        </w:rPr>
      </w:pPr>
      <w:r w:rsidRPr="009131F0">
        <w:t>4.</w:t>
      </w:r>
      <w:r>
        <w:rPr>
          <w:rFonts w:eastAsiaTheme="minorEastAsia"/>
          <w:b w:val="0"/>
          <w:color w:val="auto"/>
          <w:lang w:val="en-AU" w:eastAsia="en-AU"/>
        </w:rPr>
        <w:tab/>
      </w:r>
      <w:r>
        <w:t>SUITABILITY OF MCP</w:t>
      </w:r>
      <w:r>
        <w:tab/>
      </w:r>
      <w:r>
        <w:fldChar w:fldCharType="begin"/>
      </w:r>
      <w:r>
        <w:instrText xml:space="preserve"> PAGEREF _Toc21563257 \h </w:instrText>
      </w:r>
      <w:r>
        <w:fldChar w:fldCharType="separate"/>
      </w:r>
      <w:r>
        <w:t>7</w:t>
      </w:r>
      <w:r>
        <w:fldChar w:fldCharType="end"/>
      </w:r>
    </w:p>
    <w:p w14:paraId="0D5E4095" w14:textId="6DB8A21E" w:rsidR="000E16D3" w:rsidRDefault="000E16D3">
      <w:pPr>
        <w:pStyle w:val="TOC1"/>
        <w:rPr>
          <w:rFonts w:eastAsiaTheme="minorEastAsia"/>
          <w:b w:val="0"/>
          <w:color w:val="auto"/>
          <w:lang w:val="en-AU" w:eastAsia="en-AU"/>
        </w:rPr>
      </w:pPr>
      <w:r w:rsidRPr="009131F0">
        <w:t>5.</w:t>
      </w:r>
      <w:r>
        <w:rPr>
          <w:rFonts w:eastAsiaTheme="minorEastAsia"/>
          <w:b w:val="0"/>
          <w:color w:val="auto"/>
          <w:lang w:val="en-AU" w:eastAsia="en-AU"/>
        </w:rPr>
        <w:tab/>
      </w:r>
      <w:r w:rsidRPr="009131F0">
        <w:t>ACRONYMS</w:t>
      </w:r>
      <w:r>
        <w:tab/>
      </w:r>
      <w:r>
        <w:fldChar w:fldCharType="begin"/>
      </w:r>
      <w:r>
        <w:instrText xml:space="preserve"> PAGEREF _Toc21563258 \h </w:instrText>
      </w:r>
      <w:r>
        <w:fldChar w:fldCharType="separate"/>
      </w:r>
      <w:r>
        <w:t>7</w:t>
      </w:r>
      <w:r>
        <w:fldChar w:fldCharType="end"/>
      </w:r>
    </w:p>
    <w:p w14:paraId="2CDCD7BA" w14:textId="0CBAD716"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0FEDCB94" w:rsidR="004944C8" w:rsidRPr="00F55AD7" w:rsidRDefault="00226BFA" w:rsidP="004944C8">
      <w:pPr>
        <w:pStyle w:val="Heading1"/>
      </w:pPr>
      <w:bookmarkStart w:id="2" w:name="_Toc21563239"/>
      <w:r>
        <w:lastRenderedPageBreak/>
        <w:t>INTRODUCTION</w:t>
      </w:r>
      <w:bookmarkEnd w:id="2"/>
      <w:r>
        <w:t xml:space="preserve"> </w:t>
      </w:r>
    </w:p>
    <w:p w14:paraId="357D3282" w14:textId="77777777" w:rsidR="003A6A32" w:rsidRPr="00F55AD7" w:rsidRDefault="003A6A32" w:rsidP="003A6A32">
      <w:pPr>
        <w:pStyle w:val="Heading1separatationline"/>
      </w:pPr>
    </w:p>
    <w:p w14:paraId="5A7F7376" w14:textId="029CA735" w:rsidR="00A524B5" w:rsidRPr="00F55AD7" w:rsidRDefault="00226BFA" w:rsidP="006744D8">
      <w:pPr>
        <w:pStyle w:val="Heading2"/>
      </w:pPr>
      <w:bookmarkStart w:id="3" w:name="_Toc21563240"/>
      <w:r>
        <w:t>SCOPE</w:t>
      </w:r>
      <w:bookmarkEnd w:id="3"/>
      <w:r>
        <w:t xml:space="preserve"> </w:t>
      </w:r>
    </w:p>
    <w:p w14:paraId="667D6270" w14:textId="77777777" w:rsidR="00A524B5" w:rsidRPr="00F55AD7" w:rsidRDefault="00A524B5" w:rsidP="00A524B5">
      <w:pPr>
        <w:pStyle w:val="Heading2separationline"/>
      </w:pPr>
    </w:p>
    <w:p w14:paraId="0F6B8C8A" w14:textId="57EBFAD0" w:rsidR="00D10602" w:rsidRDefault="00540D36" w:rsidP="00490C14">
      <w:pPr>
        <w:pStyle w:val="BodyText"/>
        <w:jc w:val="both"/>
      </w:pPr>
      <w:r>
        <w:t xml:space="preserve">This </w:t>
      </w:r>
      <w:r w:rsidR="001F6789">
        <w:t xml:space="preserve">guideline </w:t>
      </w:r>
      <w:r w:rsidR="009217F2" w:rsidRPr="00F55AD7">
        <w:t>provides</w:t>
      </w:r>
      <w:r w:rsidR="00226BFA">
        <w:t xml:space="preserve"> </w:t>
      </w:r>
      <w:r w:rsidR="001F6789">
        <w:t xml:space="preserve">information </w:t>
      </w:r>
      <w:r w:rsidR="00226BFA">
        <w:t xml:space="preserve">on </w:t>
      </w:r>
      <w:r w:rsidR="00233D1A">
        <w:t xml:space="preserve">the establishment of harmonised </w:t>
      </w:r>
      <w:r w:rsidR="00D10602">
        <w:t>platform</w:t>
      </w:r>
      <w:r w:rsidR="00233D1A">
        <w:t xml:space="preserve">s to </w:t>
      </w:r>
      <w:r w:rsidR="00D10602">
        <w:t xml:space="preserve">support the </w:t>
      </w:r>
      <w:r w:rsidR="00233D1A">
        <w:t xml:space="preserve">implementation of </w:t>
      </w:r>
      <w:r w:rsidR="00D10602">
        <w:t xml:space="preserve">VTS and </w:t>
      </w:r>
      <w:proofErr w:type="spellStart"/>
      <w:r w:rsidR="00D10602">
        <w:t>AtoN</w:t>
      </w:r>
      <w:proofErr w:type="spellEnd"/>
      <w:r w:rsidR="00D10602">
        <w:t xml:space="preserve"> maritime services in the context of e-navigation.  </w:t>
      </w:r>
    </w:p>
    <w:p w14:paraId="703F690E" w14:textId="0DAF720E" w:rsidR="00D10602" w:rsidRDefault="00D10602" w:rsidP="00490C14">
      <w:pPr>
        <w:pStyle w:val="BodyText"/>
        <w:jc w:val="both"/>
      </w:pPr>
      <w:r>
        <w:t>The platform</w:t>
      </w:r>
      <w:r w:rsidR="00233D1A">
        <w:t>s aim</w:t>
      </w:r>
      <w:r>
        <w:t xml:space="preserve"> to enable </w:t>
      </w:r>
      <w:r w:rsidRPr="00D10602">
        <w:t xml:space="preserve">efficient, secure, reliable and seamless electronic information exchange between all authorised maritime stakeholders </w:t>
      </w:r>
      <w:r w:rsidR="00B6367C">
        <w:t xml:space="preserve">using all </w:t>
      </w:r>
      <w:r w:rsidRPr="00D10602">
        <w:t xml:space="preserve">available means of communications. </w:t>
      </w:r>
    </w:p>
    <w:p w14:paraId="43A1BA3C" w14:textId="783C2B77" w:rsidR="00D10602" w:rsidRDefault="00D10602" w:rsidP="00490C14">
      <w:pPr>
        <w:pStyle w:val="BodyText"/>
        <w:jc w:val="both"/>
      </w:pPr>
      <w:r>
        <w:t xml:space="preserve">Although the initial focus is to </w:t>
      </w:r>
      <w:r w:rsidR="00B6367C">
        <w:t xml:space="preserve">enable </w:t>
      </w:r>
      <w:r>
        <w:t xml:space="preserve">VTS and </w:t>
      </w:r>
      <w:proofErr w:type="spellStart"/>
      <w:r>
        <w:t>AtoN</w:t>
      </w:r>
      <w:proofErr w:type="spellEnd"/>
      <w:r>
        <w:t xml:space="preserve"> services, </w:t>
      </w:r>
      <w:r w:rsidR="00B6367C">
        <w:t>the aim is to expand th</w:t>
      </w:r>
      <w:r w:rsidR="00233D1A">
        <w:t xml:space="preserve">ese </w:t>
      </w:r>
      <w:r w:rsidRPr="00D10602">
        <w:t>platform</w:t>
      </w:r>
      <w:r w:rsidR="00233D1A">
        <w:t>s</w:t>
      </w:r>
      <w:r w:rsidRPr="00D10602">
        <w:t xml:space="preserve"> </w:t>
      </w:r>
      <w:r w:rsidR="00B6367C">
        <w:t xml:space="preserve">to accommodate </w:t>
      </w:r>
      <w:r w:rsidRPr="00D10602">
        <w:t>all maritime services in the context of e-navigation.</w:t>
      </w:r>
    </w:p>
    <w:p w14:paraId="6D394BD0" w14:textId="2A0819D9" w:rsidR="00B6367C" w:rsidRPr="00490C14" w:rsidRDefault="00B6367C" w:rsidP="00490C14">
      <w:pPr>
        <w:pStyle w:val="BodyText"/>
        <w:jc w:val="both"/>
      </w:pPr>
      <w:r>
        <w:t>This is one of several guidelines associated with Recommendation R-XXXX</w:t>
      </w:r>
      <w:r w:rsidR="00490C14">
        <w:t xml:space="preserve"> (on the </w:t>
      </w:r>
      <w:r w:rsidR="00490C14" w:rsidRPr="00490C14">
        <w:t xml:space="preserve">Provision </w:t>
      </w:r>
      <w:r w:rsidR="00490C14">
        <w:t>o</w:t>
      </w:r>
      <w:r w:rsidR="00490C14" w:rsidRPr="00490C14">
        <w:t>f Digital V</w:t>
      </w:r>
      <w:r w:rsidR="00490C14">
        <w:t xml:space="preserve">TS and </w:t>
      </w:r>
      <w:proofErr w:type="spellStart"/>
      <w:r w:rsidR="00490C14">
        <w:t>AtoN</w:t>
      </w:r>
      <w:proofErr w:type="spellEnd"/>
      <w:r w:rsidR="00490C14">
        <w:t xml:space="preserve"> </w:t>
      </w:r>
      <w:r w:rsidR="00490C14" w:rsidRPr="00490C14">
        <w:t xml:space="preserve">Maritime Services </w:t>
      </w:r>
      <w:r w:rsidR="00490C14">
        <w:t>in the c</w:t>
      </w:r>
      <w:r w:rsidR="00490C14" w:rsidRPr="00490C14">
        <w:t xml:space="preserve">ontext </w:t>
      </w:r>
      <w:r w:rsidR="00490C14">
        <w:t>of e-Na</w:t>
      </w:r>
      <w:r w:rsidR="00490C14" w:rsidRPr="00490C14">
        <w:t>vigation</w:t>
      </w:r>
      <w:r w:rsidR="00490C14">
        <w:t>).</w:t>
      </w:r>
    </w:p>
    <w:p w14:paraId="16751D04" w14:textId="780616D2" w:rsidR="009217F2" w:rsidRPr="00F55AD7" w:rsidRDefault="00226BFA" w:rsidP="0046464D">
      <w:pPr>
        <w:pStyle w:val="Heading2"/>
      </w:pPr>
      <w:bookmarkStart w:id="4" w:name="_Toc21563241"/>
      <w:r>
        <w:t>BACKGROUND</w:t>
      </w:r>
      <w:bookmarkEnd w:id="4"/>
    </w:p>
    <w:p w14:paraId="5A7E0F66" w14:textId="6B4BE4D2" w:rsidR="009217F2" w:rsidRPr="00F55AD7" w:rsidRDefault="009217F2" w:rsidP="009217F2">
      <w:pPr>
        <w:pStyle w:val="Heading2separationline"/>
      </w:pPr>
    </w:p>
    <w:p w14:paraId="036D09CD" w14:textId="78287DCE" w:rsidR="00233D1A" w:rsidRDefault="00233D1A" w:rsidP="00233D1A">
      <w:pPr>
        <w:pStyle w:val="BodyText"/>
      </w:pPr>
      <w:r>
        <w:t>Digitalisation in the maritime domain is advancing rapidly.  The shipping industry is witness to increasing levels of digitisation and automation on board and ashore, growing electronic exchange of information and the advent of digital maritime services.  These trends will lead to:</w:t>
      </w:r>
    </w:p>
    <w:p w14:paraId="79F9F35D" w14:textId="77777777" w:rsidR="000C32FA" w:rsidRDefault="000C32FA" w:rsidP="00233D1A">
      <w:pPr>
        <w:pStyle w:val="BodyText"/>
        <w:numPr>
          <w:ilvl w:val="0"/>
          <w:numId w:val="36"/>
        </w:numPr>
      </w:pPr>
      <w:r>
        <w:t xml:space="preserve">The need for increased and improved connectivity </w:t>
      </w:r>
    </w:p>
    <w:p w14:paraId="091DB8BF" w14:textId="68149DE3" w:rsidR="00233D1A" w:rsidRDefault="00233D1A" w:rsidP="00233D1A">
      <w:pPr>
        <w:pStyle w:val="BodyText"/>
        <w:numPr>
          <w:ilvl w:val="0"/>
          <w:numId w:val="36"/>
        </w:numPr>
      </w:pPr>
      <w:r>
        <w:t>Increased safety and efficiency of shipping and enhanced environmental protection.</w:t>
      </w:r>
    </w:p>
    <w:p w14:paraId="42C267EF" w14:textId="51FAB1AA" w:rsidR="0046464D" w:rsidRPr="00F55AD7" w:rsidRDefault="00233D1A" w:rsidP="0046464D">
      <w:pPr>
        <w:pStyle w:val="Heading1"/>
      </w:pPr>
      <w:bookmarkStart w:id="5" w:name="_Toc21563242"/>
      <w:r>
        <w:rPr>
          <w:caps w:val="0"/>
        </w:rPr>
        <w:t xml:space="preserve">REQUIREMENTS OF PLATFORMS </w:t>
      </w:r>
      <w:r w:rsidR="000676C6">
        <w:rPr>
          <w:caps w:val="0"/>
        </w:rPr>
        <w:t xml:space="preserve">FOR </w:t>
      </w:r>
      <w:r w:rsidR="006C2E61">
        <w:rPr>
          <w:caps w:val="0"/>
        </w:rPr>
        <w:t>MARITIME SERVICES</w:t>
      </w:r>
      <w:r w:rsidR="000676C6">
        <w:rPr>
          <w:caps w:val="0"/>
        </w:rPr>
        <w:t xml:space="preserve"> IN THE CONTEXT OF E-NAVIGATION</w:t>
      </w:r>
      <w:bookmarkEnd w:id="5"/>
    </w:p>
    <w:p w14:paraId="168F8E95" w14:textId="77777777" w:rsidR="0046464D" w:rsidRPr="00F55AD7" w:rsidRDefault="0046464D" w:rsidP="0046464D">
      <w:pPr>
        <w:pStyle w:val="Heading1separatationline"/>
      </w:pPr>
    </w:p>
    <w:p w14:paraId="2E91AD2C" w14:textId="5648D618" w:rsidR="00226BFA" w:rsidRDefault="000C32FA" w:rsidP="00054C7D">
      <w:pPr>
        <w:pStyle w:val="BodyText"/>
      </w:pPr>
      <w:r>
        <w:t xml:space="preserve">Platforms for maritime services, must, as a minimum have the following </w:t>
      </w:r>
      <w:r w:rsidR="003C35A7">
        <w:t>features</w:t>
      </w:r>
      <w:r>
        <w:t>:</w:t>
      </w:r>
      <w:r w:rsidR="00226BFA">
        <w:t xml:space="preserve"> </w:t>
      </w:r>
    </w:p>
    <w:p w14:paraId="10E27CAB" w14:textId="2D3F745C" w:rsidR="000C32FA" w:rsidRDefault="008D446B" w:rsidP="000C32FA">
      <w:pPr>
        <w:pStyle w:val="BodyText"/>
        <w:numPr>
          <w:ilvl w:val="0"/>
          <w:numId w:val="32"/>
        </w:numPr>
      </w:pPr>
      <w:r>
        <w:t>A</w:t>
      </w:r>
      <w:r w:rsidR="00426289">
        <w:t>uthenticity</w:t>
      </w:r>
    </w:p>
    <w:p w14:paraId="2C32CA48" w14:textId="4F23B13A" w:rsidR="000C32FA" w:rsidRDefault="008D446B" w:rsidP="000C32FA">
      <w:pPr>
        <w:pStyle w:val="BodyText"/>
        <w:numPr>
          <w:ilvl w:val="0"/>
          <w:numId w:val="32"/>
        </w:numPr>
      </w:pPr>
      <w:r>
        <w:t>T</w:t>
      </w:r>
      <w:r w:rsidR="000C32FA">
        <w:t>rust between all</w:t>
      </w:r>
      <w:r>
        <w:t xml:space="preserve"> entities</w:t>
      </w:r>
      <w:r w:rsidR="000C32FA">
        <w:t xml:space="preserve"> </w:t>
      </w:r>
    </w:p>
    <w:p w14:paraId="7B7BB5C3" w14:textId="31036E6A" w:rsidR="000C32FA" w:rsidRDefault="008D446B" w:rsidP="000C32FA">
      <w:pPr>
        <w:pStyle w:val="BodyText"/>
        <w:numPr>
          <w:ilvl w:val="0"/>
          <w:numId w:val="32"/>
        </w:numPr>
      </w:pPr>
      <w:r>
        <w:t>C</w:t>
      </w:r>
      <w:r w:rsidR="000C32FA">
        <w:t>onfidentiality, integrity and a</w:t>
      </w:r>
      <w:r w:rsidR="00426289">
        <w:t>vailability</w:t>
      </w:r>
      <w:r w:rsidR="000C32FA">
        <w:t xml:space="preserve"> </w:t>
      </w:r>
    </w:p>
    <w:p w14:paraId="08FE0C45" w14:textId="3339E31D" w:rsidR="000C32FA" w:rsidRDefault="008D446B" w:rsidP="001277DA">
      <w:pPr>
        <w:pStyle w:val="BodyText"/>
        <w:numPr>
          <w:ilvl w:val="0"/>
          <w:numId w:val="32"/>
        </w:numPr>
      </w:pPr>
      <w:r>
        <w:t>I</w:t>
      </w:r>
      <w:r w:rsidR="000C32FA">
        <w:t>nteroperab</w:t>
      </w:r>
      <w:r>
        <w:t>ility</w:t>
      </w:r>
    </w:p>
    <w:p w14:paraId="4ECAAB8C" w14:textId="6A78DC22" w:rsidR="003C35A7" w:rsidRDefault="003C35A7" w:rsidP="001277DA">
      <w:pPr>
        <w:pStyle w:val="BodyText"/>
        <w:numPr>
          <w:ilvl w:val="0"/>
          <w:numId w:val="32"/>
        </w:numPr>
      </w:pPr>
      <w:r>
        <w:t>Be based on sound governance principles</w:t>
      </w:r>
    </w:p>
    <w:p w14:paraId="6A56F5D1" w14:textId="26CF7BDA" w:rsidR="000C32FA" w:rsidRDefault="000C32FA" w:rsidP="000C32FA">
      <w:pPr>
        <w:pStyle w:val="BodyText"/>
      </w:pPr>
      <w:r>
        <w:t>Additionally, platforms should also</w:t>
      </w:r>
      <w:r w:rsidR="008D446B">
        <w:t xml:space="preserve"> facilitate</w:t>
      </w:r>
      <w:r>
        <w:t xml:space="preserve">: </w:t>
      </w:r>
    </w:p>
    <w:p w14:paraId="59F2ECF3" w14:textId="4B8C85D7" w:rsidR="000C32FA" w:rsidRDefault="008D446B" w:rsidP="000C32FA">
      <w:pPr>
        <w:pStyle w:val="BodyText"/>
        <w:numPr>
          <w:ilvl w:val="0"/>
          <w:numId w:val="44"/>
        </w:numPr>
      </w:pPr>
      <w:r>
        <w:t>S</w:t>
      </w:r>
      <w:r w:rsidR="000C32FA">
        <w:t>ervice discoverability</w:t>
      </w:r>
    </w:p>
    <w:p w14:paraId="07AB898C" w14:textId="3B349DB8" w:rsidR="000C32FA" w:rsidRDefault="008D446B" w:rsidP="000C32FA">
      <w:pPr>
        <w:pStyle w:val="BodyText"/>
        <w:numPr>
          <w:ilvl w:val="0"/>
          <w:numId w:val="44"/>
        </w:numPr>
      </w:pPr>
      <w:r>
        <w:t xml:space="preserve">IP-based </w:t>
      </w:r>
      <w:r w:rsidR="000C32FA">
        <w:t xml:space="preserve">communications </w:t>
      </w:r>
    </w:p>
    <w:p w14:paraId="2AB767ED" w14:textId="40DC0EDE" w:rsidR="000C32FA" w:rsidRDefault="008D446B" w:rsidP="000C32FA">
      <w:pPr>
        <w:pStyle w:val="BodyText"/>
        <w:numPr>
          <w:ilvl w:val="0"/>
          <w:numId w:val="44"/>
        </w:numPr>
      </w:pPr>
      <w:r>
        <w:t>W</w:t>
      </w:r>
      <w:r w:rsidR="000C32FA">
        <w:t>eb</w:t>
      </w:r>
      <w:r>
        <w:t xml:space="preserve"> services</w:t>
      </w:r>
    </w:p>
    <w:p w14:paraId="57103603" w14:textId="1C19094B" w:rsidR="003C35A7" w:rsidRDefault="003C35A7" w:rsidP="000C32FA">
      <w:pPr>
        <w:pStyle w:val="BodyText"/>
        <w:numPr>
          <w:ilvl w:val="0"/>
          <w:numId w:val="44"/>
        </w:numPr>
      </w:pPr>
      <w:r>
        <w:t>Robust, efficient and seamless connectivity</w:t>
      </w:r>
    </w:p>
    <w:p w14:paraId="32C6DC04" w14:textId="6D9592F7" w:rsidR="003C35A7" w:rsidRPr="003C35A7" w:rsidRDefault="003C35A7" w:rsidP="003C35A7">
      <w:pPr>
        <w:pStyle w:val="BodyText"/>
      </w:pPr>
      <w:r w:rsidRPr="003C35A7">
        <w:t>The above elements are explained in more detail below</w:t>
      </w:r>
      <w:r>
        <w:t>.</w:t>
      </w:r>
    </w:p>
    <w:p w14:paraId="5415332A" w14:textId="7C112B7B" w:rsidR="000C32FA" w:rsidRDefault="003C35A7" w:rsidP="000C32FA">
      <w:pPr>
        <w:pStyle w:val="BodyText"/>
      </w:pPr>
      <w:r>
        <w:t xml:space="preserve"> </w:t>
      </w:r>
    </w:p>
    <w:p w14:paraId="3A83032A" w14:textId="22379D75" w:rsidR="00226BFA" w:rsidRDefault="006C2E61" w:rsidP="00226BFA">
      <w:pPr>
        <w:pStyle w:val="Heading2"/>
      </w:pPr>
      <w:bookmarkStart w:id="6" w:name="_Toc21563243"/>
      <w:r>
        <w:rPr>
          <w:caps w:val="0"/>
        </w:rPr>
        <w:t>HARMONISED</w:t>
      </w:r>
      <w:bookmarkEnd w:id="6"/>
      <w:r>
        <w:rPr>
          <w:caps w:val="0"/>
        </w:rPr>
        <w:t xml:space="preserve"> </w:t>
      </w:r>
    </w:p>
    <w:p w14:paraId="2A66196E" w14:textId="2C6CBE53" w:rsidR="00226BFA" w:rsidRDefault="00226BFA" w:rsidP="00226BFA">
      <w:pPr>
        <w:pStyle w:val="Heading2separationline"/>
      </w:pPr>
    </w:p>
    <w:p w14:paraId="5FC63393" w14:textId="346F27B9" w:rsidR="006C2635" w:rsidRDefault="00C16508" w:rsidP="00226BFA">
      <w:pPr>
        <w:pStyle w:val="BodyText"/>
      </w:pPr>
      <w:r>
        <w:t>Broadly</w:t>
      </w:r>
      <w:r w:rsidR="006C2635">
        <w:t xml:space="preserve">, </w:t>
      </w:r>
      <w:r w:rsidR="00D85BC5">
        <w:t xml:space="preserve">harmonised </w:t>
      </w:r>
      <w:r w:rsidR="006C2635">
        <w:t>means minimising redundant or conflicting standards or soluti</w:t>
      </w:r>
      <w:r w:rsidR="00D85BC5">
        <w:t xml:space="preserve">ons.  </w:t>
      </w:r>
      <w:r w:rsidR="003C35A7">
        <w:t xml:space="preserve">It also means that platforms </w:t>
      </w:r>
      <w:r w:rsidR="006C2635">
        <w:t xml:space="preserve">need to operate </w:t>
      </w:r>
      <w:r w:rsidR="00D85BC5">
        <w:t>the</w:t>
      </w:r>
      <w:r w:rsidR="006C2635">
        <w:t xml:space="preserve"> same fundamental principles (i.e. service orien</w:t>
      </w:r>
      <w:r w:rsidR="003C35A7">
        <w:t>ted architecture</w:t>
      </w:r>
      <w:r w:rsidR="006C3D69">
        <w:t xml:space="preserve"> and IP based).</w:t>
      </w:r>
    </w:p>
    <w:p w14:paraId="423C4025" w14:textId="554B783C" w:rsidR="00226BFA" w:rsidRDefault="006C2E61" w:rsidP="00226BFA">
      <w:pPr>
        <w:pStyle w:val="Heading2"/>
      </w:pPr>
      <w:bookmarkStart w:id="7" w:name="_Toc21563244"/>
      <w:r>
        <w:rPr>
          <w:caps w:val="0"/>
        </w:rPr>
        <w:t>INTEROPERABLE</w:t>
      </w:r>
      <w:bookmarkEnd w:id="7"/>
    </w:p>
    <w:p w14:paraId="42F563FA" w14:textId="34D8E0B3" w:rsidR="00226BFA" w:rsidRDefault="00226BFA" w:rsidP="00226BFA">
      <w:pPr>
        <w:pStyle w:val="Heading2separationline"/>
      </w:pPr>
    </w:p>
    <w:p w14:paraId="1AADB140" w14:textId="0CE97A4F" w:rsidR="00D85BC5" w:rsidRDefault="006C3D69" w:rsidP="00D85BC5">
      <w:pPr>
        <w:pStyle w:val="BodyText"/>
      </w:pPr>
      <w:r>
        <w:lastRenderedPageBreak/>
        <w:t>Interoperable means</w:t>
      </w:r>
      <w:r w:rsidR="00D85BC5">
        <w:t>:</w:t>
      </w:r>
    </w:p>
    <w:p w14:paraId="6D6509B5" w14:textId="31D0F06C" w:rsidR="00D85BC5" w:rsidRDefault="00D85BC5" w:rsidP="00D85BC5">
      <w:pPr>
        <w:pStyle w:val="BodyText"/>
        <w:numPr>
          <w:ilvl w:val="0"/>
          <w:numId w:val="38"/>
        </w:numPr>
      </w:pPr>
      <w:r>
        <w:t xml:space="preserve">The </w:t>
      </w:r>
      <w:r w:rsidR="006C2E61">
        <w:t>ability to provide services to and accept se</w:t>
      </w:r>
      <w:r w:rsidR="006C3D69">
        <w:t>rvices from other systems</w:t>
      </w:r>
      <w:r w:rsidR="00C16508">
        <w:rPr>
          <w:rStyle w:val="FootnoteReference"/>
        </w:rPr>
        <w:footnoteReference w:id="1"/>
      </w:r>
      <w:r w:rsidR="006C3D69">
        <w:t>.</w:t>
      </w:r>
    </w:p>
    <w:p w14:paraId="36DA935B" w14:textId="7FF7E357" w:rsidR="00D85BC5" w:rsidRDefault="006C3D69" w:rsidP="00D85BC5">
      <w:pPr>
        <w:pStyle w:val="BodyText"/>
        <w:numPr>
          <w:ilvl w:val="0"/>
          <w:numId w:val="38"/>
        </w:numPr>
      </w:pPr>
      <w:r>
        <w:t xml:space="preserve">Orchestrate </w:t>
      </w:r>
      <w:r w:rsidR="006C2E61">
        <w:t xml:space="preserve">services </w:t>
      </w:r>
      <w:r>
        <w:t xml:space="preserve">to enable them to </w:t>
      </w:r>
      <w:r w:rsidR="006C2E61">
        <w:t xml:space="preserve">operate </w:t>
      </w:r>
      <w:r>
        <w:t>together effectively</w:t>
      </w:r>
      <w:r w:rsidR="006C2E61">
        <w:t xml:space="preserve">. </w:t>
      </w:r>
    </w:p>
    <w:p w14:paraId="07F70351" w14:textId="4246F4FE" w:rsidR="00D85BC5" w:rsidRDefault="006C2635" w:rsidP="00D85BC5">
      <w:pPr>
        <w:pStyle w:val="BodyText"/>
        <w:numPr>
          <w:ilvl w:val="0"/>
          <w:numId w:val="38"/>
        </w:numPr>
      </w:pPr>
      <w:r>
        <w:t>Compatible with</w:t>
      </w:r>
      <w:r w:rsidR="006C2E61">
        <w:t xml:space="preserve"> other </w:t>
      </w:r>
      <w:r w:rsidR="006C3D69">
        <w:t>systems</w:t>
      </w:r>
      <w:r w:rsidR="0029489B">
        <w:t xml:space="preserve"> and services in </w:t>
      </w:r>
      <w:r w:rsidR="006C3D69">
        <w:t>platforms</w:t>
      </w:r>
      <w:r w:rsidR="006C2E61">
        <w:t xml:space="preserve">.  </w:t>
      </w:r>
    </w:p>
    <w:p w14:paraId="25703F05" w14:textId="77777777" w:rsidR="00D85BC5" w:rsidRDefault="006C2E61" w:rsidP="00D85BC5">
      <w:pPr>
        <w:pStyle w:val="BodyText"/>
        <w:numPr>
          <w:ilvl w:val="0"/>
          <w:numId w:val="38"/>
        </w:numPr>
      </w:pPr>
      <w:r>
        <w:t xml:space="preserve">Ability for seamless information exchange across different systems.  </w:t>
      </w:r>
    </w:p>
    <w:p w14:paraId="7F310884" w14:textId="08E3C7AF" w:rsidR="00226BFA" w:rsidRPr="00226BFA" w:rsidRDefault="006C2E61" w:rsidP="00D85BC5">
      <w:pPr>
        <w:pStyle w:val="BodyText"/>
        <w:numPr>
          <w:ilvl w:val="0"/>
          <w:numId w:val="38"/>
        </w:numPr>
      </w:pPr>
      <w:r>
        <w:t xml:space="preserve">Vendor agnostic.  </w:t>
      </w:r>
    </w:p>
    <w:p w14:paraId="7C601F62" w14:textId="18D8A14C" w:rsidR="00226BFA" w:rsidRDefault="00226BFA" w:rsidP="00226BFA">
      <w:pPr>
        <w:pStyle w:val="Heading2"/>
        <w:numPr>
          <w:ilvl w:val="0"/>
          <w:numId w:val="0"/>
        </w:numPr>
        <w:ind w:left="851"/>
      </w:pPr>
    </w:p>
    <w:p w14:paraId="7053D07B" w14:textId="16559796" w:rsidR="00226BFA" w:rsidRDefault="006C2E61" w:rsidP="00226BFA">
      <w:pPr>
        <w:pStyle w:val="Heading2"/>
      </w:pPr>
      <w:bookmarkStart w:id="8" w:name="_Toc21563245"/>
      <w:r>
        <w:rPr>
          <w:caps w:val="0"/>
        </w:rPr>
        <w:t>EFFICIEN</w:t>
      </w:r>
      <w:r w:rsidR="00F65CB6">
        <w:rPr>
          <w:caps w:val="0"/>
        </w:rPr>
        <w:t>CY</w:t>
      </w:r>
      <w:r w:rsidR="0029489B">
        <w:rPr>
          <w:caps w:val="0"/>
        </w:rPr>
        <w:t>, ROBUSTNESS AND RESILIENCE</w:t>
      </w:r>
      <w:bookmarkEnd w:id="8"/>
      <w:r>
        <w:rPr>
          <w:caps w:val="0"/>
        </w:rPr>
        <w:t xml:space="preserve"> </w:t>
      </w:r>
    </w:p>
    <w:p w14:paraId="79FFDDA6" w14:textId="4074A6A1" w:rsidR="00226BFA" w:rsidRDefault="00226BFA" w:rsidP="00226BFA">
      <w:pPr>
        <w:pStyle w:val="Heading2separationline"/>
      </w:pPr>
    </w:p>
    <w:p w14:paraId="2501C63B" w14:textId="6C849C58" w:rsidR="00F65CB6" w:rsidRDefault="00F65CB6" w:rsidP="00226BFA">
      <w:pPr>
        <w:pStyle w:val="BodyText"/>
      </w:pPr>
      <w:r>
        <w:t>Efficiency</w:t>
      </w:r>
      <w:r w:rsidR="000E16D3">
        <w:rPr>
          <w:rStyle w:val="FootnoteReference"/>
        </w:rPr>
        <w:footnoteReference w:id="2"/>
      </w:r>
      <w:r>
        <w:t xml:space="preserve"> </w:t>
      </w:r>
      <w:r w:rsidR="000E16D3">
        <w:t>represents the performance relative to the amount of resources used under stated conditions.</w:t>
      </w:r>
    </w:p>
    <w:p w14:paraId="2943A655" w14:textId="459BA51F" w:rsidR="006C2635" w:rsidRDefault="006C2635" w:rsidP="00226BFA">
      <w:pPr>
        <w:pStyle w:val="BodyText"/>
      </w:pPr>
      <w:r>
        <w:t>Robustness</w:t>
      </w:r>
      <w:r w:rsidR="001943AF">
        <w:rPr>
          <w:rStyle w:val="FootnoteReference"/>
        </w:rPr>
        <w:footnoteReference w:id="3"/>
      </w:r>
      <w:r>
        <w:t xml:space="preserve"> means the ability to cope with errors and function </w:t>
      </w:r>
      <w:r w:rsidR="00D85BC5">
        <w:t xml:space="preserve">in </w:t>
      </w:r>
      <w:r>
        <w:t>less than optimum conditions</w:t>
      </w:r>
      <w:r w:rsidR="00D85BC5">
        <w:t>.  It also means t</w:t>
      </w:r>
      <w:r w:rsidR="0029489B">
        <w:t xml:space="preserve">he ability to </w:t>
      </w:r>
      <w:r>
        <w:t xml:space="preserve">reliably deliver information </w:t>
      </w:r>
      <w:r w:rsidR="0029489B">
        <w:t>via</w:t>
      </w:r>
      <w:r>
        <w:t xml:space="preserve"> unreliable physical communication </w:t>
      </w:r>
      <w:r w:rsidR="0029489B">
        <w:t>channels</w:t>
      </w:r>
      <w:r>
        <w:t>.</w:t>
      </w:r>
    </w:p>
    <w:p w14:paraId="1B8E9753" w14:textId="36B9B22E" w:rsidR="00D85BC5" w:rsidRDefault="00D85BC5" w:rsidP="00226BFA">
      <w:pPr>
        <w:pStyle w:val="BodyText"/>
      </w:pPr>
      <w:r>
        <w:t>Resilience</w:t>
      </w:r>
      <w:r w:rsidR="001943AF">
        <w:rPr>
          <w:rStyle w:val="FootnoteReference"/>
        </w:rPr>
        <w:footnoteReference w:id="4"/>
      </w:r>
      <w:r>
        <w:t xml:space="preserve"> is the ability to provide and maintain an acceptable level of service in the f</w:t>
      </w:r>
      <w:r w:rsidR="0029489B">
        <w:t xml:space="preserve">ace of faults and challenges to </w:t>
      </w:r>
      <w:r>
        <w:t xml:space="preserve">normal operations.   </w:t>
      </w:r>
    </w:p>
    <w:p w14:paraId="0E1EC958" w14:textId="4E842822" w:rsidR="006C2635" w:rsidRDefault="006C2635" w:rsidP="00226BFA">
      <w:pPr>
        <w:pStyle w:val="BodyText"/>
      </w:pPr>
      <w:r>
        <w:t xml:space="preserve"> </w:t>
      </w:r>
    </w:p>
    <w:p w14:paraId="5F47177F" w14:textId="111A8278" w:rsidR="00226BFA" w:rsidRDefault="006C2E61" w:rsidP="00226BFA">
      <w:pPr>
        <w:pStyle w:val="Heading2"/>
      </w:pPr>
      <w:bookmarkStart w:id="9" w:name="_Toc21563246"/>
      <w:r w:rsidRPr="00226BFA">
        <w:rPr>
          <w:caps w:val="0"/>
        </w:rPr>
        <w:t>CYBERSECURITY</w:t>
      </w:r>
      <w:bookmarkEnd w:id="9"/>
      <w:r w:rsidRPr="00226BFA">
        <w:rPr>
          <w:caps w:val="0"/>
        </w:rPr>
        <w:t xml:space="preserve"> </w:t>
      </w:r>
    </w:p>
    <w:p w14:paraId="4E2FD1EE" w14:textId="3038EB95" w:rsidR="006C2635" w:rsidRDefault="006C2635" w:rsidP="006C2635">
      <w:pPr>
        <w:pStyle w:val="Heading2separationline"/>
      </w:pPr>
    </w:p>
    <w:p w14:paraId="58E8D417" w14:textId="6D26EE2A" w:rsidR="00426289" w:rsidRDefault="00C16508" w:rsidP="00426289">
      <w:pPr>
        <w:pStyle w:val="BodyText"/>
      </w:pPr>
      <w:r>
        <w:t>Cybersecurity is the practice of protecting systems, networks and programs from digital attacks.</w:t>
      </w:r>
      <w:r>
        <w:rPr>
          <w:rStyle w:val="FootnoteReference"/>
        </w:rPr>
        <w:footnoteReference w:id="5"/>
      </w:r>
      <w:r>
        <w:t xml:space="preserve">  The main attributes of cybersecurity are </w:t>
      </w:r>
      <w:r w:rsidR="00426289">
        <w:t>c</w:t>
      </w:r>
      <w:r w:rsidR="00426289" w:rsidRPr="00426289">
        <w:t>onfidential</w:t>
      </w:r>
      <w:r w:rsidR="00426289">
        <w:t>ity, integrity and availability.</w:t>
      </w:r>
    </w:p>
    <w:p w14:paraId="5CABA208" w14:textId="62EFD364" w:rsidR="00A41B4C" w:rsidRDefault="00426289" w:rsidP="00426289">
      <w:pPr>
        <w:pStyle w:val="BodyText"/>
      </w:pPr>
      <w:r>
        <w:t>Platforms need to have mechanisms for the i</w:t>
      </w:r>
      <w:r w:rsidR="00A41B4C">
        <w:t>dentification</w:t>
      </w:r>
      <w:r>
        <w:t xml:space="preserve"> </w:t>
      </w:r>
      <w:r w:rsidR="00A41B4C">
        <w:t xml:space="preserve">and authentication </w:t>
      </w:r>
      <w:r>
        <w:t xml:space="preserve">of </w:t>
      </w:r>
      <w:r w:rsidR="00A41B4C">
        <w:t>users, devices, objects</w:t>
      </w:r>
      <w:r>
        <w:t xml:space="preserve"> and services.  </w:t>
      </w:r>
    </w:p>
    <w:p w14:paraId="58D9B666" w14:textId="02702E12" w:rsidR="006306D9" w:rsidRPr="006306D9" w:rsidRDefault="00426289" w:rsidP="006306D9">
      <w:pPr>
        <w:pStyle w:val="BodyText"/>
        <w:rPr>
          <w:highlight w:val="yellow"/>
        </w:rPr>
      </w:pPr>
      <w:r w:rsidRPr="006306D9">
        <w:rPr>
          <w:highlight w:val="yellow"/>
        </w:rPr>
        <w:t xml:space="preserve">Confidentiality means </w:t>
      </w:r>
      <w:r w:rsidR="006306D9" w:rsidRPr="006306D9">
        <w:rPr>
          <w:highlight w:val="yellow"/>
        </w:rPr>
        <w:t xml:space="preserve">(something here about identity management and encryption) </w:t>
      </w:r>
    </w:p>
    <w:p w14:paraId="7A763662" w14:textId="13FBE381" w:rsidR="00426289" w:rsidRPr="006306D9" w:rsidRDefault="00426289" w:rsidP="00426289">
      <w:pPr>
        <w:pStyle w:val="BodyText"/>
        <w:rPr>
          <w:highlight w:val="yellow"/>
        </w:rPr>
      </w:pPr>
      <w:r w:rsidRPr="006306D9">
        <w:rPr>
          <w:highlight w:val="yellow"/>
        </w:rPr>
        <w:t>Integrity means</w:t>
      </w:r>
    </w:p>
    <w:p w14:paraId="42794E18" w14:textId="4FC27940" w:rsidR="00426289" w:rsidRPr="006306D9" w:rsidRDefault="00426289" w:rsidP="00426289">
      <w:pPr>
        <w:pStyle w:val="BodyText"/>
        <w:rPr>
          <w:highlight w:val="yellow"/>
        </w:rPr>
      </w:pPr>
      <w:r w:rsidRPr="006306D9">
        <w:rPr>
          <w:highlight w:val="yellow"/>
        </w:rPr>
        <w:t xml:space="preserve">Availability means </w:t>
      </w:r>
    </w:p>
    <w:p w14:paraId="35E98628" w14:textId="01A066AE" w:rsidR="006C2635" w:rsidRPr="006306D9" w:rsidRDefault="006C2635" w:rsidP="006306D9">
      <w:pPr>
        <w:pStyle w:val="BodyText"/>
        <w:rPr>
          <w:highlight w:val="yellow"/>
        </w:rPr>
      </w:pPr>
      <w:r w:rsidRPr="006306D9">
        <w:rPr>
          <w:highlight w:val="yellow"/>
        </w:rPr>
        <w:t>Traceability</w:t>
      </w:r>
      <w:r w:rsidR="006306D9">
        <w:rPr>
          <w:highlight w:val="yellow"/>
        </w:rPr>
        <w:t xml:space="preserve"> means</w:t>
      </w:r>
    </w:p>
    <w:p w14:paraId="33ED796A" w14:textId="1582C4BC" w:rsidR="006C2E61" w:rsidRDefault="006306D9" w:rsidP="006306D9">
      <w:pPr>
        <w:pStyle w:val="BodyText"/>
      </w:pPr>
      <w:r>
        <w:rPr>
          <w:highlight w:val="yellow"/>
        </w:rPr>
        <w:t>Guidance / s</w:t>
      </w:r>
      <w:r w:rsidR="006C2E61" w:rsidRPr="006306D9">
        <w:rPr>
          <w:highlight w:val="yellow"/>
        </w:rPr>
        <w:t>tandards (references to be provided)</w:t>
      </w:r>
      <w:r w:rsidR="006C2E61">
        <w:t xml:space="preserve"> </w:t>
      </w:r>
    </w:p>
    <w:p w14:paraId="54C2236F" w14:textId="77777777" w:rsidR="005109C8" w:rsidRDefault="005109C8" w:rsidP="006306D9">
      <w:pPr>
        <w:pStyle w:val="BodyText"/>
      </w:pPr>
    </w:p>
    <w:p w14:paraId="31842891" w14:textId="6C451FCF" w:rsidR="0046464D" w:rsidRPr="00F55AD7" w:rsidRDefault="0091762B" w:rsidP="0046464D">
      <w:pPr>
        <w:pStyle w:val="Heading2"/>
      </w:pPr>
      <w:bookmarkStart w:id="10" w:name="_Toc21563247"/>
      <w:r>
        <w:t>GOVERNANCE</w:t>
      </w:r>
      <w:bookmarkEnd w:id="10"/>
    </w:p>
    <w:p w14:paraId="1D8D8EA6" w14:textId="77777777" w:rsidR="0046464D" w:rsidRPr="00F55AD7" w:rsidRDefault="0046464D" w:rsidP="0046464D">
      <w:pPr>
        <w:pStyle w:val="Heading2separationline"/>
      </w:pPr>
    </w:p>
    <w:p w14:paraId="254181BB" w14:textId="24E393CC" w:rsidR="0091762B" w:rsidRDefault="005109C8" w:rsidP="00586C48">
      <w:pPr>
        <w:pStyle w:val="BodyText"/>
      </w:pPr>
      <w:r>
        <w:t xml:space="preserve">Sound </w:t>
      </w:r>
      <w:r w:rsidR="0091762B">
        <w:t xml:space="preserve">governance means </w:t>
      </w:r>
      <w:r>
        <w:t>adherence to t</w:t>
      </w:r>
      <w:r w:rsidR="0091762B">
        <w:t>he following principles:</w:t>
      </w:r>
    </w:p>
    <w:p w14:paraId="18C073BA" w14:textId="380B915C" w:rsidR="0091762B" w:rsidRDefault="0091762B" w:rsidP="00A41B4C">
      <w:pPr>
        <w:pStyle w:val="BodyText"/>
        <w:numPr>
          <w:ilvl w:val="0"/>
          <w:numId w:val="42"/>
        </w:numPr>
      </w:pPr>
      <w:r>
        <w:t>Vendor agnostic</w:t>
      </w:r>
    </w:p>
    <w:p w14:paraId="6F77B3B4" w14:textId="4E8AF3DD" w:rsidR="0091762B" w:rsidRDefault="0091762B" w:rsidP="00A41B4C">
      <w:pPr>
        <w:pStyle w:val="BodyText"/>
        <w:numPr>
          <w:ilvl w:val="0"/>
          <w:numId w:val="42"/>
        </w:numPr>
      </w:pPr>
      <w:r>
        <w:t>Non political</w:t>
      </w:r>
    </w:p>
    <w:p w14:paraId="43BA4B43" w14:textId="66641D5A" w:rsidR="0091762B" w:rsidRDefault="0091762B" w:rsidP="00A41B4C">
      <w:pPr>
        <w:pStyle w:val="BodyText"/>
        <w:numPr>
          <w:ilvl w:val="0"/>
          <w:numId w:val="42"/>
        </w:numPr>
      </w:pPr>
      <w:r>
        <w:t>No</w:t>
      </w:r>
      <w:r w:rsidR="005109C8">
        <w:t>t-for-profit</w:t>
      </w:r>
    </w:p>
    <w:p w14:paraId="2A2DFFDC" w14:textId="58B9372A" w:rsidR="00426289" w:rsidRDefault="00426289" w:rsidP="00426289">
      <w:pPr>
        <w:pStyle w:val="BodyText"/>
        <w:numPr>
          <w:ilvl w:val="0"/>
          <w:numId w:val="42"/>
        </w:numPr>
      </w:pPr>
      <w:r>
        <w:t>Open and transparent decision-making</w:t>
      </w:r>
    </w:p>
    <w:p w14:paraId="627D131D" w14:textId="08F30969" w:rsidR="0091762B" w:rsidRDefault="005109C8" w:rsidP="005109C8">
      <w:pPr>
        <w:pStyle w:val="BodyText"/>
      </w:pPr>
      <w:r>
        <w:t xml:space="preserve">A core responsibility of the governing body is to ensure a </w:t>
      </w:r>
      <w:r w:rsidR="00426289" w:rsidRPr="00426289">
        <w:t>chain of trust</w:t>
      </w:r>
      <w:r>
        <w:t xml:space="preserve"> among the entities registered on the platform (</w:t>
      </w:r>
      <w:r w:rsidRPr="005109C8">
        <w:rPr>
          <w:highlight w:val="yellow"/>
        </w:rPr>
        <w:t>Rasmus will explain</w:t>
      </w:r>
      <w:r>
        <w:t>).</w:t>
      </w:r>
    </w:p>
    <w:p w14:paraId="11B20EBD" w14:textId="77777777" w:rsidR="00426289" w:rsidRDefault="00426289" w:rsidP="005109C8">
      <w:pPr>
        <w:pStyle w:val="BodyText"/>
      </w:pPr>
    </w:p>
    <w:p w14:paraId="33D7B5B9" w14:textId="5DE9164F" w:rsidR="00A41B4C" w:rsidRDefault="00D518DB" w:rsidP="00A41B4C">
      <w:pPr>
        <w:pStyle w:val="Heading2"/>
      </w:pPr>
      <w:bookmarkStart w:id="11" w:name="_Toc21563248"/>
      <w:r>
        <w:rPr>
          <w:caps w:val="0"/>
        </w:rPr>
        <w:t>MANAGEMENT</w:t>
      </w:r>
      <w:r w:rsidR="00AD47C0">
        <w:rPr>
          <w:caps w:val="0"/>
        </w:rPr>
        <w:t xml:space="preserve"> OF SERVICE SPECIFICATION</w:t>
      </w:r>
      <w:bookmarkEnd w:id="11"/>
    </w:p>
    <w:p w14:paraId="6D858DC5" w14:textId="549D2FC5" w:rsidR="00A41B4C" w:rsidRDefault="00AD47C0" w:rsidP="005109C8">
      <w:pPr>
        <w:pStyle w:val="BodyText"/>
      </w:pPr>
      <w:r>
        <w:t>The platforms need to provide a service registry with the following functionality</w:t>
      </w:r>
      <w:r w:rsidR="005109C8">
        <w:t>:</w:t>
      </w:r>
    </w:p>
    <w:p w14:paraId="0EB4F7D8" w14:textId="326B79CD" w:rsidR="0091762B" w:rsidRDefault="00A41B4C" w:rsidP="00A41B4C">
      <w:pPr>
        <w:pStyle w:val="BodyText"/>
        <w:numPr>
          <w:ilvl w:val="0"/>
          <w:numId w:val="41"/>
        </w:numPr>
      </w:pPr>
      <w:r>
        <w:t>Register and retrieve specification of services</w:t>
      </w:r>
      <w:r w:rsidR="00AD47C0">
        <w:t xml:space="preserve"> (</w:t>
      </w:r>
      <w:r>
        <w:t xml:space="preserve">described in accordance with </w:t>
      </w:r>
      <w:r w:rsidR="00AD47C0">
        <w:t xml:space="preserve">IALA Guideline </w:t>
      </w:r>
      <w:r>
        <w:t>G1128</w:t>
      </w:r>
      <w:r w:rsidR="00AD47C0">
        <w:t>)</w:t>
      </w:r>
      <w:r>
        <w:t>.</w:t>
      </w:r>
    </w:p>
    <w:p w14:paraId="4386231A" w14:textId="1D799099" w:rsidR="00AD47C0" w:rsidRDefault="00AD47C0" w:rsidP="00A41B4C">
      <w:pPr>
        <w:pStyle w:val="BodyText"/>
        <w:numPr>
          <w:ilvl w:val="0"/>
          <w:numId w:val="41"/>
        </w:numPr>
      </w:pPr>
      <w:r>
        <w:t>Ability to register artefacts described in G1128 (service specification, service design and service instance).</w:t>
      </w:r>
    </w:p>
    <w:p w14:paraId="68556CC6" w14:textId="19373435" w:rsidR="00A41B4C" w:rsidRDefault="00AD47C0" w:rsidP="00A41B4C">
      <w:pPr>
        <w:pStyle w:val="BodyText"/>
        <w:numPr>
          <w:ilvl w:val="0"/>
          <w:numId w:val="41"/>
        </w:numPr>
      </w:pPr>
      <w:r>
        <w:t>Ability to s</w:t>
      </w:r>
      <w:r w:rsidR="00D2726D">
        <w:t>earch the service registry</w:t>
      </w:r>
      <w:r>
        <w:t xml:space="preserve"> </w:t>
      </w:r>
      <w:r w:rsidR="00A41B4C">
        <w:t xml:space="preserve">using </w:t>
      </w:r>
      <w:r w:rsidR="00D2726D">
        <w:t>various</w:t>
      </w:r>
      <w:r w:rsidR="00A41B4C">
        <w:t xml:space="preserve"> criteria, such as key words, organisations</w:t>
      </w:r>
      <w:r w:rsidR="00D2726D">
        <w:t xml:space="preserve"> and </w:t>
      </w:r>
      <w:r w:rsidR="00A41B4C">
        <w:t xml:space="preserve">geographical coverage of </w:t>
      </w:r>
      <w:r w:rsidR="00D2726D">
        <w:t xml:space="preserve">service </w:t>
      </w:r>
      <w:r w:rsidR="00A41B4C">
        <w:t>instances</w:t>
      </w:r>
      <w:r w:rsidR="00D2726D">
        <w:t>.</w:t>
      </w:r>
      <w:r w:rsidR="00A41B4C">
        <w:t xml:space="preserve"> </w:t>
      </w:r>
    </w:p>
    <w:p w14:paraId="482F3B17" w14:textId="27FD2148" w:rsidR="00A41B4C" w:rsidRPr="00D518DB" w:rsidRDefault="00A41B4C" w:rsidP="00A41B4C">
      <w:pPr>
        <w:pStyle w:val="BodyText"/>
        <w:rPr>
          <w:i/>
        </w:rPr>
      </w:pPr>
      <w:r w:rsidRPr="00D518DB">
        <w:rPr>
          <w:i/>
          <w:highlight w:val="yellow"/>
        </w:rPr>
        <w:t>Need to explain in more words to explain why we have the functional requirements – e.g. a ship moving around, which provider to get info from</w:t>
      </w:r>
      <w:r w:rsidR="00D2726D">
        <w:rPr>
          <w:i/>
        </w:rPr>
        <w:t>.</w:t>
      </w:r>
      <w:r w:rsidRPr="00D518DB">
        <w:rPr>
          <w:i/>
        </w:rPr>
        <w:t xml:space="preserve"> </w:t>
      </w:r>
    </w:p>
    <w:p w14:paraId="4FFEFB89" w14:textId="3C61A10E" w:rsidR="00A41B4C" w:rsidRDefault="00D518DB" w:rsidP="00A41B4C">
      <w:pPr>
        <w:pStyle w:val="Heading2"/>
      </w:pPr>
      <w:bookmarkStart w:id="12" w:name="_Toc21563249"/>
      <w:r>
        <w:rPr>
          <w:caps w:val="0"/>
        </w:rPr>
        <w:t>APPLICATION PROGRAMMING INTERFACE</w:t>
      </w:r>
      <w:bookmarkEnd w:id="12"/>
    </w:p>
    <w:p w14:paraId="2AFCDC03" w14:textId="77777777" w:rsidR="009F1F5D" w:rsidRDefault="00D518DB" w:rsidP="00A32EA4">
      <w:pPr>
        <w:pStyle w:val="BodyText"/>
      </w:pPr>
      <w:r>
        <w:t xml:space="preserve">An Application Programming Interface or API </w:t>
      </w:r>
      <w:r w:rsidR="00D2726D">
        <w:t xml:space="preserve">specifies how software components should interact.  </w:t>
      </w:r>
      <w:r w:rsidR="00A32EA4">
        <w:t xml:space="preserve">An API is the messenger that delivers your request to the provider from whom you are requesting a service. </w:t>
      </w:r>
      <w:r w:rsidR="00D2726D">
        <w:t>I</w:t>
      </w:r>
      <w:r w:rsidR="00A32EA4">
        <w:t xml:space="preserve">t can also be thought of as a </w:t>
      </w:r>
      <w:r w:rsidR="00D2726D">
        <w:t>user interface for machines (rather than humans).</w:t>
      </w:r>
      <w:r w:rsidR="00A32EA4">
        <w:t xml:space="preserve">  </w:t>
      </w:r>
    </w:p>
    <w:p w14:paraId="5A709AF8" w14:textId="0CFB97D7" w:rsidR="00A32EA4" w:rsidRDefault="00D2726D" w:rsidP="00A32EA4">
      <w:pPr>
        <w:pStyle w:val="BodyText"/>
      </w:pPr>
      <w:r>
        <w:t>It is important that the APIs of platforms are standardised.</w:t>
      </w:r>
    </w:p>
    <w:p w14:paraId="75C1B051" w14:textId="6E285C5D" w:rsidR="00A32EA4" w:rsidRDefault="00A32EA4" w:rsidP="00A32EA4">
      <w:pPr>
        <w:pStyle w:val="BodyText"/>
      </w:pPr>
      <w:r>
        <w:t>APIs are used interchangeably with web services</w:t>
      </w:r>
      <w:r>
        <w:rPr>
          <w:rStyle w:val="FootnoteReference"/>
        </w:rPr>
        <w:footnoteReference w:id="6"/>
      </w:r>
      <w:r>
        <w:t>. The difference is that a web service facilitates interaction between two machines over a network.  An API acts as an interface between two different applications so that they can communicate with each other.</w:t>
      </w:r>
    </w:p>
    <w:p w14:paraId="6C3330EE" w14:textId="792D9459" w:rsidR="00495DDA" w:rsidRPr="00C6083D" w:rsidRDefault="006C2E61" w:rsidP="00693B1F">
      <w:pPr>
        <w:pStyle w:val="Heading1"/>
        <w:rPr>
          <w:highlight w:val="yellow"/>
        </w:rPr>
      </w:pPr>
      <w:bookmarkStart w:id="13" w:name="_Toc21563250"/>
      <w:r>
        <w:rPr>
          <w:caps w:val="0"/>
        </w:rPr>
        <w:t xml:space="preserve">MARITIME CONNECTIVITY PLATFORM (MCP) – A </w:t>
      </w:r>
      <w:r w:rsidRPr="00C6083D">
        <w:rPr>
          <w:caps w:val="0"/>
          <w:highlight w:val="yellow"/>
        </w:rPr>
        <w:t>CANDIDATE</w:t>
      </w:r>
      <w:r w:rsidR="00C6083D" w:rsidRPr="00C6083D">
        <w:rPr>
          <w:caps w:val="0"/>
          <w:highlight w:val="yellow"/>
        </w:rPr>
        <w:t xml:space="preserve"> (MCP CONSORTIUM will provide text </w:t>
      </w:r>
      <w:r w:rsidR="00F65CB6">
        <w:rPr>
          <w:caps w:val="0"/>
          <w:highlight w:val="yellow"/>
        </w:rPr>
        <w:t xml:space="preserve">before </w:t>
      </w:r>
      <w:r w:rsidR="00C6083D" w:rsidRPr="00C6083D">
        <w:rPr>
          <w:caps w:val="0"/>
          <w:highlight w:val="yellow"/>
        </w:rPr>
        <w:t>ENAV 25)</w:t>
      </w:r>
      <w:bookmarkEnd w:id="13"/>
    </w:p>
    <w:p w14:paraId="1D938931" w14:textId="77777777" w:rsidR="00693B1F" w:rsidRPr="00F55AD7" w:rsidRDefault="00693B1F" w:rsidP="00693B1F">
      <w:pPr>
        <w:pStyle w:val="Heading1separatationline"/>
      </w:pPr>
    </w:p>
    <w:p w14:paraId="6E7C4BF0" w14:textId="5E57E8E8" w:rsidR="00854BCE" w:rsidRDefault="00854BCE" w:rsidP="00D603BF">
      <w:pPr>
        <w:pStyle w:val="BodyText"/>
      </w:pPr>
    </w:p>
    <w:p w14:paraId="077524F9" w14:textId="1AAEAE3A" w:rsidR="00226BFA" w:rsidRDefault="006C2E61" w:rsidP="00226BFA">
      <w:pPr>
        <w:pStyle w:val="Heading2"/>
      </w:pPr>
      <w:bookmarkStart w:id="14" w:name="_Toc21563251"/>
      <w:r>
        <w:rPr>
          <w:caps w:val="0"/>
        </w:rPr>
        <w:t>WHAT IS THE MCP</w:t>
      </w:r>
      <w:bookmarkEnd w:id="14"/>
    </w:p>
    <w:p w14:paraId="34180BB8" w14:textId="654971E3" w:rsidR="00226BFA" w:rsidRDefault="00226BFA" w:rsidP="00226BFA">
      <w:pPr>
        <w:pStyle w:val="BodyText"/>
      </w:pPr>
      <w:r>
        <w:t xml:space="preserve">The Maritime Connectivity Platform </w:t>
      </w:r>
      <w:r w:rsidR="006C2E61">
        <w:t xml:space="preserve">(MCP) </w:t>
      </w:r>
      <w:r>
        <w:t>is a communication framework enabling efficient, secure, reliable and seamless electronic information exchange between all authorized maritime stakeholders across available communication systems.</w:t>
      </w:r>
    </w:p>
    <w:p w14:paraId="19867294" w14:textId="17F876EA" w:rsidR="00226BFA" w:rsidRDefault="00226BFA" w:rsidP="00226BFA">
      <w:pPr>
        <w:pStyle w:val="BodyText"/>
      </w:pPr>
      <w:r>
        <w:t xml:space="preserve">The </w:t>
      </w:r>
      <w:r w:rsidR="0091762B">
        <w:t xml:space="preserve">MCP </w:t>
      </w:r>
      <w:r>
        <w:t xml:space="preserve">is an open source, vendor neutral technology in the digital maritime domain. It brings common internet standards to maritime navigation and transportation systems. </w:t>
      </w:r>
      <w:r w:rsidR="0091762B">
        <w:t xml:space="preserve">It </w:t>
      </w:r>
      <w:r>
        <w:t>comprises the following components:</w:t>
      </w:r>
    </w:p>
    <w:p w14:paraId="60E59703" w14:textId="559C96FF" w:rsidR="000676C6" w:rsidRDefault="000676C6" w:rsidP="00226BFA">
      <w:pPr>
        <w:pStyle w:val="Heading3"/>
      </w:pPr>
      <w:bookmarkStart w:id="15" w:name="_Toc21563252"/>
      <w:r>
        <w:t>web service based communications</w:t>
      </w:r>
      <w:bookmarkEnd w:id="15"/>
      <w:r>
        <w:t xml:space="preserve"> </w:t>
      </w:r>
    </w:p>
    <w:p w14:paraId="3157BD84" w14:textId="7F461893" w:rsidR="000676C6" w:rsidRDefault="000676C6" w:rsidP="000676C6">
      <w:pPr>
        <w:pStyle w:val="BodyText"/>
      </w:pPr>
      <w:r>
        <w:t xml:space="preserve"> Text</w:t>
      </w:r>
    </w:p>
    <w:p w14:paraId="203069FE" w14:textId="77777777" w:rsidR="000676C6" w:rsidRPr="000676C6" w:rsidRDefault="000676C6" w:rsidP="000676C6">
      <w:pPr>
        <w:pStyle w:val="BodyText"/>
      </w:pPr>
    </w:p>
    <w:p w14:paraId="55E65E59" w14:textId="5274AB89" w:rsidR="00226BFA" w:rsidRDefault="006C2E61" w:rsidP="00226BFA">
      <w:pPr>
        <w:pStyle w:val="Heading3"/>
      </w:pPr>
      <w:bookmarkStart w:id="16" w:name="_Toc21563253"/>
      <w:r>
        <w:t>The Maritime Identity Registry</w:t>
      </w:r>
      <w:bookmarkEnd w:id="16"/>
    </w:p>
    <w:p w14:paraId="01BE5A39" w14:textId="77777777" w:rsidR="00226BFA" w:rsidRDefault="00226BFA" w:rsidP="00226BFA">
      <w:pPr>
        <w:pStyle w:val="BodyText"/>
      </w:pPr>
      <w:r>
        <w:t xml:space="preserve">For secure and reliable identity information, it provides a single login to all services, using identity information provided by trusted stakeholders. </w:t>
      </w:r>
    </w:p>
    <w:p w14:paraId="7E97E0AB" w14:textId="6D4F6E82" w:rsidR="00226BFA" w:rsidRDefault="006C2E61" w:rsidP="00226BFA">
      <w:pPr>
        <w:pStyle w:val="Heading3"/>
      </w:pPr>
      <w:bookmarkStart w:id="17" w:name="_Toc21563254"/>
      <w:r>
        <w:t>the maritime service registry</w:t>
      </w:r>
      <w:bookmarkEnd w:id="17"/>
    </w:p>
    <w:p w14:paraId="23930785" w14:textId="77777777" w:rsidR="00226BFA" w:rsidRDefault="00226BFA" w:rsidP="00226BFA">
      <w:pPr>
        <w:pStyle w:val="BodyText"/>
      </w:pPr>
      <w:r>
        <w:t>For registering, discovering and using all relevant e-Navigation and e-Maritime services, commercial and non-commercial, authorised and non-authorised, for free and against payment. It can be seen as a sophisticated yellow pages phone book or the equivalent of an App Store.</w:t>
      </w:r>
    </w:p>
    <w:p w14:paraId="5A944C69" w14:textId="61F80E37" w:rsidR="00226BFA" w:rsidRDefault="006C2E61" w:rsidP="00226BFA">
      <w:pPr>
        <w:pStyle w:val="Heading3"/>
      </w:pPr>
      <w:bookmarkStart w:id="18" w:name="_Toc21563255"/>
      <w:r>
        <w:lastRenderedPageBreak/>
        <w:t>the maritime messaging service</w:t>
      </w:r>
      <w:bookmarkEnd w:id="18"/>
    </w:p>
    <w:p w14:paraId="064442D9" w14:textId="77777777" w:rsidR="00226BFA" w:rsidRDefault="00226BFA" w:rsidP="00226BFA">
      <w:pPr>
        <w:pStyle w:val="BodyText"/>
      </w:pPr>
      <w:r>
        <w:t>Maritime Messaging Service is a messaging component that allows authorized maritime stakeholders to send and receive message in an efficient, reliable and seamless manner within the MCP to solve the problems of the current maritime wireless data communication system.</w:t>
      </w:r>
    </w:p>
    <w:p w14:paraId="4C61E32F" w14:textId="52778E02" w:rsidR="00226BFA" w:rsidRDefault="00226BFA" w:rsidP="00226BFA">
      <w:pPr>
        <w:pStyle w:val="BodyText"/>
      </w:pPr>
      <w:r>
        <w:t>The Maritime Identity Registry facilitates authenticity, integrity and confidentiality, and the Maritime Service Registry together with the Maritime Messaging Service facilitates efficient and robust connectivity. Therefore the MCP is a potential solution that addresses the above stated compelling need.</w:t>
      </w:r>
    </w:p>
    <w:p w14:paraId="6FAB0C60" w14:textId="77777777" w:rsidR="00F65CB6" w:rsidRDefault="00F65CB6" w:rsidP="00F65CB6">
      <w:pPr>
        <w:pStyle w:val="Heading2"/>
        <w:numPr>
          <w:ilvl w:val="0"/>
          <w:numId w:val="0"/>
        </w:numPr>
        <w:ind w:left="851"/>
        <w:rPr>
          <w:caps w:val="0"/>
        </w:rPr>
      </w:pPr>
    </w:p>
    <w:p w14:paraId="1006BDF5" w14:textId="77777777" w:rsidR="00F65CB6" w:rsidRPr="000676C6" w:rsidRDefault="00F65CB6" w:rsidP="00F65CB6">
      <w:pPr>
        <w:pStyle w:val="Heading2"/>
      </w:pPr>
      <w:bookmarkStart w:id="19" w:name="_Toc21563256"/>
      <w:r w:rsidRPr="000676C6">
        <w:t xml:space="preserve">THE MARITIME CONNECTIVITY </w:t>
      </w:r>
      <w:r>
        <w:t xml:space="preserve">PLATFORM </w:t>
      </w:r>
      <w:r w:rsidRPr="000676C6">
        <w:t>CONSORTIUM (MCC)</w:t>
      </w:r>
      <w:bookmarkEnd w:id="19"/>
      <w:r w:rsidRPr="000676C6">
        <w:t xml:space="preserve"> </w:t>
      </w:r>
    </w:p>
    <w:p w14:paraId="6DB215E0" w14:textId="77777777" w:rsidR="00F65CB6" w:rsidRDefault="00F65CB6" w:rsidP="00F65CB6">
      <w:pPr>
        <w:pStyle w:val="BodyText"/>
      </w:pPr>
    </w:p>
    <w:p w14:paraId="63FE2337" w14:textId="77777777" w:rsidR="00F65CB6" w:rsidRDefault="00F65CB6" w:rsidP="00F65CB6">
      <w:pPr>
        <w:pStyle w:val="BodyText"/>
      </w:pPr>
      <w:r>
        <w:t>The MCP is governed by the MCP consortium (MCC).</w:t>
      </w:r>
    </w:p>
    <w:p w14:paraId="2799E41A" w14:textId="77777777" w:rsidR="00F65CB6" w:rsidRDefault="00F65CB6" w:rsidP="00F65CB6">
      <w:pPr>
        <w:pStyle w:val="BodyText"/>
      </w:pPr>
      <w:r>
        <w:t>The MCC governs the standards relating to MCP, including the MCP source code. The MCC operates a testbed for MCP (done by a member on behalf of the consortium), but does not operate an operational instance of the MCP. Rather, the MCC authorises other organisations to run operational instances of the MCP.</w:t>
      </w:r>
    </w:p>
    <w:p w14:paraId="55D07B3B" w14:textId="77777777" w:rsidR="00F65CB6" w:rsidRDefault="00F65CB6" w:rsidP="00F65CB6">
      <w:pPr>
        <w:pStyle w:val="BodyText"/>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166D4E89" w14:textId="77777777" w:rsidR="00226BFA" w:rsidRPr="00F55AD7" w:rsidRDefault="00226BFA" w:rsidP="00D603BF">
      <w:pPr>
        <w:pStyle w:val="BodyText"/>
      </w:pPr>
    </w:p>
    <w:p w14:paraId="39E828E7" w14:textId="6FEF4308" w:rsidR="00E10BDB" w:rsidRPr="00F55AD7" w:rsidRDefault="0091762B" w:rsidP="00F65CB6">
      <w:pPr>
        <w:pStyle w:val="Heading1"/>
      </w:pPr>
      <w:bookmarkStart w:id="20" w:name="_Toc21563257"/>
      <w:r>
        <w:t>SUITABILITY OF MCP</w:t>
      </w:r>
      <w:bookmarkEnd w:id="20"/>
    </w:p>
    <w:p w14:paraId="07A17407" w14:textId="77777777" w:rsidR="00CB59F3" w:rsidRPr="00F55AD7" w:rsidRDefault="00CB59F3" w:rsidP="00CB59F3">
      <w:pPr>
        <w:pStyle w:val="Heading2separationline"/>
      </w:pPr>
    </w:p>
    <w:p w14:paraId="272FB2B2" w14:textId="1E47B321" w:rsidR="006C2E61" w:rsidRDefault="006C2E61" w:rsidP="00E10BDB">
      <w:pPr>
        <w:pStyle w:val="BodyText"/>
      </w:pPr>
      <w:r>
        <w:t>How the MCP meets the requirements of Section 2</w:t>
      </w:r>
    </w:p>
    <w:p w14:paraId="05C1BF1D" w14:textId="64C67194" w:rsidR="006C2E61" w:rsidRDefault="006C2E61" w:rsidP="00E10BDB">
      <w:pPr>
        <w:pStyle w:val="BodyText"/>
      </w:pPr>
      <w:r>
        <w:t xml:space="preserve"> </w:t>
      </w:r>
    </w:p>
    <w:tbl>
      <w:tblPr>
        <w:tblStyle w:val="TableGrid"/>
        <w:tblW w:w="0" w:type="auto"/>
        <w:tblInd w:w="421" w:type="dxa"/>
        <w:tblLook w:val="04A0" w:firstRow="1" w:lastRow="0" w:firstColumn="1" w:lastColumn="0" w:noHBand="0" w:noVBand="1"/>
      </w:tblPr>
      <w:tblGrid>
        <w:gridCol w:w="1842"/>
        <w:gridCol w:w="7088"/>
      </w:tblGrid>
      <w:tr w:rsidR="006C2E61" w:rsidRPr="0091762B" w14:paraId="44F80F9C" w14:textId="77777777" w:rsidTr="0091762B">
        <w:tc>
          <w:tcPr>
            <w:tcW w:w="1842" w:type="dxa"/>
            <w:shd w:val="clear" w:color="auto" w:fill="D9D9D9" w:themeFill="background1" w:themeFillShade="D9"/>
          </w:tcPr>
          <w:p w14:paraId="04AD3CA1" w14:textId="1D3980CE" w:rsidR="006C2E61" w:rsidRPr="0091762B" w:rsidRDefault="006C2E61" w:rsidP="0091762B">
            <w:pPr>
              <w:pStyle w:val="BodyText"/>
              <w:jc w:val="center"/>
              <w:rPr>
                <w:b/>
              </w:rPr>
            </w:pPr>
            <w:r w:rsidRPr="0091762B">
              <w:rPr>
                <w:b/>
              </w:rPr>
              <w:t>Criteria</w:t>
            </w:r>
          </w:p>
        </w:tc>
        <w:tc>
          <w:tcPr>
            <w:tcW w:w="7088" w:type="dxa"/>
            <w:shd w:val="clear" w:color="auto" w:fill="D9D9D9" w:themeFill="background1" w:themeFillShade="D9"/>
          </w:tcPr>
          <w:p w14:paraId="04FBA510" w14:textId="35BF75C6" w:rsidR="006C2E61" w:rsidRPr="0091762B" w:rsidRDefault="006C2E61" w:rsidP="0091762B">
            <w:pPr>
              <w:pStyle w:val="BodyText"/>
              <w:jc w:val="center"/>
              <w:rPr>
                <w:b/>
              </w:rPr>
            </w:pPr>
            <w:r w:rsidRPr="0091762B">
              <w:rPr>
                <w:b/>
              </w:rPr>
              <w:t>Suitability of MCP</w:t>
            </w:r>
          </w:p>
        </w:tc>
      </w:tr>
      <w:tr w:rsidR="006C2E61" w14:paraId="54377D71" w14:textId="77777777" w:rsidTr="0091762B">
        <w:tc>
          <w:tcPr>
            <w:tcW w:w="1842" w:type="dxa"/>
          </w:tcPr>
          <w:p w14:paraId="7B7BA15F" w14:textId="77777777" w:rsidR="006C2E61" w:rsidRDefault="006C2E61" w:rsidP="00E10BDB">
            <w:pPr>
              <w:pStyle w:val="BodyText"/>
            </w:pPr>
          </w:p>
        </w:tc>
        <w:tc>
          <w:tcPr>
            <w:tcW w:w="7088" w:type="dxa"/>
          </w:tcPr>
          <w:p w14:paraId="50EAA136" w14:textId="77777777" w:rsidR="006C2E61" w:rsidRDefault="006C2E61" w:rsidP="00E10BDB">
            <w:pPr>
              <w:pStyle w:val="BodyText"/>
            </w:pPr>
          </w:p>
        </w:tc>
      </w:tr>
      <w:tr w:rsidR="006C2E61" w14:paraId="639B7483" w14:textId="77777777" w:rsidTr="0091762B">
        <w:tc>
          <w:tcPr>
            <w:tcW w:w="1842" w:type="dxa"/>
          </w:tcPr>
          <w:p w14:paraId="6FD4364F" w14:textId="77777777" w:rsidR="006C2E61" w:rsidRDefault="006C2E61" w:rsidP="00E10BDB">
            <w:pPr>
              <w:pStyle w:val="BodyText"/>
            </w:pPr>
          </w:p>
        </w:tc>
        <w:tc>
          <w:tcPr>
            <w:tcW w:w="7088" w:type="dxa"/>
          </w:tcPr>
          <w:p w14:paraId="3B3461DF" w14:textId="77777777" w:rsidR="006C2E61" w:rsidRDefault="006C2E61" w:rsidP="00E10BDB">
            <w:pPr>
              <w:pStyle w:val="BodyText"/>
            </w:pPr>
          </w:p>
        </w:tc>
      </w:tr>
      <w:tr w:rsidR="006C2E61" w14:paraId="394750C4" w14:textId="77777777" w:rsidTr="0091762B">
        <w:tc>
          <w:tcPr>
            <w:tcW w:w="1842" w:type="dxa"/>
          </w:tcPr>
          <w:p w14:paraId="5DD1B0E3" w14:textId="77777777" w:rsidR="006C2E61" w:rsidRDefault="006C2E61" w:rsidP="00E10BDB">
            <w:pPr>
              <w:pStyle w:val="BodyText"/>
            </w:pPr>
          </w:p>
        </w:tc>
        <w:tc>
          <w:tcPr>
            <w:tcW w:w="7088" w:type="dxa"/>
          </w:tcPr>
          <w:p w14:paraId="507BD280" w14:textId="77777777" w:rsidR="006C2E61" w:rsidRDefault="006C2E61" w:rsidP="00E10BDB">
            <w:pPr>
              <w:pStyle w:val="BodyText"/>
            </w:pPr>
          </w:p>
        </w:tc>
      </w:tr>
      <w:tr w:rsidR="006C2E61" w14:paraId="59583B0A" w14:textId="77777777" w:rsidTr="0091762B">
        <w:tc>
          <w:tcPr>
            <w:tcW w:w="1842" w:type="dxa"/>
          </w:tcPr>
          <w:p w14:paraId="7FF247FD" w14:textId="77777777" w:rsidR="006C2E61" w:rsidRDefault="006C2E61" w:rsidP="00E10BDB">
            <w:pPr>
              <w:pStyle w:val="BodyText"/>
            </w:pPr>
          </w:p>
        </w:tc>
        <w:tc>
          <w:tcPr>
            <w:tcW w:w="7088" w:type="dxa"/>
          </w:tcPr>
          <w:p w14:paraId="0CC0BE7B" w14:textId="77777777" w:rsidR="006C2E61" w:rsidRDefault="006C2E61" w:rsidP="00E10BDB">
            <w:pPr>
              <w:pStyle w:val="BodyText"/>
            </w:pPr>
          </w:p>
        </w:tc>
      </w:tr>
      <w:tr w:rsidR="006C2E61" w14:paraId="392FFF80" w14:textId="77777777" w:rsidTr="0091762B">
        <w:tc>
          <w:tcPr>
            <w:tcW w:w="1842" w:type="dxa"/>
          </w:tcPr>
          <w:p w14:paraId="28DDDDFA" w14:textId="77777777" w:rsidR="006C2E61" w:rsidRDefault="006C2E61" w:rsidP="00E10BDB">
            <w:pPr>
              <w:pStyle w:val="BodyText"/>
            </w:pPr>
          </w:p>
        </w:tc>
        <w:tc>
          <w:tcPr>
            <w:tcW w:w="7088" w:type="dxa"/>
          </w:tcPr>
          <w:p w14:paraId="62999683" w14:textId="77777777" w:rsidR="006C2E61" w:rsidRDefault="006C2E61" w:rsidP="00E10BDB">
            <w:pPr>
              <w:pStyle w:val="BodyText"/>
            </w:pPr>
          </w:p>
        </w:tc>
      </w:tr>
    </w:tbl>
    <w:p w14:paraId="0CDBB647" w14:textId="77777777" w:rsidR="000676C6" w:rsidRDefault="000676C6" w:rsidP="000676C6">
      <w:pPr>
        <w:pStyle w:val="Heading2"/>
        <w:numPr>
          <w:ilvl w:val="0"/>
          <w:numId w:val="0"/>
        </w:numPr>
        <w:ind w:left="851"/>
        <w:rPr>
          <w:caps w:val="0"/>
        </w:rPr>
      </w:pPr>
    </w:p>
    <w:p w14:paraId="76A7D997" w14:textId="77777777" w:rsidR="00226BFA" w:rsidRDefault="00226BFA" w:rsidP="00226BFA">
      <w:pPr>
        <w:pStyle w:val="Acronym"/>
        <w:rPr>
          <w:rStyle w:val="BodyTextChar"/>
        </w:rPr>
      </w:pPr>
    </w:p>
    <w:p w14:paraId="0A996F18" w14:textId="39B8E891" w:rsidR="00933EE0" w:rsidRDefault="00933EE0" w:rsidP="00933EE0">
      <w:pPr>
        <w:pStyle w:val="Heading1"/>
        <w:rPr>
          <w:caps w:val="0"/>
        </w:rPr>
      </w:pPr>
      <w:bookmarkStart w:id="21" w:name="_Toc21563258"/>
      <w:r w:rsidRPr="00F55AD7">
        <w:rPr>
          <w:caps w:val="0"/>
        </w:rPr>
        <w:t>ACRONYMS</w:t>
      </w:r>
      <w:bookmarkEnd w:id="21"/>
    </w:p>
    <w:p w14:paraId="03AC3E29" w14:textId="77777777" w:rsidR="00933EE0" w:rsidRPr="00933EE0" w:rsidRDefault="00933EE0" w:rsidP="00933EE0">
      <w:pPr>
        <w:pStyle w:val="Heading1separatationline"/>
      </w:pPr>
    </w:p>
    <w:p w14:paraId="2958728E" w14:textId="0904A036" w:rsidR="0091762B" w:rsidRDefault="00CA6B2D" w:rsidP="00D603BF">
      <w:pPr>
        <w:pStyle w:val="Acronym"/>
      </w:pPr>
      <w:proofErr w:type="spellStart"/>
      <w:r>
        <w:t>Kjg</w:t>
      </w:r>
      <w:proofErr w:type="spellEnd"/>
      <w:r>
        <w:t xml:space="preserve"> </w:t>
      </w:r>
    </w:p>
    <w:p w14:paraId="1182DAE9" w14:textId="014525D5" w:rsidR="00C6083D" w:rsidRDefault="00C6083D" w:rsidP="00D603BF">
      <w:pPr>
        <w:pStyle w:val="Acronym"/>
      </w:pPr>
    </w:p>
    <w:p w14:paraId="54C91B78" w14:textId="77777777" w:rsidR="00C6083D" w:rsidRDefault="00C6083D" w:rsidP="00D603BF">
      <w:pPr>
        <w:pStyle w:val="Acronym"/>
      </w:pPr>
    </w:p>
    <w:p w14:paraId="68DE1EE7" w14:textId="77777777" w:rsidR="000C32FA" w:rsidRDefault="000C32FA" w:rsidP="000C32FA">
      <w:pPr>
        <w:pStyle w:val="BodyText"/>
        <w:jc w:val="both"/>
      </w:pPr>
    </w:p>
    <w:p w14:paraId="2AE4FDE9" w14:textId="5B20E09D" w:rsidR="000C32FA" w:rsidRPr="00B6367C" w:rsidRDefault="000C32FA" w:rsidP="000C32FA">
      <w:pPr>
        <w:pStyle w:val="BodyText"/>
        <w:rPr>
          <w:i/>
        </w:rPr>
      </w:pPr>
    </w:p>
    <w:p w14:paraId="6980AA68" w14:textId="0FC97044" w:rsidR="0091762B" w:rsidRPr="00F55AD7" w:rsidRDefault="0091762B" w:rsidP="0091762B">
      <w:pPr>
        <w:pStyle w:val="Acronym"/>
        <w:jc w:val="center"/>
      </w:pPr>
      <w:r>
        <w:t>****************</w:t>
      </w:r>
    </w:p>
    <w:sectPr w:rsidR="0091762B" w:rsidRPr="00F55AD7"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868BC" w14:textId="77777777" w:rsidR="0022793E" w:rsidRDefault="0022793E" w:rsidP="003274DB">
      <w:r>
        <w:separator/>
      </w:r>
    </w:p>
    <w:p w14:paraId="2DE6A287" w14:textId="77777777" w:rsidR="0022793E" w:rsidRDefault="0022793E"/>
  </w:endnote>
  <w:endnote w:type="continuationSeparator" w:id="0">
    <w:p w14:paraId="0D4480FE" w14:textId="77777777" w:rsidR="0022793E" w:rsidRDefault="0022793E" w:rsidP="003274DB">
      <w:r>
        <w:continuationSeparator/>
      </w:r>
    </w:p>
    <w:p w14:paraId="18154447" w14:textId="77777777" w:rsidR="0022793E" w:rsidRDefault="00227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2735DD" w:rsidRDefault="002735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735DD" w:rsidRDefault="002735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735DD" w:rsidRDefault="002735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735DD" w:rsidRDefault="002735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735DD" w:rsidRDefault="002735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2735DD" w:rsidRDefault="002735DD"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735DD" w:rsidRPr="00ED2A8D" w:rsidRDefault="002735DD" w:rsidP="008747E0">
    <w:pPr>
      <w:pStyle w:val="Footer"/>
    </w:pPr>
  </w:p>
  <w:p w14:paraId="05175766" w14:textId="4098D326" w:rsidR="002735DD" w:rsidRPr="00ED2A8D" w:rsidRDefault="002735DD" w:rsidP="002735DD">
    <w:pPr>
      <w:pStyle w:val="Footer"/>
      <w:tabs>
        <w:tab w:val="left" w:pos="1781"/>
      </w:tabs>
    </w:pPr>
    <w:r>
      <w:tab/>
    </w:r>
  </w:p>
  <w:p w14:paraId="6B80A5D7" w14:textId="77777777" w:rsidR="002735DD" w:rsidRPr="00ED2A8D" w:rsidRDefault="002735DD" w:rsidP="008747E0">
    <w:pPr>
      <w:pStyle w:val="Footer"/>
    </w:pPr>
  </w:p>
  <w:p w14:paraId="41671561" w14:textId="6F50965C" w:rsidR="002735DD" w:rsidRPr="00ED2A8D" w:rsidRDefault="002735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2735DD" w:rsidRDefault="002735D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2735DD" w:rsidRPr="00C907DF" w:rsidRDefault="002735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2735DD" w:rsidRPr="00525922" w:rsidRDefault="002735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2735DD" w:rsidRPr="00C716E5" w:rsidRDefault="002735DD" w:rsidP="00C716E5">
    <w:pPr>
      <w:pStyle w:val="Footer"/>
      <w:rPr>
        <w:sz w:val="15"/>
        <w:szCs w:val="15"/>
      </w:rPr>
    </w:pPr>
  </w:p>
  <w:p w14:paraId="6FC904F9" w14:textId="77777777" w:rsidR="002735DD" w:rsidRDefault="002735DD" w:rsidP="00C716E5">
    <w:pPr>
      <w:pStyle w:val="Footerportrait"/>
    </w:pPr>
  </w:p>
  <w:p w14:paraId="0DD0B946" w14:textId="4894CBEA" w:rsidR="002735DD" w:rsidRPr="00C907DF" w:rsidRDefault="00CA2CD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735DD" w:rsidRPr="00C907DF">
      <w:t xml:space="preserve"> </w:t>
    </w:r>
    <w:r w:rsidR="00644548">
      <w:fldChar w:fldCharType="begin"/>
    </w:r>
    <w:r w:rsidR="00644548">
      <w:instrText xml:space="preserve"> STYLEREF "Document number" \* MERGEFORMAT </w:instrText>
    </w:r>
    <w:r w:rsidR="00644548">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Pr>
        <w:b w:val="0"/>
        <w:bCs/>
      </w:rPr>
      <w:t>Error! No text of specified style in document.</w:t>
    </w:r>
    <w:r w:rsidR="00C8296C">
      <w:fldChar w:fldCharType="end"/>
    </w:r>
  </w:p>
  <w:p w14:paraId="1B606CCD" w14:textId="559E822A" w:rsidR="002735DD" w:rsidRPr="00C907DF" w:rsidRDefault="00CA2CD3" w:rsidP="00C716E5">
    <w:pPr>
      <w:pStyle w:val="Footerportrait"/>
    </w:pPr>
    <w:r>
      <w:fldChar w:fldCharType="begin"/>
    </w:r>
    <w:r>
      <w:instrText xml:space="preserve"> STYLEREF "Edition number" \* MERGEFORMAT </w:instrText>
    </w:r>
    <w:r>
      <w:fldChar w:fldCharType="separate"/>
    </w:r>
    <w:r>
      <w:t>Edition 1.0</w:t>
    </w:r>
    <w:r>
      <w:fldChar w:fldCharType="end"/>
    </w:r>
    <w:r w:rsidR="002735DD">
      <w:t xml:space="preserve">  </w:t>
    </w:r>
    <w:r w:rsidR="00DA762E">
      <w:fldChar w:fldCharType="begin"/>
    </w:r>
    <w:r w:rsidR="00DA762E">
      <w:instrText xml:space="preserve"> STYLEREF "Document date" \* MERGEFORMAT </w:instrText>
    </w:r>
    <w:r w:rsidR="00DA762E">
      <w:fldChar w:fldCharType="end"/>
    </w:r>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D51020">
      <w:rPr>
        <w:rStyle w:val="PageNumber"/>
        <w:szCs w:val="15"/>
      </w:rPr>
      <w:t>2</w:t>
    </w:r>
    <w:r w:rsidR="002735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2735DD" w:rsidRDefault="002735DD" w:rsidP="00C716E5">
    <w:pPr>
      <w:pStyle w:val="Footer"/>
    </w:pPr>
  </w:p>
  <w:p w14:paraId="4D7BEBDA" w14:textId="77777777" w:rsidR="002735DD" w:rsidRDefault="002735DD" w:rsidP="00C716E5">
    <w:pPr>
      <w:pStyle w:val="Footerportrait"/>
    </w:pPr>
  </w:p>
  <w:p w14:paraId="2613E04A" w14:textId="2E1933F3" w:rsidR="002735DD" w:rsidRPr="00C907DF" w:rsidRDefault="00CA2CD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735DD" w:rsidRPr="00C907DF">
      <w:t xml:space="preserve"> </w:t>
    </w:r>
    <w:r w:rsidR="00644548">
      <w:fldChar w:fldCharType="begin"/>
    </w:r>
    <w:r w:rsidR="00644548">
      <w:instrText xml:space="preserve"> STYLEREF "Document number" \* MERGEFORMAT </w:instrText>
    </w:r>
    <w:r w:rsidR="00644548">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Pr>
        <w:b w:val="0"/>
        <w:bCs/>
      </w:rPr>
      <w:t>Error! No text of specified style in document.</w:t>
    </w:r>
    <w:r w:rsidR="00C8296C">
      <w:fldChar w:fldCharType="end"/>
    </w:r>
  </w:p>
  <w:p w14:paraId="63904568" w14:textId="211E0202" w:rsidR="002735DD" w:rsidRPr="00525922" w:rsidRDefault="00CA2CD3" w:rsidP="00C716E5">
    <w:pPr>
      <w:pStyle w:val="Footerportrait"/>
    </w:pPr>
    <w:r>
      <w:fldChar w:fldCharType="begin"/>
    </w:r>
    <w:r>
      <w:instrText xml:space="preserve"> STYLEREF "Edition number" \* MERGEFORMAT </w:instrText>
    </w:r>
    <w:r>
      <w:fldChar w:fldCharType="separate"/>
    </w:r>
    <w:r>
      <w:t>Edition 1.0</w:t>
    </w:r>
    <w:r>
      <w:fldChar w:fldCharType="end"/>
    </w:r>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D51020">
      <w:rPr>
        <w:rStyle w:val="PageNumber"/>
        <w:szCs w:val="15"/>
      </w:rPr>
      <w:t>3</w:t>
    </w:r>
    <w:r w:rsidR="002735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2735DD" w:rsidRDefault="002735DD" w:rsidP="00C716E5">
    <w:pPr>
      <w:pStyle w:val="Footer"/>
    </w:pPr>
  </w:p>
  <w:p w14:paraId="663AE836" w14:textId="77777777" w:rsidR="002735DD" w:rsidRDefault="002735DD" w:rsidP="00C716E5">
    <w:pPr>
      <w:pStyle w:val="Footerportrait"/>
    </w:pPr>
  </w:p>
  <w:p w14:paraId="7CEB4BBC" w14:textId="4FAFBE56" w:rsidR="002735DD" w:rsidRPr="00C907DF" w:rsidRDefault="00CA2CD3"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2735DD" w:rsidRPr="00C907DF">
      <w:t xml:space="preserve"> </w:t>
    </w:r>
    <w:r w:rsidR="00644548">
      <w:fldChar w:fldCharType="begin"/>
    </w:r>
    <w:r w:rsidR="00644548">
      <w:instrText xml:space="preserve"> STYLEREF "Document number" \* MERGEFORMAT </w:instrText>
    </w:r>
    <w:r w:rsidR="00644548">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Pr>
        <w:b w:val="0"/>
        <w:bCs/>
      </w:rPr>
      <w:t>Error! No text of specified style in document.</w:t>
    </w:r>
    <w:r w:rsidR="00C8296C">
      <w:fldChar w:fldCharType="end"/>
    </w:r>
    <w:r w:rsidR="002735DD">
      <w:tab/>
    </w:r>
  </w:p>
  <w:p w14:paraId="69C56F9E" w14:textId="62940344" w:rsidR="002735DD" w:rsidRPr="00C907DF" w:rsidRDefault="00CA2CD3" w:rsidP="00760004">
    <w:pPr>
      <w:pStyle w:val="Footerportrait"/>
      <w:tabs>
        <w:tab w:val="clear" w:pos="10206"/>
        <w:tab w:val="right" w:pos="15704"/>
      </w:tabs>
    </w:pPr>
    <w:r>
      <w:fldChar w:fldCharType="begin"/>
    </w:r>
    <w:r>
      <w:instrText xml:space="preserve"> STYLEREF "Edition number" \* MERGEFORMAT </w:instrText>
    </w:r>
    <w:r>
      <w:fldChar w:fldCharType="separate"/>
    </w:r>
    <w:r>
      <w:t>Edition 1.0</w:t>
    </w:r>
    <w:r>
      <w:fldChar w:fldCharType="end"/>
    </w:r>
    <w:r w:rsidR="002735DD">
      <w:t xml:space="preserve">  </w:t>
    </w:r>
    <w:r w:rsidR="00DA762E">
      <w:fldChar w:fldCharType="begin"/>
    </w:r>
    <w:r w:rsidR="00DA762E">
      <w:instrText xml:space="preserve"> STYLEREF "Document date" \* MERGEFORMAT </w:instrText>
    </w:r>
    <w:r w:rsidR="00DA762E">
      <w:fldChar w:fldCharType="end"/>
    </w:r>
    <w:r w:rsidR="002735DD">
      <w:tab/>
    </w:r>
    <w:r w:rsidR="002735DD">
      <w:rPr>
        <w:rStyle w:val="PageNumber"/>
        <w:szCs w:val="15"/>
      </w:rPr>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D51020">
      <w:rPr>
        <w:rStyle w:val="PageNumber"/>
        <w:szCs w:val="15"/>
      </w:rPr>
      <w:t>7</w:t>
    </w:r>
    <w:r w:rsidR="002735D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FF623" w14:textId="77777777" w:rsidR="0022793E" w:rsidRDefault="0022793E" w:rsidP="003274DB">
      <w:r>
        <w:separator/>
      </w:r>
    </w:p>
    <w:p w14:paraId="1AC24B19" w14:textId="77777777" w:rsidR="0022793E" w:rsidRDefault="0022793E"/>
  </w:footnote>
  <w:footnote w:type="continuationSeparator" w:id="0">
    <w:p w14:paraId="4C748FC8" w14:textId="77777777" w:rsidR="0022793E" w:rsidRDefault="0022793E" w:rsidP="003274DB">
      <w:r>
        <w:continuationSeparator/>
      </w:r>
    </w:p>
    <w:p w14:paraId="2EBCC6C5" w14:textId="77777777" w:rsidR="0022793E" w:rsidRDefault="0022793E"/>
  </w:footnote>
  <w:footnote w:id="1">
    <w:p w14:paraId="37A42A17" w14:textId="7997B7A4" w:rsidR="00C16508" w:rsidRPr="00C16508" w:rsidRDefault="00C16508">
      <w:pPr>
        <w:pStyle w:val="FootnoteText"/>
        <w:rPr>
          <w:highlight w:val="yellow"/>
          <w:lang w:val="en-AU"/>
        </w:rPr>
      </w:pPr>
      <w:r w:rsidRPr="00C16508">
        <w:rPr>
          <w:rStyle w:val="FootnoteReference"/>
          <w:highlight w:val="yellow"/>
        </w:rPr>
        <w:footnoteRef/>
      </w:r>
      <w:r w:rsidRPr="00C16508">
        <w:rPr>
          <w:highlight w:val="yellow"/>
        </w:rPr>
        <w:t xml:space="preserve"> </w:t>
      </w:r>
      <w:r w:rsidRPr="00C16508">
        <w:rPr>
          <w:highlight w:val="yellow"/>
          <w:lang w:val="en-AU"/>
        </w:rPr>
        <w:t>ITU definition</w:t>
      </w:r>
      <w:r>
        <w:rPr>
          <w:highlight w:val="yellow"/>
          <w:lang w:val="en-AU"/>
        </w:rPr>
        <w:t xml:space="preserve"> – add detail</w:t>
      </w:r>
    </w:p>
  </w:footnote>
  <w:footnote w:id="2">
    <w:p w14:paraId="366ED953" w14:textId="5474FCBA" w:rsidR="000E16D3" w:rsidRPr="000E16D3" w:rsidRDefault="000E16D3">
      <w:pPr>
        <w:pStyle w:val="FootnoteText"/>
        <w:rPr>
          <w:lang w:val="en-AU"/>
        </w:rPr>
      </w:pPr>
      <w:r>
        <w:rPr>
          <w:rStyle w:val="FootnoteReference"/>
        </w:rPr>
        <w:footnoteRef/>
      </w:r>
      <w:r>
        <w:t xml:space="preserve"> </w:t>
      </w:r>
      <w:r>
        <w:rPr>
          <w:lang w:val="en-AU"/>
        </w:rPr>
        <w:t>ISO 25010</w:t>
      </w:r>
    </w:p>
  </w:footnote>
  <w:footnote w:id="3">
    <w:p w14:paraId="7F1A7604" w14:textId="734C8673" w:rsidR="001943AF" w:rsidRPr="00CA2CD3" w:rsidRDefault="001943AF">
      <w:pPr>
        <w:pStyle w:val="FootnoteText"/>
        <w:rPr>
          <w:lang w:val="it-IT"/>
        </w:rPr>
      </w:pPr>
      <w:r>
        <w:rPr>
          <w:rStyle w:val="FootnoteReference"/>
        </w:rPr>
        <w:footnoteRef/>
      </w:r>
      <w:r w:rsidRPr="00CA2CD3">
        <w:rPr>
          <w:lang w:val="it-IT"/>
        </w:rPr>
        <w:t xml:space="preserve"> ISO 22300-2018</w:t>
      </w:r>
    </w:p>
  </w:footnote>
  <w:footnote w:id="4">
    <w:p w14:paraId="0CF56B8D" w14:textId="53534B8E" w:rsidR="001943AF" w:rsidRPr="00CA2CD3" w:rsidRDefault="001943AF">
      <w:pPr>
        <w:pStyle w:val="FootnoteText"/>
        <w:rPr>
          <w:lang w:val="it-IT"/>
        </w:rPr>
      </w:pPr>
      <w:r>
        <w:rPr>
          <w:rStyle w:val="FootnoteReference"/>
        </w:rPr>
        <w:footnoteRef/>
      </w:r>
      <w:r w:rsidRPr="00CA2CD3">
        <w:rPr>
          <w:lang w:val="it-IT"/>
        </w:rPr>
        <w:t xml:space="preserve"> ISO 22300-2018</w:t>
      </w:r>
    </w:p>
  </w:footnote>
  <w:footnote w:id="5">
    <w:p w14:paraId="61546C25" w14:textId="1EADE3D7" w:rsidR="00C16508" w:rsidRPr="00CA2CD3" w:rsidRDefault="00C16508">
      <w:pPr>
        <w:pStyle w:val="FootnoteText"/>
        <w:rPr>
          <w:lang w:val="it-IT"/>
        </w:rPr>
      </w:pPr>
      <w:r w:rsidRPr="00AD47C0">
        <w:rPr>
          <w:rStyle w:val="FootnoteReference"/>
        </w:rPr>
        <w:footnoteRef/>
      </w:r>
      <w:r w:rsidRPr="00CA2CD3">
        <w:rPr>
          <w:lang w:val="it-IT"/>
        </w:rPr>
        <w:t xml:space="preserve"> </w:t>
      </w:r>
      <w:r w:rsidR="00AD47C0" w:rsidRPr="00CA2CD3">
        <w:rPr>
          <w:lang w:val="it-IT"/>
        </w:rPr>
        <w:t xml:space="preserve"> https://www.cisco.com/c/en/us/products/security/what-is-cybersecurity.html</w:t>
      </w:r>
    </w:p>
  </w:footnote>
  <w:footnote w:id="6">
    <w:p w14:paraId="1D6C5612" w14:textId="494E945A" w:rsidR="00A32EA4" w:rsidRPr="00CA2CD3" w:rsidRDefault="00A32EA4">
      <w:pPr>
        <w:pStyle w:val="FootnoteText"/>
        <w:rPr>
          <w:lang w:val="it-IT"/>
        </w:rPr>
      </w:pPr>
      <w:r>
        <w:rPr>
          <w:rStyle w:val="FootnoteReference"/>
        </w:rPr>
        <w:footnoteRef/>
      </w:r>
      <w:r w:rsidRPr="00CA2CD3">
        <w:rPr>
          <w:lang w:val="it-IT"/>
        </w:rPr>
        <w:t xml:space="preserve">   https://medium.com/@programmerasi/difference-between-api-and-web-service-73c873573c9d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2735DD" w:rsidRDefault="00CA2CD3">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0B11A77F" w:rsidR="002735DD" w:rsidRDefault="00CA2CD3">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4FBDA0D2" w:rsidR="002735DD" w:rsidRPr="00667792" w:rsidRDefault="00CA2CD3"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3BBEC6E" w:rsidR="002735DD" w:rsidRDefault="00CA2CD3">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0923FC29" w:rsidR="002735DD" w:rsidRPr="0004614F" w:rsidRDefault="00CA2CD3" w:rsidP="00B6066D">
    <w:pPr>
      <w:pStyle w:val="Header"/>
      <w:jc w:val="right"/>
      <w:rPr>
        <w:sz w:val="24"/>
        <w:szCs w:val="24"/>
      </w:rPr>
    </w:pPr>
    <w:r>
      <w:rPr>
        <w:noProof/>
        <w:sz w:val="24"/>
        <w:szCs w:val="24"/>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sidRPr="0004614F">
      <w:rPr>
        <w:noProof/>
        <w:sz w:val="24"/>
        <w:szCs w:val="24"/>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4614F" w:rsidRPr="0004614F">
      <w:rPr>
        <w:sz w:val="24"/>
        <w:szCs w:val="24"/>
      </w:rPr>
      <w:t>ENAV2</w:t>
    </w:r>
    <w:r>
      <w:rPr>
        <w:sz w:val="24"/>
        <w:szCs w:val="24"/>
      </w:rPr>
      <w:t>6</w:t>
    </w:r>
    <w:r w:rsidR="007908A5">
      <w:rPr>
        <w:sz w:val="24"/>
        <w:szCs w:val="24"/>
      </w:rPr>
      <w:t>-</w:t>
    </w:r>
    <w:r>
      <w:rPr>
        <w:sz w:val="24"/>
        <w:szCs w:val="24"/>
      </w:rPr>
      <w:t>7</w:t>
    </w:r>
    <w:r w:rsidR="007908A5">
      <w:rPr>
        <w:sz w:val="24"/>
        <w:szCs w:val="24"/>
      </w:rPr>
      <w:t>.</w:t>
    </w:r>
    <w:r w:rsidR="00581774">
      <w:rPr>
        <w:sz w:val="24"/>
        <w:szCs w:val="24"/>
      </w:rPr>
      <w:t>2.</w:t>
    </w:r>
    <w:r w:rsidR="007908A5">
      <w:rPr>
        <w:sz w:val="24"/>
        <w:szCs w:val="24"/>
      </w:rPr>
      <w:t>1</w:t>
    </w:r>
  </w:p>
  <w:p w14:paraId="77B6579F" w14:textId="77777777" w:rsidR="002735DD" w:rsidRDefault="002735DD" w:rsidP="00B6066D">
    <w:pPr>
      <w:pStyle w:val="Header"/>
      <w:jc w:val="right"/>
    </w:pPr>
  </w:p>
  <w:p w14:paraId="294C62FA" w14:textId="77777777" w:rsidR="002735DD" w:rsidRDefault="002735DD" w:rsidP="00B6066D">
    <w:pPr>
      <w:pStyle w:val="Header"/>
      <w:jc w:val="right"/>
    </w:pPr>
  </w:p>
  <w:p w14:paraId="36C3E9FB" w14:textId="379BEF4B" w:rsidR="002735DD" w:rsidRDefault="002735DD" w:rsidP="008747E0">
    <w:pPr>
      <w:pStyle w:val="Header"/>
    </w:pPr>
  </w:p>
  <w:p w14:paraId="14F42252" w14:textId="6D14E74F" w:rsidR="002735DD" w:rsidRDefault="002735DD" w:rsidP="008747E0">
    <w:pPr>
      <w:pStyle w:val="Header"/>
    </w:pPr>
  </w:p>
  <w:p w14:paraId="74D558FC" w14:textId="55FAA32E" w:rsidR="002735DD" w:rsidRDefault="002735DD"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735DD" w:rsidRPr="00ED2A8D" w:rsidRDefault="002735DD" w:rsidP="008747E0">
    <w:pPr>
      <w:pStyle w:val="Header"/>
    </w:pPr>
  </w:p>
  <w:p w14:paraId="6AD2C8D3" w14:textId="681F1255" w:rsidR="002735DD" w:rsidRPr="00ED2A8D" w:rsidRDefault="002735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2735DD" w:rsidRDefault="00CA2CD3">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735DD" w:rsidRDefault="002735DD">
    <w:pPr>
      <w:pStyle w:val="Header"/>
    </w:pPr>
  </w:p>
  <w:p w14:paraId="60B8593E" w14:textId="77777777" w:rsidR="002735DD" w:rsidRDefault="002735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2735DD" w:rsidRDefault="00CA2CD3">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2735DD" w:rsidRPr="00ED2A8D" w:rsidRDefault="00CA2CD3"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735DD" w:rsidRPr="00ED2A8D" w:rsidRDefault="002735DD" w:rsidP="008747E0">
    <w:pPr>
      <w:pStyle w:val="Header"/>
    </w:pPr>
  </w:p>
  <w:p w14:paraId="20BBBC6D" w14:textId="77777777" w:rsidR="002735DD" w:rsidRDefault="002735DD" w:rsidP="008747E0">
    <w:pPr>
      <w:pStyle w:val="Header"/>
    </w:pPr>
  </w:p>
  <w:p w14:paraId="5D38743E" w14:textId="77777777" w:rsidR="002735DD" w:rsidRDefault="002735DD" w:rsidP="008747E0">
    <w:pPr>
      <w:pStyle w:val="Header"/>
    </w:pPr>
  </w:p>
  <w:p w14:paraId="59D055C6" w14:textId="77777777" w:rsidR="002735DD" w:rsidRDefault="002735DD" w:rsidP="008747E0">
    <w:pPr>
      <w:pStyle w:val="Header"/>
    </w:pPr>
  </w:p>
  <w:p w14:paraId="2877724F" w14:textId="77777777" w:rsidR="002735DD" w:rsidRPr="00441393" w:rsidRDefault="002735DD" w:rsidP="00441393">
    <w:pPr>
      <w:pStyle w:val="Contents"/>
    </w:pPr>
    <w:r>
      <w:t>DOCUMENT REVISION</w:t>
    </w:r>
  </w:p>
  <w:p w14:paraId="09691153" w14:textId="77777777" w:rsidR="002735DD" w:rsidRPr="00ED2A8D" w:rsidRDefault="002735DD" w:rsidP="008747E0">
    <w:pPr>
      <w:pStyle w:val="Header"/>
    </w:pPr>
  </w:p>
  <w:p w14:paraId="1ECA61B7" w14:textId="77777777" w:rsidR="002735DD" w:rsidRPr="00AC33A2" w:rsidRDefault="002735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2735DD" w:rsidRDefault="00CA2CD3">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2735DD" w:rsidRDefault="00CA2CD3">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2735DD" w:rsidRPr="00ED2A8D" w:rsidRDefault="00CA2CD3"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735DD" w:rsidRPr="00ED2A8D" w:rsidRDefault="002735DD" w:rsidP="008747E0">
    <w:pPr>
      <w:pStyle w:val="Header"/>
    </w:pPr>
  </w:p>
  <w:p w14:paraId="15D53F0E" w14:textId="77777777" w:rsidR="002735DD" w:rsidRDefault="002735DD" w:rsidP="008747E0">
    <w:pPr>
      <w:pStyle w:val="Header"/>
    </w:pPr>
  </w:p>
  <w:p w14:paraId="30E0B82E" w14:textId="77777777" w:rsidR="002735DD" w:rsidRDefault="002735DD" w:rsidP="008747E0">
    <w:pPr>
      <w:pStyle w:val="Header"/>
    </w:pPr>
  </w:p>
  <w:p w14:paraId="38068A1D" w14:textId="77777777" w:rsidR="002735DD" w:rsidRDefault="002735DD" w:rsidP="008747E0">
    <w:pPr>
      <w:pStyle w:val="Header"/>
    </w:pPr>
  </w:p>
  <w:p w14:paraId="6DED465C" w14:textId="77777777" w:rsidR="002735DD" w:rsidRPr="00441393" w:rsidRDefault="002735DD" w:rsidP="00441393">
    <w:pPr>
      <w:pStyle w:val="Contents"/>
    </w:pPr>
    <w:r>
      <w:t>CONTENTS</w:t>
    </w:r>
  </w:p>
  <w:p w14:paraId="42B130BB" w14:textId="77777777" w:rsidR="002735DD" w:rsidRDefault="002735DD" w:rsidP="0078486B">
    <w:pPr>
      <w:pStyle w:val="Header"/>
      <w:spacing w:line="140" w:lineRule="exact"/>
    </w:pPr>
  </w:p>
  <w:p w14:paraId="22A752C6" w14:textId="77777777" w:rsidR="002735DD" w:rsidRPr="00AC33A2" w:rsidRDefault="002735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2735DD" w:rsidRPr="00ED2A8D" w:rsidRDefault="00CA2CD3"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735DD" w:rsidRPr="00ED2A8D" w:rsidRDefault="002735DD" w:rsidP="00C716E5">
    <w:pPr>
      <w:pStyle w:val="Header"/>
    </w:pPr>
  </w:p>
  <w:p w14:paraId="30E6C01B" w14:textId="77777777" w:rsidR="002735DD" w:rsidRDefault="002735DD" w:rsidP="00C716E5">
    <w:pPr>
      <w:pStyle w:val="Header"/>
    </w:pPr>
  </w:p>
  <w:p w14:paraId="1F64AB92" w14:textId="77777777" w:rsidR="002735DD" w:rsidRDefault="002735DD" w:rsidP="00C716E5">
    <w:pPr>
      <w:pStyle w:val="Header"/>
    </w:pPr>
  </w:p>
  <w:p w14:paraId="7416B8C2" w14:textId="77777777" w:rsidR="002735DD" w:rsidRDefault="002735DD" w:rsidP="00C716E5">
    <w:pPr>
      <w:pStyle w:val="Header"/>
    </w:pPr>
  </w:p>
  <w:p w14:paraId="26BAD793" w14:textId="77777777" w:rsidR="002735DD" w:rsidRPr="00441393" w:rsidRDefault="002735DD" w:rsidP="00C716E5">
    <w:pPr>
      <w:pStyle w:val="Contents"/>
    </w:pPr>
    <w:r>
      <w:t>CONTENTS</w:t>
    </w:r>
  </w:p>
  <w:p w14:paraId="68ECE7DC" w14:textId="77777777" w:rsidR="002735DD" w:rsidRPr="00ED2A8D" w:rsidRDefault="002735DD" w:rsidP="00C716E5">
    <w:pPr>
      <w:pStyle w:val="Header"/>
    </w:pPr>
  </w:p>
  <w:p w14:paraId="6387CB5F" w14:textId="77777777" w:rsidR="002735DD" w:rsidRPr="00AC33A2" w:rsidRDefault="002735DD" w:rsidP="00C716E5">
    <w:pPr>
      <w:pStyle w:val="Header"/>
      <w:spacing w:line="140" w:lineRule="exact"/>
    </w:pPr>
  </w:p>
  <w:p w14:paraId="6B91DD4A" w14:textId="77777777" w:rsidR="002735DD" w:rsidRDefault="002735DD">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57462E"/>
    <w:multiLevelType w:val="hybridMultilevel"/>
    <w:tmpl w:val="4A680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3741E24"/>
    <w:multiLevelType w:val="hybridMultilevel"/>
    <w:tmpl w:val="0FE2BB5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9" w15:restartNumberingAfterBreak="0">
    <w:nsid w:val="34B8455E"/>
    <w:multiLevelType w:val="hybridMultilevel"/>
    <w:tmpl w:val="596605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06C41E7"/>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2324A83"/>
    <w:multiLevelType w:val="hybridMultilevel"/>
    <w:tmpl w:val="7FD6D83A"/>
    <w:lvl w:ilvl="0" w:tplc="0C090019">
      <w:start w:val="1"/>
      <w:numFmt w:val="lowerLetter"/>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CE67E6"/>
    <w:multiLevelType w:val="hybridMultilevel"/>
    <w:tmpl w:val="3CC252E8"/>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9F4206A"/>
    <w:multiLevelType w:val="hybridMultilevel"/>
    <w:tmpl w:val="79FE9C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DB95BD6"/>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FE6E79"/>
    <w:multiLevelType w:val="hybridMultilevel"/>
    <w:tmpl w:val="E9666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AB4D84"/>
    <w:multiLevelType w:val="multilevel"/>
    <w:tmpl w:val="744A990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EE9424B"/>
    <w:multiLevelType w:val="hybridMultilevel"/>
    <w:tmpl w:val="DD02399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F507A8"/>
    <w:multiLevelType w:val="hybridMultilevel"/>
    <w:tmpl w:val="C2FE3F96"/>
    <w:lvl w:ilvl="0" w:tplc="5B1474F8">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40"/>
  </w:num>
  <w:num w:numId="3">
    <w:abstractNumId w:val="6"/>
  </w:num>
  <w:num w:numId="4">
    <w:abstractNumId w:val="21"/>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6"/>
  </w:num>
  <w:num w:numId="14">
    <w:abstractNumId w:val="0"/>
  </w:num>
  <w:num w:numId="15">
    <w:abstractNumId w:val="35"/>
  </w:num>
  <w:num w:numId="16">
    <w:abstractNumId w:val="37"/>
  </w:num>
  <w:num w:numId="17">
    <w:abstractNumId w:val="12"/>
  </w:num>
  <w:num w:numId="18">
    <w:abstractNumId w:val="11"/>
  </w:num>
  <w:num w:numId="19">
    <w:abstractNumId w:val="38"/>
  </w:num>
  <w:num w:numId="20">
    <w:abstractNumId w:val="22"/>
  </w:num>
  <w:num w:numId="21">
    <w:abstractNumId w:val="2"/>
  </w:num>
  <w:num w:numId="22">
    <w:abstractNumId w:val="9"/>
  </w:num>
  <w:num w:numId="23">
    <w:abstractNumId w:val="30"/>
  </w:num>
  <w:num w:numId="24">
    <w:abstractNumId w:val="8"/>
  </w:num>
  <w:num w:numId="25">
    <w:abstractNumId w:val="39"/>
  </w:num>
  <w:num w:numId="26">
    <w:abstractNumId w:val="1"/>
  </w:num>
  <w:num w:numId="27">
    <w:abstractNumId w:val="20"/>
  </w:num>
  <w:num w:numId="28">
    <w:abstractNumId w:val="15"/>
  </w:num>
  <w:num w:numId="29">
    <w:abstractNumId w:val="29"/>
  </w:num>
  <w:num w:numId="30">
    <w:abstractNumId w:val="32"/>
  </w:num>
  <w:num w:numId="31">
    <w:abstractNumId w:val="4"/>
  </w:num>
  <w:num w:numId="32">
    <w:abstractNumId w:val="33"/>
  </w:num>
  <w:num w:numId="33">
    <w:abstractNumId w:val="10"/>
  </w:num>
  <w:num w:numId="34">
    <w:abstractNumId w:val="31"/>
  </w:num>
  <w:num w:numId="35">
    <w:abstractNumId w:val="19"/>
  </w:num>
  <w:num w:numId="36">
    <w:abstractNumId w:val="18"/>
  </w:num>
  <w:num w:numId="37">
    <w:abstractNumId w:val="41"/>
  </w:num>
  <w:num w:numId="38">
    <w:abstractNumId w:val="36"/>
  </w:num>
  <w:num w:numId="39">
    <w:abstractNumId w:val="34"/>
  </w:num>
  <w:num w:numId="40">
    <w:abstractNumId w:val="35"/>
  </w:num>
  <w:num w:numId="41">
    <w:abstractNumId w:val="28"/>
  </w:num>
  <w:num w:numId="42">
    <w:abstractNumId w:val="25"/>
  </w:num>
  <w:num w:numId="43">
    <w:abstractNumId w:val="35"/>
  </w:num>
  <w:num w:numId="44">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en-AU" w:vendorID="64" w:dllVersion="0"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616D"/>
    <w:rsid w:val="00016839"/>
    <w:rsid w:val="000174F9"/>
    <w:rsid w:val="000249C2"/>
    <w:rsid w:val="000258F6"/>
    <w:rsid w:val="0003449E"/>
    <w:rsid w:val="000379A7"/>
    <w:rsid w:val="00040EB8"/>
    <w:rsid w:val="0004614F"/>
    <w:rsid w:val="00050F02"/>
    <w:rsid w:val="0005449E"/>
    <w:rsid w:val="00054C7D"/>
    <w:rsid w:val="00055938"/>
    <w:rsid w:val="00057B6D"/>
    <w:rsid w:val="00061A7B"/>
    <w:rsid w:val="00062874"/>
    <w:rsid w:val="000676C6"/>
    <w:rsid w:val="00082C85"/>
    <w:rsid w:val="0008654C"/>
    <w:rsid w:val="000904ED"/>
    <w:rsid w:val="00091545"/>
    <w:rsid w:val="000A27A8"/>
    <w:rsid w:val="000A59C0"/>
    <w:rsid w:val="000B2356"/>
    <w:rsid w:val="000C32FA"/>
    <w:rsid w:val="000C711B"/>
    <w:rsid w:val="000D1D15"/>
    <w:rsid w:val="000D2431"/>
    <w:rsid w:val="000E16D3"/>
    <w:rsid w:val="000E3954"/>
    <w:rsid w:val="000E3E52"/>
    <w:rsid w:val="000F0F9F"/>
    <w:rsid w:val="000F3F43"/>
    <w:rsid w:val="000F58ED"/>
    <w:rsid w:val="00113D5B"/>
    <w:rsid w:val="00113F8F"/>
    <w:rsid w:val="00121616"/>
    <w:rsid w:val="001277DA"/>
    <w:rsid w:val="001349DB"/>
    <w:rsid w:val="00134B86"/>
    <w:rsid w:val="00135AEB"/>
    <w:rsid w:val="00136E58"/>
    <w:rsid w:val="0014060A"/>
    <w:rsid w:val="001547F9"/>
    <w:rsid w:val="001607D8"/>
    <w:rsid w:val="00161325"/>
    <w:rsid w:val="00162612"/>
    <w:rsid w:val="001635F3"/>
    <w:rsid w:val="00166400"/>
    <w:rsid w:val="00176BB8"/>
    <w:rsid w:val="00184427"/>
    <w:rsid w:val="001875B1"/>
    <w:rsid w:val="00191120"/>
    <w:rsid w:val="0019173E"/>
    <w:rsid w:val="001943AF"/>
    <w:rsid w:val="00197354"/>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1F6789"/>
    <w:rsid w:val="00201337"/>
    <w:rsid w:val="002022EA"/>
    <w:rsid w:val="002044E9"/>
    <w:rsid w:val="00205B17"/>
    <w:rsid w:val="00205D9B"/>
    <w:rsid w:val="00214033"/>
    <w:rsid w:val="002204DA"/>
    <w:rsid w:val="0022371A"/>
    <w:rsid w:val="00226BFA"/>
    <w:rsid w:val="0022793E"/>
    <w:rsid w:val="00233D1A"/>
    <w:rsid w:val="00237785"/>
    <w:rsid w:val="002406D3"/>
    <w:rsid w:val="00251FB9"/>
    <w:rsid w:val="002520AD"/>
    <w:rsid w:val="00255FD9"/>
    <w:rsid w:val="0025660A"/>
    <w:rsid w:val="00257DF8"/>
    <w:rsid w:val="00257E4A"/>
    <w:rsid w:val="0026038D"/>
    <w:rsid w:val="00263D78"/>
    <w:rsid w:val="0027175D"/>
    <w:rsid w:val="002735DD"/>
    <w:rsid w:val="00274B97"/>
    <w:rsid w:val="0029489B"/>
    <w:rsid w:val="00296AE1"/>
    <w:rsid w:val="0029793F"/>
    <w:rsid w:val="002A1C42"/>
    <w:rsid w:val="002A5624"/>
    <w:rsid w:val="002A617C"/>
    <w:rsid w:val="002A71CF"/>
    <w:rsid w:val="002B3E9D"/>
    <w:rsid w:val="002C77F4"/>
    <w:rsid w:val="002D0869"/>
    <w:rsid w:val="002D4952"/>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35A7"/>
    <w:rsid w:val="003C7C34"/>
    <w:rsid w:val="003D0F37"/>
    <w:rsid w:val="003D3B40"/>
    <w:rsid w:val="003D5150"/>
    <w:rsid w:val="003F1C3A"/>
    <w:rsid w:val="003F4DE4"/>
    <w:rsid w:val="00414698"/>
    <w:rsid w:val="00415649"/>
    <w:rsid w:val="0042565E"/>
    <w:rsid w:val="00426289"/>
    <w:rsid w:val="00432C05"/>
    <w:rsid w:val="00440379"/>
    <w:rsid w:val="00441393"/>
    <w:rsid w:val="00447CF0"/>
    <w:rsid w:val="00456F10"/>
    <w:rsid w:val="00463B48"/>
    <w:rsid w:val="0046464D"/>
    <w:rsid w:val="00474746"/>
    <w:rsid w:val="00476942"/>
    <w:rsid w:val="00477D62"/>
    <w:rsid w:val="00481C27"/>
    <w:rsid w:val="004871A2"/>
    <w:rsid w:val="004908B8"/>
    <w:rsid w:val="00490C14"/>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109C8"/>
    <w:rsid w:val="00523666"/>
    <w:rsid w:val="00525922"/>
    <w:rsid w:val="00526234"/>
    <w:rsid w:val="00534F34"/>
    <w:rsid w:val="0053692E"/>
    <w:rsid w:val="005378A6"/>
    <w:rsid w:val="00540D36"/>
    <w:rsid w:val="00541ED1"/>
    <w:rsid w:val="00547837"/>
    <w:rsid w:val="00557434"/>
    <w:rsid w:val="005805D2"/>
    <w:rsid w:val="00581239"/>
    <w:rsid w:val="00581774"/>
    <w:rsid w:val="00586C48"/>
    <w:rsid w:val="00592325"/>
    <w:rsid w:val="00595415"/>
    <w:rsid w:val="00597652"/>
    <w:rsid w:val="005A0703"/>
    <w:rsid w:val="005A080B"/>
    <w:rsid w:val="005B12A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306D9"/>
    <w:rsid w:val="00634A78"/>
    <w:rsid w:val="00641794"/>
    <w:rsid w:val="00642025"/>
    <w:rsid w:val="00644548"/>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0797"/>
    <w:rsid w:val="00693160"/>
    <w:rsid w:val="00693B1F"/>
    <w:rsid w:val="00695656"/>
    <w:rsid w:val="006975A8"/>
    <w:rsid w:val="006A1012"/>
    <w:rsid w:val="006C1376"/>
    <w:rsid w:val="006C2635"/>
    <w:rsid w:val="006C2E61"/>
    <w:rsid w:val="006C3D69"/>
    <w:rsid w:val="006C48F9"/>
    <w:rsid w:val="006E0E7D"/>
    <w:rsid w:val="006E10BF"/>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86B"/>
    <w:rsid w:val="00785A39"/>
    <w:rsid w:val="00787D8A"/>
    <w:rsid w:val="00790277"/>
    <w:rsid w:val="007908A5"/>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5532"/>
    <w:rsid w:val="00867686"/>
    <w:rsid w:val="008737D3"/>
    <w:rsid w:val="008747E0"/>
    <w:rsid w:val="00876841"/>
    <w:rsid w:val="0088173E"/>
    <w:rsid w:val="00882B3C"/>
    <w:rsid w:val="00886C21"/>
    <w:rsid w:val="0088783D"/>
    <w:rsid w:val="008972C3"/>
    <w:rsid w:val="008A28D9"/>
    <w:rsid w:val="008A30BA"/>
    <w:rsid w:val="008A52DC"/>
    <w:rsid w:val="008A5435"/>
    <w:rsid w:val="008B62E0"/>
    <w:rsid w:val="008B7F77"/>
    <w:rsid w:val="008C33B5"/>
    <w:rsid w:val="008C3A72"/>
    <w:rsid w:val="008C6969"/>
    <w:rsid w:val="008D446B"/>
    <w:rsid w:val="008D45D2"/>
    <w:rsid w:val="008D5CCD"/>
    <w:rsid w:val="008E1F69"/>
    <w:rsid w:val="008E76B1"/>
    <w:rsid w:val="008F38BB"/>
    <w:rsid w:val="008F57D8"/>
    <w:rsid w:val="00902834"/>
    <w:rsid w:val="00913056"/>
    <w:rsid w:val="00914E26"/>
    <w:rsid w:val="0091590F"/>
    <w:rsid w:val="0091762B"/>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1D3F"/>
    <w:rsid w:val="009B372E"/>
    <w:rsid w:val="009B5023"/>
    <w:rsid w:val="009B785E"/>
    <w:rsid w:val="009C26F8"/>
    <w:rsid w:val="009C387B"/>
    <w:rsid w:val="009C609E"/>
    <w:rsid w:val="009D25B8"/>
    <w:rsid w:val="009D26AB"/>
    <w:rsid w:val="009D6B98"/>
    <w:rsid w:val="009E16EC"/>
    <w:rsid w:val="009E433C"/>
    <w:rsid w:val="009E4A4D"/>
    <w:rsid w:val="009E6578"/>
    <w:rsid w:val="009F081F"/>
    <w:rsid w:val="009F1F5D"/>
    <w:rsid w:val="00A06A0E"/>
    <w:rsid w:val="00A06A3D"/>
    <w:rsid w:val="00A10EBA"/>
    <w:rsid w:val="00A11F28"/>
    <w:rsid w:val="00A13E56"/>
    <w:rsid w:val="00A179F2"/>
    <w:rsid w:val="00A227BF"/>
    <w:rsid w:val="00A24838"/>
    <w:rsid w:val="00A2743E"/>
    <w:rsid w:val="00A3074A"/>
    <w:rsid w:val="00A30C33"/>
    <w:rsid w:val="00A32EA4"/>
    <w:rsid w:val="00A41139"/>
    <w:rsid w:val="00A41B4C"/>
    <w:rsid w:val="00A4308C"/>
    <w:rsid w:val="00A44836"/>
    <w:rsid w:val="00A524B5"/>
    <w:rsid w:val="00A549B3"/>
    <w:rsid w:val="00A56184"/>
    <w:rsid w:val="00A67954"/>
    <w:rsid w:val="00A72ED7"/>
    <w:rsid w:val="00A8083F"/>
    <w:rsid w:val="00A90D86"/>
    <w:rsid w:val="00A91DBA"/>
    <w:rsid w:val="00A97900"/>
    <w:rsid w:val="00AA1B91"/>
    <w:rsid w:val="00AA1D7A"/>
    <w:rsid w:val="00AA3E01"/>
    <w:rsid w:val="00AB0BFA"/>
    <w:rsid w:val="00AB76B7"/>
    <w:rsid w:val="00AC33A2"/>
    <w:rsid w:val="00AD38F7"/>
    <w:rsid w:val="00AD47C0"/>
    <w:rsid w:val="00AE65F1"/>
    <w:rsid w:val="00AE6BB4"/>
    <w:rsid w:val="00AE74AD"/>
    <w:rsid w:val="00AF159C"/>
    <w:rsid w:val="00B01873"/>
    <w:rsid w:val="00B074AB"/>
    <w:rsid w:val="00B07717"/>
    <w:rsid w:val="00B16334"/>
    <w:rsid w:val="00B17253"/>
    <w:rsid w:val="00B2427A"/>
    <w:rsid w:val="00B250D6"/>
    <w:rsid w:val="00B2583D"/>
    <w:rsid w:val="00B31A41"/>
    <w:rsid w:val="00B40199"/>
    <w:rsid w:val="00B502FF"/>
    <w:rsid w:val="00B50B90"/>
    <w:rsid w:val="00B50E28"/>
    <w:rsid w:val="00B55ACF"/>
    <w:rsid w:val="00B6066D"/>
    <w:rsid w:val="00B6367C"/>
    <w:rsid w:val="00B643DF"/>
    <w:rsid w:val="00B65300"/>
    <w:rsid w:val="00B658B7"/>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0C"/>
    <w:rsid w:val="00BD1587"/>
    <w:rsid w:val="00BD6A20"/>
    <w:rsid w:val="00BD7EE1"/>
    <w:rsid w:val="00BE5568"/>
    <w:rsid w:val="00BE5764"/>
    <w:rsid w:val="00BF1358"/>
    <w:rsid w:val="00C0106D"/>
    <w:rsid w:val="00C133BE"/>
    <w:rsid w:val="00C1400A"/>
    <w:rsid w:val="00C16508"/>
    <w:rsid w:val="00C222B4"/>
    <w:rsid w:val="00C262E4"/>
    <w:rsid w:val="00C33E20"/>
    <w:rsid w:val="00C35CF6"/>
    <w:rsid w:val="00C3725B"/>
    <w:rsid w:val="00C473B5"/>
    <w:rsid w:val="00C522BE"/>
    <w:rsid w:val="00C52413"/>
    <w:rsid w:val="00C533EC"/>
    <w:rsid w:val="00C5470E"/>
    <w:rsid w:val="00C55EFB"/>
    <w:rsid w:val="00C56585"/>
    <w:rsid w:val="00C56B3F"/>
    <w:rsid w:val="00C6083D"/>
    <w:rsid w:val="00C65492"/>
    <w:rsid w:val="00C65C4C"/>
    <w:rsid w:val="00C67C67"/>
    <w:rsid w:val="00C7022C"/>
    <w:rsid w:val="00C71032"/>
    <w:rsid w:val="00C716E5"/>
    <w:rsid w:val="00C773D9"/>
    <w:rsid w:val="00C80307"/>
    <w:rsid w:val="00C80ACE"/>
    <w:rsid w:val="00C81162"/>
    <w:rsid w:val="00C8296C"/>
    <w:rsid w:val="00C82EC7"/>
    <w:rsid w:val="00C83258"/>
    <w:rsid w:val="00C83666"/>
    <w:rsid w:val="00C843AC"/>
    <w:rsid w:val="00C870B5"/>
    <w:rsid w:val="00C907DF"/>
    <w:rsid w:val="00C91630"/>
    <w:rsid w:val="00C9558A"/>
    <w:rsid w:val="00C966EB"/>
    <w:rsid w:val="00CA04B1"/>
    <w:rsid w:val="00CA2CD3"/>
    <w:rsid w:val="00CA2DFC"/>
    <w:rsid w:val="00CA4EC9"/>
    <w:rsid w:val="00CA6B2D"/>
    <w:rsid w:val="00CB03D4"/>
    <w:rsid w:val="00CB0617"/>
    <w:rsid w:val="00CB137B"/>
    <w:rsid w:val="00CB59F3"/>
    <w:rsid w:val="00CC35EF"/>
    <w:rsid w:val="00CC5048"/>
    <w:rsid w:val="00CC6246"/>
    <w:rsid w:val="00CE5E46"/>
    <w:rsid w:val="00CF49CC"/>
    <w:rsid w:val="00D04F0B"/>
    <w:rsid w:val="00D10602"/>
    <w:rsid w:val="00D1463A"/>
    <w:rsid w:val="00D252C9"/>
    <w:rsid w:val="00D25B10"/>
    <w:rsid w:val="00D270FA"/>
    <w:rsid w:val="00D2726D"/>
    <w:rsid w:val="00D32DDF"/>
    <w:rsid w:val="00D36206"/>
    <w:rsid w:val="00D3700C"/>
    <w:rsid w:val="00D41940"/>
    <w:rsid w:val="00D51020"/>
    <w:rsid w:val="00D518DB"/>
    <w:rsid w:val="00D603BF"/>
    <w:rsid w:val="00D638E0"/>
    <w:rsid w:val="00D653B1"/>
    <w:rsid w:val="00D74AE1"/>
    <w:rsid w:val="00D75D42"/>
    <w:rsid w:val="00D80B20"/>
    <w:rsid w:val="00D85BC5"/>
    <w:rsid w:val="00D865A8"/>
    <w:rsid w:val="00D9012A"/>
    <w:rsid w:val="00D92C2D"/>
    <w:rsid w:val="00D9361E"/>
    <w:rsid w:val="00D94F38"/>
    <w:rsid w:val="00DA17CD"/>
    <w:rsid w:val="00DA762E"/>
    <w:rsid w:val="00DB25B3"/>
    <w:rsid w:val="00DC1C10"/>
    <w:rsid w:val="00DC6F92"/>
    <w:rsid w:val="00DD60F2"/>
    <w:rsid w:val="00DE0893"/>
    <w:rsid w:val="00DE2814"/>
    <w:rsid w:val="00DE6796"/>
    <w:rsid w:val="00DF41B2"/>
    <w:rsid w:val="00DF76E9"/>
    <w:rsid w:val="00E01272"/>
    <w:rsid w:val="00E03067"/>
    <w:rsid w:val="00E03846"/>
    <w:rsid w:val="00E03A07"/>
    <w:rsid w:val="00E10BDB"/>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1078D"/>
    <w:rsid w:val="00F11368"/>
    <w:rsid w:val="00F11764"/>
    <w:rsid w:val="00F157E2"/>
    <w:rsid w:val="00F16C7D"/>
    <w:rsid w:val="00F259E2"/>
    <w:rsid w:val="00F40DC3"/>
    <w:rsid w:val="00F41F0B"/>
    <w:rsid w:val="00F50222"/>
    <w:rsid w:val="00F527AC"/>
    <w:rsid w:val="00F5503F"/>
    <w:rsid w:val="00F55AD7"/>
    <w:rsid w:val="00F61D83"/>
    <w:rsid w:val="00F65CB6"/>
    <w:rsid w:val="00F65DD1"/>
    <w:rsid w:val="00F707B3"/>
    <w:rsid w:val="00F71135"/>
    <w:rsid w:val="00F730DC"/>
    <w:rsid w:val="00F74309"/>
    <w:rsid w:val="00F82C35"/>
    <w:rsid w:val="00F90461"/>
    <w:rsid w:val="00FA370D"/>
    <w:rsid w:val="00FA5F89"/>
    <w:rsid w:val="00FA66F1"/>
    <w:rsid w:val="00FB5647"/>
    <w:rsid w:val="00FC378B"/>
    <w:rsid w:val="00FC3977"/>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41B4C"/>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41B4C"/>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75AD-1BC8-43D2-8043-2B2D9B36D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7782E4-85F2-47E1-8838-495E6363BC69}">
  <ds:schemaRef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06022411-6e02-423b-85fd-39e0748b9219"/>
    <ds:schemaRef ds:uri="ac5f8115-f13f-4d01-aff4-515a67108c3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D79A973-3B70-4757-A0D0-45F0E5F7A657}">
  <ds:schemaRefs>
    <ds:schemaRef ds:uri="http://schemas.microsoft.com/sharepoint/v3/contenttype/forms"/>
  </ds:schemaRefs>
</ds:datastoreItem>
</file>

<file path=customXml/itemProps4.xml><?xml version="1.0" encoding="utf-8"?>
<ds:datastoreItem xmlns:ds="http://schemas.openxmlformats.org/officeDocument/2006/customXml" ds:itemID="{7EA5A4D5-169F-4243-98DE-90A88B981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1367</Words>
  <Characters>7792</Characters>
  <Application>Microsoft Office Word</Application>
  <DocSecurity>0</DocSecurity>
  <Lines>64</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Jaime Alvarez</cp:lastModifiedBy>
  <cp:revision>7</cp:revision>
  <cp:lastPrinted>2016-11-29T10:20:00Z</cp:lastPrinted>
  <dcterms:created xsi:type="dcterms:W3CDTF">2019-10-09T15:26:00Z</dcterms:created>
  <dcterms:modified xsi:type="dcterms:W3CDTF">2020-09-09T09:23:00Z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14549000</vt:r8>
  </property>
</Properties>
</file>