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3489" w:rsidRDefault="00763489" w:rsidP="00763489">
      <w:pPr>
        <w:pStyle w:val="NormalWeb"/>
        <w:spacing w:before="0" w:beforeAutospacing="0" w:after="120" w:afterAutospacing="0"/>
        <w:jc w:val="both"/>
        <w:rPr>
          <w:rFonts w:ascii="Arial" w:hAnsi="Arial" w:cs="Arial"/>
          <w:color w:val="000000"/>
          <w:sz w:val="22"/>
          <w:szCs w:val="22"/>
        </w:rPr>
      </w:pPr>
    </w:p>
    <w:p w:rsidR="00763489" w:rsidRDefault="00763489" w:rsidP="00763489">
      <w:pPr>
        <w:pStyle w:val="NormalWeb"/>
        <w:spacing w:before="0" w:beforeAutospacing="0" w:after="120" w:afterAutospacing="0"/>
        <w:jc w:val="both"/>
        <w:rPr>
          <w:rFonts w:ascii="Arial" w:hAnsi="Arial" w:cs="Arial"/>
          <w:color w:val="000000"/>
          <w:sz w:val="22"/>
          <w:szCs w:val="22"/>
        </w:rPr>
      </w:pPr>
      <w:r>
        <w:rPr>
          <w:rFonts w:ascii="Arial" w:hAnsi="Arial" w:cs="Arial"/>
          <w:color w:val="000000"/>
          <w:sz w:val="22"/>
          <w:szCs w:val="22"/>
        </w:rPr>
        <w:t>PAP </w:t>
      </w:r>
      <w:r w:rsidR="00144F12">
        <w:rPr>
          <w:rFonts w:ascii="Arial" w:hAnsi="Arial" w:cs="Arial"/>
          <w:color w:val="000000"/>
          <w:sz w:val="22"/>
          <w:szCs w:val="22"/>
        </w:rPr>
        <w:t>27-5.1.3</w:t>
      </w:r>
      <w:bookmarkStart w:id="0" w:name="_GoBack"/>
      <w:bookmarkEnd w:id="0"/>
    </w:p>
    <w:p w:rsidR="00763489" w:rsidRDefault="00763489" w:rsidP="00763489">
      <w:pPr>
        <w:pStyle w:val="NormalWeb"/>
        <w:spacing w:before="0" w:beforeAutospacing="0" w:after="120" w:afterAutospacing="0"/>
        <w:jc w:val="both"/>
        <w:rPr>
          <w:rFonts w:ascii="Arial" w:hAnsi="Arial" w:cs="Arial"/>
          <w:color w:val="000000"/>
          <w:sz w:val="22"/>
          <w:szCs w:val="22"/>
        </w:rPr>
      </w:pPr>
      <w:r>
        <w:rPr>
          <w:rFonts w:ascii="Arial" w:hAnsi="Arial" w:cs="Arial"/>
          <w:color w:val="000000"/>
          <w:sz w:val="22"/>
          <w:szCs w:val="22"/>
        </w:rPr>
        <w:t>Agenda item 5.1</w:t>
      </w:r>
      <w:r w:rsidR="00EC71CD">
        <w:rPr>
          <w:rFonts w:ascii="Arial" w:hAnsi="Arial" w:cs="Arial"/>
          <w:color w:val="000000"/>
          <w:sz w:val="22"/>
          <w:szCs w:val="22"/>
        </w:rPr>
        <w:t xml:space="preserve"> </w:t>
      </w:r>
    </w:p>
    <w:p w:rsidR="00763489" w:rsidRDefault="00763489" w:rsidP="00763489">
      <w:pPr>
        <w:pStyle w:val="NormalWeb"/>
        <w:spacing w:before="0" w:beforeAutospacing="0" w:after="120" w:afterAutospacing="0"/>
        <w:jc w:val="both"/>
        <w:rPr>
          <w:rFonts w:ascii="Arial" w:hAnsi="Arial" w:cs="Arial"/>
          <w:color w:val="000000"/>
          <w:sz w:val="22"/>
          <w:szCs w:val="22"/>
        </w:rPr>
      </w:pPr>
      <w:r>
        <w:rPr>
          <w:rFonts w:ascii="Arial" w:hAnsi="Arial" w:cs="Arial"/>
          <w:color w:val="000000"/>
          <w:sz w:val="22"/>
          <w:szCs w:val="22"/>
        </w:rPr>
        <w:t>Task Number – Not applicable</w:t>
      </w:r>
    </w:p>
    <w:p w:rsidR="00763489" w:rsidRDefault="00763489" w:rsidP="00763489">
      <w:pPr>
        <w:pStyle w:val="NormalWeb"/>
        <w:spacing w:before="0" w:beforeAutospacing="0" w:after="120" w:afterAutospacing="0"/>
        <w:jc w:val="both"/>
        <w:rPr>
          <w:rFonts w:ascii="Arial" w:hAnsi="Arial" w:cs="Arial"/>
          <w:color w:val="000000"/>
          <w:sz w:val="22"/>
          <w:szCs w:val="22"/>
        </w:rPr>
      </w:pPr>
      <w:r>
        <w:rPr>
          <w:rFonts w:ascii="Arial" w:hAnsi="Arial" w:cs="Arial"/>
          <w:color w:val="000000"/>
          <w:sz w:val="22"/>
          <w:szCs w:val="22"/>
        </w:rPr>
        <w:t xml:space="preserve">Author(s) Mahesh Alimchandani, Gerry Brine, David Jeffkins, Neil Trainor </w:t>
      </w:r>
    </w:p>
    <w:p w:rsidR="00763489" w:rsidRDefault="00763489" w:rsidP="00763489">
      <w:pPr>
        <w:pStyle w:val="NormalWeb"/>
        <w:spacing w:before="120" w:beforeAutospacing="0" w:after="240" w:afterAutospacing="0"/>
        <w:jc w:val="center"/>
        <w:rPr>
          <w:rFonts w:ascii="Arial" w:hAnsi="Arial" w:cs="Arial"/>
          <w:b/>
          <w:bCs/>
          <w:color w:val="000000"/>
          <w:sz w:val="32"/>
          <w:szCs w:val="32"/>
        </w:rPr>
      </w:pPr>
    </w:p>
    <w:p w:rsidR="00763489" w:rsidRPr="00763489" w:rsidRDefault="00763489" w:rsidP="00763489">
      <w:pPr>
        <w:pStyle w:val="NormalWeb"/>
        <w:spacing w:before="120" w:beforeAutospacing="0" w:after="240" w:afterAutospacing="0"/>
        <w:jc w:val="center"/>
        <w:rPr>
          <w:rFonts w:ascii="Arial" w:hAnsi="Arial" w:cs="Arial"/>
          <w:b/>
          <w:bCs/>
          <w:color w:val="000000"/>
          <w:sz w:val="32"/>
          <w:szCs w:val="32"/>
        </w:rPr>
      </w:pPr>
      <w:r w:rsidRPr="00763489">
        <w:rPr>
          <w:rFonts w:ascii="Arial" w:hAnsi="Arial" w:cs="Arial"/>
          <w:b/>
          <w:bCs/>
          <w:color w:val="000000"/>
          <w:sz w:val="32"/>
          <w:szCs w:val="32"/>
        </w:rPr>
        <w:t>IALA Documentation</w:t>
      </w:r>
    </w:p>
    <w:p w:rsidR="002666F3" w:rsidRPr="002666F3" w:rsidRDefault="002666F3" w:rsidP="00A03286">
      <w:pPr>
        <w:spacing w:before="120" w:after="120" w:line="240" w:lineRule="auto"/>
        <w:jc w:val="both"/>
        <w:rPr>
          <w:b/>
        </w:rPr>
      </w:pPr>
      <w:r w:rsidRPr="002666F3">
        <w:rPr>
          <w:b/>
        </w:rPr>
        <w:t>Introduction</w:t>
      </w:r>
    </w:p>
    <w:p w:rsidR="002666F3" w:rsidRDefault="002666F3" w:rsidP="00A03286">
      <w:pPr>
        <w:spacing w:before="120" w:after="120" w:line="240" w:lineRule="auto"/>
        <w:jc w:val="both"/>
      </w:pPr>
      <w:r>
        <w:t xml:space="preserve">The purpose of this paper is to document and communicate </w:t>
      </w:r>
      <w:r w:rsidR="004D6B13">
        <w:t xml:space="preserve">a number of </w:t>
      </w:r>
      <w:r w:rsidR="00775348">
        <w:t xml:space="preserve">potential </w:t>
      </w:r>
      <w:r w:rsidR="004D6B13">
        <w:t xml:space="preserve">opportunities for improvement </w:t>
      </w:r>
      <w:r>
        <w:t xml:space="preserve">with IALA documentation.  </w:t>
      </w:r>
      <w:r w:rsidR="00902425">
        <w:t xml:space="preserve">Specifically, </w:t>
      </w:r>
      <w:r w:rsidR="00AF0CC5">
        <w:t>the</w:t>
      </w:r>
      <w:r w:rsidR="004D6B13">
        <w:t>se</w:t>
      </w:r>
      <w:r w:rsidR="00AF0CC5">
        <w:t xml:space="preserve"> </w:t>
      </w:r>
      <w:r w:rsidR="00A03286">
        <w:t>relate to</w:t>
      </w:r>
      <w:r>
        <w:t>:</w:t>
      </w:r>
    </w:p>
    <w:p w:rsidR="002666F3" w:rsidRDefault="00E81D75" w:rsidP="00A03286">
      <w:pPr>
        <w:pStyle w:val="ListParagraph"/>
        <w:numPr>
          <w:ilvl w:val="0"/>
          <w:numId w:val="4"/>
        </w:numPr>
        <w:spacing w:before="120" w:after="120" w:line="240" w:lineRule="auto"/>
        <w:contextualSpacing w:val="0"/>
        <w:jc w:val="both"/>
      </w:pPr>
      <w:r>
        <w:t>C</w:t>
      </w:r>
      <w:r w:rsidRPr="00E81D75">
        <w:t>ategorisation of Recommendations</w:t>
      </w:r>
      <w:r w:rsidR="004D6B13">
        <w:t xml:space="preserve">, </w:t>
      </w:r>
      <w:r w:rsidRPr="00E81D75">
        <w:t xml:space="preserve">Guidelines </w:t>
      </w:r>
      <w:r w:rsidR="002666F3" w:rsidRPr="002666F3">
        <w:t>and other documents</w:t>
      </w:r>
      <w:r w:rsidR="002666F3">
        <w:t>;</w:t>
      </w:r>
    </w:p>
    <w:p w:rsidR="00E81D75" w:rsidRDefault="00E81D75" w:rsidP="00A03286">
      <w:pPr>
        <w:pStyle w:val="ListParagraph"/>
        <w:numPr>
          <w:ilvl w:val="0"/>
          <w:numId w:val="4"/>
        </w:numPr>
        <w:spacing w:before="120" w:after="120" w:line="240" w:lineRule="auto"/>
        <w:contextualSpacing w:val="0"/>
        <w:jc w:val="both"/>
      </w:pPr>
      <w:r w:rsidRPr="00E81D75">
        <w:t>Currency / Maintenance of Manuals</w:t>
      </w:r>
      <w:r w:rsidR="004D6B13">
        <w:t>; and</w:t>
      </w:r>
    </w:p>
    <w:p w:rsidR="004D6B13" w:rsidRDefault="004D6B13" w:rsidP="00A03286">
      <w:pPr>
        <w:pStyle w:val="ListParagraph"/>
        <w:numPr>
          <w:ilvl w:val="0"/>
          <w:numId w:val="4"/>
        </w:numPr>
        <w:spacing w:before="120" w:after="120" w:line="240" w:lineRule="auto"/>
        <w:contextualSpacing w:val="0"/>
        <w:jc w:val="both"/>
      </w:pPr>
      <w:r>
        <w:t>Committee Reports.</w:t>
      </w:r>
    </w:p>
    <w:p w:rsidR="004D6B13" w:rsidRPr="00E81D75" w:rsidRDefault="004D6B13" w:rsidP="00A03286">
      <w:pPr>
        <w:pStyle w:val="ListParagraph"/>
        <w:spacing w:before="120" w:after="120" w:line="240" w:lineRule="auto"/>
        <w:contextualSpacing w:val="0"/>
      </w:pPr>
    </w:p>
    <w:p w:rsidR="00775348" w:rsidRPr="005C430D" w:rsidRDefault="00A87043" w:rsidP="00A03286">
      <w:pPr>
        <w:pStyle w:val="ListParagraph"/>
        <w:numPr>
          <w:ilvl w:val="0"/>
          <w:numId w:val="2"/>
        </w:numPr>
        <w:spacing w:before="120" w:after="120" w:line="240" w:lineRule="auto"/>
        <w:contextualSpacing w:val="0"/>
        <w:jc w:val="both"/>
        <w:rPr>
          <w:b/>
        </w:rPr>
      </w:pPr>
      <w:r w:rsidRPr="005C430D">
        <w:rPr>
          <w:b/>
        </w:rPr>
        <w:t>Recommendation</w:t>
      </w:r>
      <w:r w:rsidR="00074164">
        <w:rPr>
          <w:b/>
        </w:rPr>
        <w:t>s</w:t>
      </w:r>
      <w:r w:rsidR="004D6FE9">
        <w:rPr>
          <w:b/>
        </w:rPr>
        <w:t xml:space="preserve">, </w:t>
      </w:r>
      <w:r w:rsidRPr="005C430D">
        <w:rPr>
          <w:b/>
        </w:rPr>
        <w:t>Guidelines</w:t>
      </w:r>
      <w:r w:rsidR="004D6FE9">
        <w:rPr>
          <w:b/>
        </w:rPr>
        <w:t xml:space="preserve"> and other documents</w:t>
      </w:r>
    </w:p>
    <w:p w:rsidR="00074164" w:rsidRDefault="00074164" w:rsidP="00A03286">
      <w:pPr>
        <w:spacing w:before="120" w:after="120" w:line="240" w:lineRule="auto"/>
        <w:jc w:val="both"/>
      </w:pPr>
      <w:r>
        <w:t xml:space="preserve">Two </w:t>
      </w:r>
      <w:r w:rsidR="004D6B13">
        <w:t xml:space="preserve">opportunities for improvement </w:t>
      </w:r>
      <w:r>
        <w:t>have been identified. These are:</w:t>
      </w:r>
    </w:p>
    <w:p w:rsidR="006B3FF6" w:rsidRDefault="00A03286" w:rsidP="00A03286">
      <w:pPr>
        <w:pStyle w:val="ListParagraph"/>
        <w:numPr>
          <w:ilvl w:val="0"/>
          <w:numId w:val="3"/>
        </w:numPr>
        <w:spacing w:before="120" w:after="120" w:line="240" w:lineRule="auto"/>
        <w:ind w:left="714" w:hanging="357"/>
        <w:contextualSpacing w:val="0"/>
        <w:jc w:val="both"/>
      </w:pPr>
      <w:r>
        <w:rPr>
          <w:u w:val="single"/>
        </w:rPr>
        <w:t xml:space="preserve">Appropriate choice of category </w:t>
      </w:r>
      <w:r w:rsidR="003A57F2">
        <w:rPr>
          <w:u w:val="single"/>
        </w:rPr>
        <w:t xml:space="preserve">of guidance </w:t>
      </w:r>
      <w:r>
        <w:rPr>
          <w:u w:val="single"/>
        </w:rPr>
        <w:t>– recommendation or g</w:t>
      </w:r>
      <w:r w:rsidR="004D6FE9">
        <w:rPr>
          <w:u w:val="single"/>
        </w:rPr>
        <w:t>uideline</w:t>
      </w:r>
      <w:r>
        <w:t xml:space="preserve">:  It has been </w:t>
      </w:r>
      <w:r w:rsidR="006B3FF6" w:rsidRPr="00A03286">
        <w:t>observed</w:t>
      </w:r>
      <w:r w:rsidR="006B3FF6">
        <w:t xml:space="preserve"> that the distinction between Recommendations and Guidelines is becoming increasingly blurred.  This </w:t>
      </w:r>
      <w:r w:rsidR="004D6B13">
        <w:t xml:space="preserve">may be </w:t>
      </w:r>
      <w:r w:rsidR="00E20BCC">
        <w:t>because</w:t>
      </w:r>
      <w:r w:rsidR="006B3FF6">
        <w:t xml:space="preserve"> </w:t>
      </w:r>
      <w:r w:rsidR="00AF0CC5">
        <w:t xml:space="preserve">of </w:t>
      </w:r>
      <w:r w:rsidR="00F230BD">
        <w:t xml:space="preserve">a lack of understanding </w:t>
      </w:r>
      <w:r>
        <w:t xml:space="preserve">(by the committees) </w:t>
      </w:r>
      <w:r w:rsidR="00F230BD">
        <w:t xml:space="preserve">of the criteria </w:t>
      </w:r>
      <w:r w:rsidR="005C7BA8">
        <w:t xml:space="preserve">for </w:t>
      </w:r>
      <w:r>
        <w:t>each</w:t>
      </w:r>
      <w:r w:rsidR="00AF0CC5">
        <w:t xml:space="preserve"> </w:t>
      </w:r>
      <w:r w:rsidR="00F230BD">
        <w:t>and</w:t>
      </w:r>
      <w:r>
        <w:t>/or</w:t>
      </w:r>
      <w:r w:rsidR="00F230BD">
        <w:t xml:space="preserve"> the ‘rules’ not</w:t>
      </w:r>
      <w:r>
        <w:t xml:space="preserve"> being </w:t>
      </w:r>
      <w:r w:rsidR="007637D8">
        <w:t>applied</w:t>
      </w:r>
      <w:r w:rsidR="00F230BD">
        <w:t xml:space="preserve"> </w:t>
      </w:r>
      <w:r>
        <w:t xml:space="preserve">consistently </w:t>
      </w:r>
      <w:r w:rsidR="00F230BD">
        <w:t xml:space="preserve">by </w:t>
      </w:r>
      <w:r>
        <w:t>the</w:t>
      </w:r>
      <w:r w:rsidR="00656FED">
        <w:t>m</w:t>
      </w:r>
      <w:r w:rsidR="006B3FF6">
        <w:t>.</w:t>
      </w:r>
    </w:p>
    <w:p w:rsidR="00074164" w:rsidRDefault="00074164" w:rsidP="00A03286">
      <w:pPr>
        <w:spacing w:before="120" w:after="120" w:line="240" w:lineRule="auto"/>
        <w:ind w:left="714"/>
        <w:jc w:val="both"/>
      </w:pPr>
      <w:r>
        <w:t xml:space="preserve">This has resulted in a situation </w:t>
      </w:r>
      <w:r w:rsidR="00A03286">
        <w:t xml:space="preserve">where </w:t>
      </w:r>
      <w:r w:rsidR="004D6FE9">
        <w:t xml:space="preserve">some </w:t>
      </w:r>
      <w:r w:rsidR="007637D8">
        <w:t xml:space="preserve">guidance </w:t>
      </w:r>
      <w:r w:rsidR="004D6FE9">
        <w:t xml:space="preserve">documents currently </w:t>
      </w:r>
      <w:r w:rsidR="007637D8">
        <w:t xml:space="preserve">cast </w:t>
      </w:r>
      <w:r w:rsidR="00A03286">
        <w:t xml:space="preserve">as </w:t>
      </w:r>
      <w:r w:rsidR="004D6FE9">
        <w:t>Recommendation</w:t>
      </w:r>
      <w:r w:rsidR="007637D8">
        <w:t>s</w:t>
      </w:r>
      <w:r w:rsidR="004D6FE9">
        <w:t xml:space="preserve"> </w:t>
      </w:r>
      <w:r w:rsidR="00A03286">
        <w:t xml:space="preserve">would be more appropriate as </w:t>
      </w:r>
      <w:r w:rsidR="004D6FE9">
        <w:t xml:space="preserve">a </w:t>
      </w:r>
      <w:r w:rsidR="00A03286">
        <w:t>G</w:t>
      </w:r>
      <w:r w:rsidR="007637D8">
        <w:t>uideline</w:t>
      </w:r>
      <w:r w:rsidR="00A03286">
        <w:t xml:space="preserve"> - </w:t>
      </w:r>
      <w:r w:rsidR="004D6FE9">
        <w:t xml:space="preserve">and vice versa.  </w:t>
      </w:r>
      <w:r w:rsidR="00A03286">
        <w:t>A</w:t>
      </w:r>
      <w:r w:rsidR="003A57F2">
        <w:t xml:space="preserve">s an example, </w:t>
      </w:r>
      <w:r w:rsidR="00656FED">
        <w:t>in some cases,</w:t>
      </w:r>
      <w:r>
        <w:t xml:space="preserve"> </w:t>
      </w:r>
      <w:r w:rsidR="00656FED">
        <w:t xml:space="preserve">detailed </w:t>
      </w:r>
      <w:r>
        <w:t xml:space="preserve">technical </w:t>
      </w:r>
      <w:r w:rsidR="00A03286">
        <w:t>information (</w:t>
      </w:r>
      <w:r w:rsidR="005E24B3">
        <w:t xml:space="preserve">which </w:t>
      </w:r>
      <w:r w:rsidR="00656FED">
        <w:t xml:space="preserve">is </w:t>
      </w:r>
      <w:r w:rsidR="005E24B3">
        <w:t xml:space="preserve">clearly </w:t>
      </w:r>
      <w:r w:rsidR="005C7BA8">
        <w:t xml:space="preserve">guidance on </w:t>
      </w:r>
      <w:r w:rsidR="005E24B3">
        <w:t>best practice</w:t>
      </w:r>
      <w:r w:rsidR="00A03286">
        <w:t>)</w:t>
      </w:r>
      <w:r w:rsidR="003A57F2">
        <w:t xml:space="preserve"> </w:t>
      </w:r>
      <w:r w:rsidR="00656FED">
        <w:t xml:space="preserve">has been presented as </w:t>
      </w:r>
      <w:r>
        <w:t xml:space="preserve">a Recommendation.  </w:t>
      </w:r>
    </w:p>
    <w:p w:rsidR="00074164" w:rsidRDefault="00A03286" w:rsidP="00A03286">
      <w:pPr>
        <w:pStyle w:val="ListParagraph"/>
        <w:numPr>
          <w:ilvl w:val="0"/>
          <w:numId w:val="3"/>
        </w:numPr>
        <w:spacing w:before="120" w:after="120" w:line="240" w:lineRule="auto"/>
        <w:contextualSpacing w:val="0"/>
        <w:jc w:val="both"/>
      </w:pPr>
      <w:r>
        <w:rPr>
          <w:u w:val="single"/>
        </w:rPr>
        <w:t>Ad-</w:t>
      </w:r>
      <w:r w:rsidR="00E133FA">
        <w:rPr>
          <w:u w:val="single"/>
        </w:rPr>
        <w:t>hoc</w:t>
      </w:r>
      <w:r>
        <w:rPr>
          <w:u w:val="single"/>
        </w:rPr>
        <w:t xml:space="preserve"> do</w:t>
      </w:r>
      <w:r w:rsidR="002666F3" w:rsidRPr="002666F3">
        <w:rPr>
          <w:u w:val="single"/>
        </w:rPr>
        <w:t>cuments (</w:t>
      </w:r>
      <w:proofErr w:type="spellStart"/>
      <w:r w:rsidR="00656FED">
        <w:rPr>
          <w:u w:val="single"/>
        </w:rPr>
        <w:t>e.g</w:t>
      </w:r>
      <w:proofErr w:type="spellEnd"/>
      <w:r w:rsidR="00656FED">
        <w:rPr>
          <w:u w:val="single"/>
        </w:rPr>
        <w:t xml:space="preserve"> </w:t>
      </w:r>
      <w:r w:rsidR="002666F3" w:rsidRPr="002666F3">
        <w:rPr>
          <w:u w:val="single"/>
        </w:rPr>
        <w:t>Brochures)</w:t>
      </w:r>
      <w:r>
        <w:rPr>
          <w:u w:val="single"/>
        </w:rPr>
        <w:t>:</w:t>
      </w:r>
      <w:r w:rsidRPr="00A03286">
        <w:t xml:space="preserve">  </w:t>
      </w:r>
      <w:r w:rsidR="00E133FA">
        <w:t>Th</w:t>
      </w:r>
      <w:r w:rsidR="00F230BD">
        <w:t>e</w:t>
      </w:r>
      <w:r w:rsidR="007A655A">
        <w:t xml:space="preserve">re </w:t>
      </w:r>
      <w:r w:rsidR="00B56E0F">
        <w:t xml:space="preserve">is growing variety </w:t>
      </w:r>
      <w:r w:rsidR="00F230BD">
        <w:t>of document types</w:t>
      </w:r>
      <w:r w:rsidR="00850625" w:rsidRPr="00850625">
        <w:t xml:space="preserve"> </w:t>
      </w:r>
      <w:r w:rsidR="00850625">
        <w:t>being produced and promulgated (e.g. information brochures, plans etc.)</w:t>
      </w:r>
      <w:r w:rsidR="00F230BD">
        <w:t xml:space="preserve">, without any </w:t>
      </w:r>
      <w:r w:rsidR="003A57F2">
        <w:t xml:space="preserve">prior </w:t>
      </w:r>
      <w:r w:rsidR="00F230BD">
        <w:t>IALA agreement or rules</w:t>
      </w:r>
      <w:r w:rsidR="003A57F2">
        <w:t xml:space="preserve"> on criteria</w:t>
      </w:r>
      <w:r w:rsidR="00850625">
        <w:t>. Th</w:t>
      </w:r>
      <w:r w:rsidR="003A57F2">
        <w:t xml:space="preserve">is issue </w:t>
      </w:r>
      <w:r w:rsidR="00775348">
        <w:t>needs to be managed</w:t>
      </w:r>
      <w:r w:rsidR="003A57F2">
        <w:t xml:space="preserve">.  It is important to recognise that if information cannot neatly be cast as a recommendation or guideline, it can be made available to the membership by providing it </w:t>
      </w:r>
      <w:r w:rsidR="007A655A">
        <w:t>via some on-line system e.g.</w:t>
      </w:r>
      <w:r w:rsidR="00775348">
        <w:t xml:space="preserve"> </w:t>
      </w:r>
      <w:r w:rsidR="007A655A">
        <w:t>IALA website</w:t>
      </w:r>
      <w:r w:rsidR="003A57F2">
        <w:t xml:space="preserve">, </w:t>
      </w:r>
      <w:r w:rsidR="007A655A">
        <w:t xml:space="preserve">IALA </w:t>
      </w:r>
      <w:r w:rsidR="003A57F2">
        <w:t>W</w:t>
      </w:r>
      <w:r w:rsidR="007A655A">
        <w:t xml:space="preserve">iki </w:t>
      </w:r>
      <w:r w:rsidR="003A57F2">
        <w:t>or similar.</w:t>
      </w:r>
    </w:p>
    <w:p w:rsidR="006B3FF6" w:rsidRPr="006B3FF6" w:rsidRDefault="006B3FF6" w:rsidP="006B3FF6">
      <w:pPr>
        <w:spacing w:before="120" w:after="120" w:line="240" w:lineRule="auto"/>
        <w:rPr>
          <w:u w:val="single"/>
        </w:rPr>
      </w:pPr>
      <w:r w:rsidRPr="006B3FF6">
        <w:rPr>
          <w:u w:val="single"/>
        </w:rPr>
        <w:t>Recommendation</w:t>
      </w:r>
      <w:r>
        <w:rPr>
          <w:u w:val="single"/>
        </w:rPr>
        <w:t>s</w:t>
      </w:r>
    </w:p>
    <w:p w:rsidR="006B3FF6" w:rsidRDefault="003A57F2" w:rsidP="003A57F2">
      <w:pPr>
        <w:pStyle w:val="ListParagraph"/>
        <w:numPr>
          <w:ilvl w:val="0"/>
          <w:numId w:val="8"/>
        </w:numPr>
        <w:spacing w:before="120" w:after="120" w:line="240" w:lineRule="auto"/>
        <w:jc w:val="both"/>
      </w:pPr>
      <w:r>
        <w:t xml:space="preserve">That </w:t>
      </w:r>
      <w:r w:rsidR="007A655A">
        <w:t>PAP</w:t>
      </w:r>
      <w:r w:rsidR="006B3FF6">
        <w:t xml:space="preserve"> </w:t>
      </w:r>
      <w:r>
        <w:t>reviews</w:t>
      </w:r>
      <w:r w:rsidR="006B3FF6">
        <w:t xml:space="preserve"> the existing definitions </w:t>
      </w:r>
      <w:r w:rsidR="005E24B3">
        <w:t xml:space="preserve">of IALA guidance documents </w:t>
      </w:r>
      <w:r w:rsidR="006B3FF6">
        <w:t>and communicate</w:t>
      </w:r>
      <w:r>
        <w:t>s</w:t>
      </w:r>
      <w:r w:rsidR="006B3FF6">
        <w:t xml:space="preserve"> these to the </w:t>
      </w:r>
      <w:r w:rsidR="00E81D75">
        <w:t>c</w:t>
      </w:r>
      <w:r w:rsidR="006B3FF6">
        <w:t xml:space="preserve">ommittees prior to the October 2014 </w:t>
      </w:r>
      <w:r w:rsidR="005E24B3">
        <w:t>committee meet</w:t>
      </w:r>
      <w:r w:rsidR="00F230BD">
        <w:t>ings</w:t>
      </w:r>
      <w:r w:rsidR="006B3FF6">
        <w:t>.</w:t>
      </w:r>
    </w:p>
    <w:p w:rsidR="0040126B" w:rsidRDefault="005E24B3" w:rsidP="003A57F2">
      <w:pPr>
        <w:pStyle w:val="ListParagraph"/>
        <w:numPr>
          <w:ilvl w:val="0"/>
          <w:numId w:val="8"/>
        </w:numPr>
        <w:spacing w:before="120" w:after="120" w:line="240" w:lineRule="auto"/>
        <w:contextualSpacing w:val="0"/>
        <w:jc w:val="both"/>
      </w:pPr>
      <w:r>
        <w:t xml:space="preserve">That the </w:t>
      </w:r>
      <w:r w:rsidR="003A57F2">
        <w:t xml:space="preserve">IALA </w:t>
      </w:r>
      <w:r w:rsidR="0040126B">
        <w:t>Secretariat provide</w:t>
      </w:r>
      <w:r w:rsidR="00E81D75">
        <w:t>s</w:t>
      </w:r>
      <w:r w:rsidR="0040126B">
        <w:t xml:space="preserve"> each committee with a list of Recommendations and Guideline</w:t>
      </w:r>
      <w:r w:rsidR="005C7BA8">
        <w:t>s</w:t>
      </w:r>
      <w:r w:rsidR="0040126B">
        <w:t xml:space="preserve"> they are responsible </w:t>
      </w:r>
      <w:r w:rsidR="00F230BD">
        <w:t>fo</w:t>
      </w:r>
      <w:r>
        <w:t xml:space="preserve">r and </w:t>
      </w:r>
      <w:r w:rsidR="00F230BD">
        <w:t xml:space="preserve">request them to review and identify the documents that need to be </w:t>
      </w:r>
      <w:r w:rsidR="003A57F2">
        <w:t>recast.</w:t>
      </w:r>
    </w:p>
    <w:p w:rsidR="003A57F2" w:rsidRDefault="0040126B" w:rsidP="003A57F2">
      <w:pPr>
        <w:pStyle w:val="ListParagraph"/>
        <w:numPr>
          <w:ilvl w:val="0"/>
          <w:numId w:val="8"/>
        </w:numPr>
        <w:spacing w:before="120" w:after="120" w:line="240" w:lineRule="auto"/>
        <w:jc w:val="both"/>
      </w:pPr>
      <w:r>
        <w:t xml:space="preserve">That each committee be tasked with reviewing </w:t>
      </w:r>
      <w:r w:rsidR="006B3FF6">
        <w:t>its R</w:t>
      </w:r>
      <w:r>
        <w:t xml:space="preserve">ecommendations and Guideline in terms of </w:t>
      </w:r>
      <w:r w:rsidR="005E24B3" w:rsidRPr="003A57F2">
        <w:t xml:space="preserve">their classification </w:t>
      </w:r>
      <w:r w:rsidR="007A655A" w:rsidRPr="003A57F2">
        <w:t xml:space="preserve">in accordance with </w:t>
      </w:r>
      <w:r w:rsidRPr="003A57F2">
        <w:t>the definitions (revised or as is</w:t>
      </w:r>
      <w:r w:rsidR="005E24B3" w:rsidRPr="003A57F2">
        <w:t>)</w:t>
      </w:r>
      <w:r w:rsidRPr="003A57F2">
        <w:t xml:space="preserve"> at their October </w:t>
      </w:r>
      <w:r w:rsidR="00F230BD" w:rsidRPr="003A57F2">
        <w:t xml:space="preserve">2014 </w:t>
      </w:r>
      <w:r w:rsidRPr="003A57F2">
        <w:t xml:space="preserve">session.  A draft template is at Annex </w:t>
      </w:r>
      <w:r w:rsidR="00D37CC9">
        <w:t>A</w:t>
      </w:r>
      <w:r w:rsidRPr="003A57F2">
        <w:t>.</w:t>
      </w:r>
      <w:r w:rsidR="003A57F2" w:rsidRPr="003A57F2">
        <w:t xml:space="preserve"> </w:t>
      </w:r>
      <w:r w:rsidR="003A57F2">
        <w:t>The outcomes of this process should be reported to the subsequent PAP meeting for consideration.</w:t>
      </w:r>
    </w:p>
    <w:p w:rsidR="00D54798" w:rsidRPr="003A57F2" w:rsidRDefault="00D54798" w:rsidP="003A57F2">
      <w:pPr>
        <w:spacing w:before="120" w:after="120" w:line="240" w:lineRule="auto"/>
        <w:ind w:left="1440"/>
        <w:jc w:val="both"/>
        <w:rPr>
          <w:i/>
        </w:rPr>
      </w:pPr>
      <w:r w:rsidRPr="003A57F2">
        <w:rPr>
          <w:i/>
          <w:u w:val="single"/>
        </w:rPr>
        <w:lastRenderedPageBreak/>
        <w:t>Note:</w:t>
      </w:r>
      <w:r w:rsidRPr="003A57F2">
        <w:rPr>
          <w:i/>
        </w:rPr>
        <w:t xml:space="preserve"> </w:t>
      </w:r>
      <w:r w:rsidR="003A57F2" w:rsidRPr="003A57F2">
        <w:rPr>
          <w:i/>
        </w:rPr>
        <w:t>C</w:t>
      </w:r>
      <w:r w:rsidRPr="003A57F2">
        <w:rPr>
          <w:i/>
        </w:rPr>
        <w:t>onsideration may need to be given as to whether some documents should be split.  That is</w:t>
      </w:r>
      <w:r w:rsidR="00F230BD" w:rsidRPr="003A57F2">
        <w:rPr>
          <w:i/>
        </w:rPr>
        <w:t>,</w:t>
      </w:r>
      <w:r w:rsidRPr="003A57F2">
        <w:rPr>
          <w:i/>
        </w:rPr>
        <w:t xml:space="preserve"> an existing recommendation that co</w:t>
      </w:r>
      <w:r w:rsidR="005E24B3" w:rsidRPr="003A57F2">
        <w:rPr>
          <w:i/>
        </w:rPr>
        <w:t>ntains</w:t>
      </w:r>
      <w:r w:rsidRPr="003A57F2">
        <w:rPr>
          <w:i/>
        </w:rPr>
        <w:t xml:space="preserve"> extensive guidance </w:t>
      </w:r>
      <w:r w:rsidR="003A57F2" w:rsidRPr="003A57F2">
        <w:rPr>
          <w:i/>
        </w:rPr>
        <w:t xml:space="preserve">(and which is more appropriate as an </w:t>
      </w:r>
      <w:r w:rsidRPr="003A57F2">
        <w:rPr>
          <w:i/>
        </w:rPr>
        <w:t>IALA Guideline</w:t>
      </w:r>
      <w:r w:rsidR="003A57F2" w:rsidRPr="003A57F2">
        <w:rPr>
          <w:i/>
        </w:rPr>
        <w:t>)</w:t>
      </w:r>
      <w:r w:rsidRPr="003A57F2">
        <w:rPr>
          <w:i/>
        </w:rPr>
        <w:t xml:space="preserve"> may benefit from being split into a Recommendation with</w:t>
      </w:r>
      <w:r w:rsidR="003A57F2" w:rsidRPr="003A57F2">
        <w:rPr>
          <w:i/>
        </w:rPr>
        <w:t xml:space="preserve"> an associated </w:t>
      </w:r>
      <w:r w:rsidRPr="003A57F2">
        <w:rPr>
          <w:i/>
        </w:rPr>
        <w:t xml:space="preserve">Guideline.  </w:t>
      </w:r>
    </w:p>
    <w:p w:rsidR="00074884" w:rsidRDefault="003A57F2" w:rsidP="00074884">
      <w:pPr>
        <w:pStyle w:val="ListParagraph"/>
        <w:numPr>
          <w:ilvl w:val="0"/>
          <w:numId w:val="8"/>
        </w:numPr>
        <w:spacing w:before="120" w:after="120" w:line="240" w:lineRule="auto"/>
        <w:contextualSpacing w:val="0"/>
        <w:jc w:val="both"/>
      </w:pPr>
      <w:r>
        <w:t xml:space="preserve">That </w:t>
      </w:r>
      <w:r w:rsidR="00074884">
        <w:t xml:space="preserve">PAP </w:t>
      </w:r>
      <w:proofErr w:type="gramStart"/>
      <w:r w:rsidR="00074884">
        <w:t>discuss</w:t>
      </w:r>
      <w:proofErr w:type="gramEnd"/>
      <w:r w:rsidR="00074884">
        <w:t xml:space="preserve"> and agree on the type of </w:t>
      </w:r>
      <w:r w:rsidR="00850625">
        <w:t xml:space="preserve">ad-hoc documents </w:t>
      </w:r>
      <w:r w:rsidR="00074884">
        <w:t>that can be developed by committees.  This can then be forwarded to the IALA Council for consideration.</w:t>
      </w:r>
    </w:p>
    <w:p w:rsidR="00850625" w:rsidRDefault="00850625" w:rsidP="00074884">
      <w:pPr>
        <w:spacing w:before="120" w:after="120" w:line="240" w:lineRule="auto"/>
        <w:ind w:left="360"/>
        <w:jc w:val="both"/>
      </w:pPr>
    </w:p>
    <w:p w:rsidR="006B3FF6" w:rsidRDefault="009B78FD" w:rsidP="00074884">
      <w:pPr>
        <w:pStyle w:val="ListParagraph"/>
        <w:numPr>
          <w:ilvl w:val="0"/>
          <w:numId w:val="8"/>
        </w:numPr>
        <w:spacing w:before="120" w:after="120" w:line="240" w:lineRule="auto"/>
        <w:contextualSpacing w:val="0"/>
        <w:jc w:val="both"/>
      </w:pPr>
      <w:r>
        <w:t>Remind the t</w:t>
      </w:r>
      <w:r w:rsidR="00E133FA">
        <w:t xml:space="preserve">echnical committees </w:t>
      </w:r>
      <w:r>
        <w:t xml:space="preserve">of the importance of ensuring that existing IALA guidance remain current by undertaking a </w:t>
      </w:r>
      <w:r w:rsidR="006B3FF6">
        <w:t>review</w:t>
      </w:r>
      <w:r w:rsidR="00E133FA">
        <w:t xml:space="preserve"> of </w:t>
      </w:r>
      <w:r>
        <w:t xml:space="preserve">the </w:t>
      </w:r>
      <w:r w:rsidR="00E133FA">
        <w:t>Recommendations and Guidelines</w:t>
      </w:r>
      <w:r>
        <w:t xml:space="preserve"> within each 4 year work program</w:t>
      </w:r>
      <w:r w:rsidR="00E133FA">
        <w:t>.</w:t>
      </w:r>
    </w:p>
    <w:p w:rsidR="00394BD5" w:rsidRDefault="00394BD5" w:rsidP="00394BD5">
      <w:pPr>
        <w:pStyle w:val="ListParagraph"/>
        <w:spacing w:before="120" w:after="120" w:line="240" w:lineRule="auto"/>
        <w:contextualSpacing w:val="0"/>
        <w:jc w:val="both"/>
      </w:pPr>
    </w:p>
    <w:p w:rsidR="006B3FF6" w:rsidRDefault="006B3FF6" w:rsidP="006B3FF6">
      <w:pPr>
        <w:pStyle w:val="ListParagraph"/>
        <w:numPr>
          <w:ilvl w:val="0"/>
          <w:numId w:val="2"/>
        </w:numPr>
        <w:spacing w:before="120" w:after="120" w:line="240" w:lineRule="auto"/>
      </w:pPr>
      <w:r w:rsidRPr="006B3FF6">
        <w:rPr>
          <w:b/>
          <w:u w:val="single"/>
        </w:rPr>
        <w:t>Currency / Maintenance of Manuals</w:t>
      </w:r>
    </w:p>
    <w:p w:rsidR="00074884" w:rsidRDefault="006B3FF6" w:rsidP="00074884">
      <w:pPr>
        <w:spacing w:before="120" w:after="120" w:line="240" w:lineRule="auto"/>
        <w:jc w:val="both"/>
      </w:pPr>
      <w:r>
        <w:t xml:space="preserve">Manuals </w:t>
      </w:r>
      <w:r w:rsidR="00074884">
        <w:t xml:space="preserve">are traditionally </w:t>
      </w:r>
      <w:r>
        <w:t xml:space="preserve">large documents </w:t>
      </w:r>
      <w:r w:rsidR="00074884">
        <w:t xml:space="preserve">in hard (and soft) copy.  By their very </w:t>
      </w:r>
      <w:r w:rsidR="00E133FA">
        <w:t>nature</w:t>
      </w:r>
      <w:r w:rsidR="00074884">
        <w:t xml:space="preserve">, they can be out-of-synch with the Recommendations and Guidelines they refer to, soon after they are issued.  This is because </w:t>
      </w:r>
      <w:r w:rsidR="00826FA9">
        <w:t xml:space="preserve">as per current practice, </w:t>
      </w:r>
      <w:r w:rsidR="00074884">
        <w:t xml:space="preserve">Recommendations and Guidelines can be updated during a 4 year work term, whereas Manuals are only updated at intervals of four years. </w:t>
      </w:r>
    </w:p>
    <w:p w:rsidR="00863A77" w:rsidRDefault="00863A77" w:rsidP="00074884">
      <w:pPr>
        <w:spacing w:before="120" w:after="120" w:line="240" w:lineRule="auto"/>
        <w:jc w:val="both"/>
      </w:pPr>
      <w:r>
        <w:t xml:space="preserve">A proposed approach to dealing with this issue would be to publish both a hardcopy </w:t>
      </w:r>
      <w:r w:rsidR="00833C13">
        <w:t xml:space="preserve">and </w:t>
      </w:r>
      <w:r>
        <w:t xml:space="preserve">online copy of each manual.  The hardcopy manuals </w:t>
      </w:r>
      <w:r w:rsidR="00833C13">
        <w:t>c</w:t>
      </w:r>
      <w:r>
        <w:t xml:space="preserve">ould be produced </w:t>
      </w:r>
      <w:r w:rsidR="00826FA9">
        <w:t xml:space="preserve">at the current 4 yearly interval.  The </w:t>
      </w:r>
      <w:r>
        <w:t xml:space="preserve">online version of the manual would be updated during the </w:t>
      </w:r>
      <w:r w:rsidR="00826FA9">
        <w:t xml:space="preserve">four yearly work term </w:t>
      </w:r>
      <w:r>
        <w:t>by the committees</w:t>
      </w:r>
      <w:r w:rsidR="00833C13">
        <w:t xml:space="preserve"> as </w:t>
      </w:r>
      <w:r w:rsidR="005F6DC4">
        <w:t xml:space="preserve">new/revised </w:t>
      </w:r>
      <w:r w:rsidR="00833C13">
        <w:t>guidance</w:t>
      </w:r>
      <w:r w:rsidR="005F6DC4">
        <w:t xml:space="preserve"> is approved by Council</w:t>
      </w:r>
      <w:r>
        <w:t>.</w:t>
      </w:r>
    </w:p>
    <w:p w:rsidR="00E97C7E" w:rsidRDefault="00E97C7E" w:rsidP="00074884">
      <w:pPr>
        <w:spacing w:before="120" w:after="120" w:line="240" w:lineRule="auto"/>
        <w:jc w:val="both"/>
      </w:pPr>
      <w:r>
        <w:t xml:space="preserve">It is also suggested that consideration be given to Manuals referring to Recommendations and Guidelines without the need to extensively quote/re-word the information provided in the relevant Recommendation/Guidelines.  This would enable Manuals to provide </w:t>
      </w:r>
      <w:r w:rsidR="00826FA9">
        <w:t>succinct</w:t>
      </w:r>
      <w:r w:rsidR="00CB1EB0">
        <w:t xml:space="preserve">, </w:t>
      </w:r>
      <w:r>
        <w:t xml:space="preserve">high level </w:t>
      </w:r>
      <w:r w:rsidR="00CB1EB0">
        <w:t xml:space="preserve">and </w:t>
      </w:r>
      <w:r>
        <w:t>comprehensive guidance</w:t>
      </w:r>
      <w:r w:rsidR="00CB1EB0">
        <w:t xml:space="preserve">.  Detailed information on specific subjects, suggestions for implementation would be contained in the relevant Guidelines. </w:t>
      </w:r>
    </w:p>
    <w:p w:rsidR="00863A77" w:rsidRDefault="00863A77" w:rsidP="00074884">
      <w:pPr>
        <w:spacing w:before="120" w:after="120" w:line="240" w:lineRule="auto"/>
        <w:jc w:val="both"/>
      </w:pPr>
      <w:r>
        <w:t xml:space="preserve">At the end of the 4 year </w:t>
      </w:r>
      <w:r w:rsidR="00826FA9">
        <w:t xml:space="preserve">work term, </w:t>
      </w:r>
      <w:r>
        <w:t xml:space="preserve">the electronic version would </w:t>
      </w:r>
      <w:r w:rsidR="00833C13">
        <w:t xml:space="preserve">provide </w:t>
      </w:r>
      <w:r>
        <w:t xml:space="preserve">the basis for producing the revised version of the </w:t>
      </w:r>
      <w:r w:rsidR="00833C13">
        <w:t xml:space="preserve">next </w:t>
      </w:r>
      <w:r>
        <w:t>hardcopy manual.</w:t>
      </w:r>
    </w:p>
    <w:p w:rsidR="00A87043" w:rsidRPr="00D54798" w:rsidRDefault="00D54798" w:rsidP="00074884">
      <w:pPr>
        <w:spacing w:before="120" w:after="120" w:line="240" w:lineRule="auto"/>
        <w:jc w:val="both"/>
      </w:pPr>
      <w:r w:rsidRPr="00D54798">
        <w:rPr>
          <w:u w:val="single"/>
        </w:rPr>
        <w:t>Recommendation</w:t>
      </w:r>
      <w:r w:rsidRPr="00D54798">
        <w:t>s</w:t>
      </w:r>
    </w:p>
    <w:p w:rsidR="00863A77" w:rsidRDefault="00863A77" w:rsidP="00074884">
      <w:pPr>
        <w:pStyle w:val="ListParagraph"/>
        <w:numPr>
          <w:ilvl w:val="0"/>
          <w:numId w:val="8"/>
        </w:numPr>
        <w:spacing w:before="120" w:after="120" w:line="240" w:lineRule="auto"/>
        <w:jc w:val="both"/>
      </w:pPr>
      <w:r>
        <w:t>Maintain current hardcopy manuals</w:t>
      </w:r>
      <w:r w:rsidR="00833C13">
        <w:t>.</w:t>
      </w:r>
    </w:p>
    <w:p w:rsidR="00D54798" w:rsidRDefault="005F6DC4" w:rsidP="00074884">
      <w:pPr>
        <w:pStyle w:val="ListParagraph"/>
        <w:numPr>
          <w:ilvl w:val="0"/>
          <w:numId w:val="8"/>
        </w:numPr>
        <w:spacing w:before="120" w:after="120" w:line="240" w:lineRule="auto"/>
        <w:jc w:val="both"/>
      </w:pPr>
      <w:r>
        <w:t>Establish an editable electronic version of each manual and u</w:t>
      </w:r>
      <w:r w:rsidR="00833C13">
        <w:t xml:space="preserve">tilise </w:t>
      </w:r>
      <w:r w:rsidR="00863A77">
        <w:t xml:space="preserve">online </w:t>
      </w:r>
      <w:r w:rsidR="00833C13">
        <w:t xml:space="preserve">tools to enable </w:t>
      </w:r>
      <w:r w:rsidR="00826FA9">
        <w:t>maintenance</w:t>
      </w:r>
      <w:r w:rsidR="00833C13">
        <w:t xml:space="preserve"> of </w:t>
      </w:r>
      <w:r w:rsidR="00863A77">
        <w:t xml:space="preserve">the currency of </w:t>
      </w:r>
      <w:r>
        <w:t>the information</w:t>
      </w:r>
      <w:r w:rsidR="00863A77">
        <w:t xml:space="preserve">. </w:t>
      </w:r>
    </w:p>
    <w:p w:rsidR="00863A77" w:rsidRDefault="00863A77" w:rsidP="00A03286">
      <w:pPr>
        <w:pStyle w:val="ListParagraph"/>
        <w:spacing w:before="120" w:after="120" w:line="240" w:lineRule="auto"/>
        <w:ind w:left="360"/>
        <w:rPr>
          <w:b/>
        </w:rPr>
      </w:pPr>
    </w:p>
    <w:p w:rsidR="00A87043" w:rsidRPr="00D54798" w:rsidRDefault="005C430D" w:rsidP="00D54798">
      <w:pPr>
        <w:pStyle w:val="ListParagraph"/>
        <w:numPr>
          <w:ilvl w:val="0"/>
          <w:numId w:val="2"/>
        </w:numPr>
        <w:spacing w:before="120" w:after="120" w:line="240" w:lineRule="auto"/>
        <w:rPr>
          <w:b/>
        </w:rPr>
      </w:pPr>
      <w:r w:rsidRPr="00D54798">
        <w:rPr>
          <w:b/>
        </w:rPr>
        <w:t>Committee Reports</w:t>
      </w:r>
    </w:p>
    <w:p w:rsidR="00D54798" w:rsidRDefault="00D54798" w:rsidP="002666F3">
      <w:pPr>
        <w:spacing w:before="120" w:after="120" w:line="240" w:lineRule="auto"/>
      </w:pPr>
      <w:r>
        <w:t xml:space="preserve">The current </w:t>
      </w:r>
      <w:r w:rsidR="00347187">
        <w:t xml:space="preserve">structure/content </w:t>
      </w:r>
      <w:r>
        <w:t xml:space="preserve">of the committee reports </w:t>
      </w:r>
      <w:r w:rsidR="00E9574C">
        <w:t xml:space="preserve">could be improved </w:t>
      </w:r>
      <w:r w:rsidR="00347187">
        <w:t>to address the following issues</w:t>
      </w:r>
      <w:r>
        <w:t>:</w:t>
      </w:r>
    </w:p>
    <w:p w:rsidR="00D54798" w:rsidRDefault="00850625" w:rsidP="002666F3">
      <w:pPr>
        <w:pStyle w:val="ListParagraph"/>
        <w:numPr>
          <w:ilvl w:val="0"/>
          <w:numId w:val="8"/>
        </w:numPr>
        <w:spacing w:before="120" w:after="120" w:line="240" w:lineRule="auto"/>
      </w:pPr>
      <w:r>
        <w:t>Reports do</w:t>
      </w:r>
      <w:r w:rsidR="00D54798">
        <w:t xml:space="preserve"> not adequately </w:t>
      </w:r>
      <w:r w:rsidR="005C430D">
        <w:t>document decisions</w:t>
      </w:r>
      <w:r w:rsidR="00D54798">
        <w:t xml:space="preserve"> and the </w:t>
      </w:r>
      <w:r w:rsidR="005C430D">
        <w:t>rationale</w:t>
      </w:r>
      <w:r w:rsidR="00D54798">
        <w:t xml:space="preserve"> behind decisions.  This </w:t>
      </w:r>
      <w:r>
        <w:t xml:space="preserve">can </w:t>
      </w:r>
      <w:r w:rsidR="00D54798">
        <w:t xml:space="preserve">cause confusion at times and often involves </w:t>
      </w:r>
      <w:r>
        <w:t>C</w:t>
      </w:r>
      <w:r w:rsidR="00D54798">
        <w:t xml:space="preserve">ommittees revisiting </w:t>
      </w:r>
      <w:r w:rsidR="00826FA9">
        <w:t xml:space="preserve">work </w:t>
      </w:r>
      <w:r w:rsidR="00D54798">
        <w:t>items unnecessarily.</w:t>
      </w:r>
    </w:p>
    <w:p w:rsidR="002B7994" w:rsidRDefault="002B7994" w:rsidP="002666F3">
      <w:pPr>
        <w:pStyle w:val="ListParagraph"/>
        <w:numPr>
          <w:ilvl w:val="0"/>
          <w:numId w:val="8"/>
        </w:numPr>
        <w:spacing w:before="120" w:after="120" w:line="240" w:lineRule="auto"/>
      </w:pPr>
      <w:r>
        <w:t>The</w:t>
      </w:r>
      <w:r w:rsidR="005C430D">
        <w:t xml:space="preserve"> </w:t>
      </w:r>
      <w:r w:rsidR="00347187">
        <w:t xml:space="preserve">reports usually contain a large number of </w:t>
      </w:r>
      <w:r w:rsidR="005C430D">
        <w:t>annexes</w:t>
      </w:r>
      <w:r w:rsidR="00347187">
        <w:t>. The continuing need for these should be reviewed to ensure that they are adding value for IALA and its members</w:t>
      </w:r>
    </w:p>
    <w:p w:rsidR="00F96E47" w:rsidRDefault="002D00B3" w:rsidP="00D6652F">
      <w:pPr>
        <w:pStyle w:val="ListParagraph"/>
        <w:numPr>
          <w:ilvl w:val="0"/>
          <w:numId w:val="8"/>
        </w:numPr>
        <w:spacing w:before="120" w:after="120" w:line="240" w:lineRule="auto"/>
      </w:pPr>
      <w:r>
        <w:t>T</w:t>
      </w:r>
      <w:r w:rsidR="00F96E47">
        <w:t>he reporting of the working group activities currently var</w:t>
      </w:r>
      <w:r>
        <w:t xml:space="preserve">ies </w:t>
      </w:r>
      <w:r w:rsidR="00F96E47">
        <w:t xml:space="preserve">in depth of detail and relevance to the outputs of the committee. </w:t>
      </w:r>
      <w:r w:rsidR="004751D1">
        <w:t xml:space="preserve">The report should primarily reflect the plenary outcomes more so than working groups’ deliberations providing that the rationale for decisions is adequately captured. </w:t>
      </w:r>
      <w:r w:rsidR="00D6652F">
        <w:t>The</w:t>
      </w:r>
      <w:r w:rsidR="004751D1">
        <w:t xml:space="preserve"> report </w:t>
      </w:r>
      <w:r w:rsidR="00D6652F">
        <w:t>needs to</w:t>
      </w:r>
      <w:r w:rsidR="004751D1">
        <w:t xml:space="preserve"> be concise to enhance readability</w:t>
      </w:r>
      <w:r w:rsidR="00D6652F">
        <w:t>,</w:t>
      </w:r>
      <w:r w:rsidR="004751D1">
        <w:t xml:space="preserve"> also noting that reports are submitted to Council</w:t>
      </w:r>
      <w:r>
        <w:t>.</w:t>
      </w:r>
    </w:p>
    <w:p w:rsidR="00394BD5" w:rsidRDefault="00394BD5" w:rsidP="002666F3">
      <w:pPr>
        <w:spacing w:before="120" w:after="120" w:line="240" w:lineRule="auto"/>
        <w:rPr>
          <w:u w:val="single"/>
        </w:rPr>
      </w:pPr>
    </w:p>
    <w:p w:rsidR="00394BD5" w:rsidRDefault="00394BD5" w:rsidP="002666F3">
      <w:pPr>
        <w:spacing w:before="120" w:after="120" w:line="240" w:lineRule="auto"/>
        <w:rPr>
          <w:u w:val="single"/>
        </w:rPr>
      </w:pPr>
    </w:p>
    <w:p w:rsidR="00A87043" w:rsidRPr="00344D30" w:rsidRDefault="00344D30" w:rsidP="002666F3">
      <w:pPr>
        <w:spacing w:before="120" w:after="120" w:line="240" w:lineRule="auto"/>
        <w:rPr>
          <w:u w:val="single"/>
        </w:rPr>
      </w:pPr>
      <w:r w:rsidRPr="00344D30">
        <w:rPr>
          <w:u w:val="single"/>
        </w:rPr>
        <w:t>Recommendation</w:t>
      </w:r>
      <w:r w:rsidR="005D1F1B">
        <w:rPr>
          <w:u w:val="single"/>
        </w:rPr>
        <w:t>s</w:t>
      </w:r>
    </w:p>
    <w:p w:rsidR="00F96E47" w:rsidRDefault="00F96E47" w:rsidP="00F96E47">
      <w:pPr>
        <w:pStyle w:val="ListParagraph"/>
        <w:numPr>
          <w:ilvl w:val="0"/>
          <w:numId w:val="8"/>
        </w:numPr>
        <w:spacing w:before="120" w:after="120" w:line="240" w:lineRule="auto"/>
      </w:pPr>
      <w:r>
        <w:t xml:space="preserve">Ensure that the </w:t>
      </w:r>
      <w:r w:rsidR="002D00B3">
        <w:t>Committee reports</w:t>
      </w:r>
      <w:r>
        <w:t xml:space="preserve"> document</w:t>
      </w:r>
      <w:r w:rsidR="002D00B3">
        <w:t xml:space="preserve"> </w:t>
      </w:r>
      <w:r>
        <w:t xml:space="preserve">decisions and the </w:t>
      </w:r>
      <w:r w:rsidR="002D00B3">
        <w:t>rationale</w:t>
      </w:r>
      <w:r>
        <w:t xml:space="preserve"> for</w:t>
      </w:r>
      <w:r w:rsidR="002D00B3">
        <w:t xml:space="preserve"> those</w:t>
      </w:r>
      <w:r>
        <w:t xml:space="preserve"> decisions.</w:t>
      </w:r>
    </w:p>
    <w:p w:rsidR="005D1F1B" w:rsidRPr="005D1F1B" w:rsidRDefault="00F96E47" w:rsidP="005D1F1B">
      <w:pPr>
        <w:pStyle w:val="ListParagraph"/>
        <w:numPr>
          <w:ilvl w:val="0"/>
          <w:numId w:val="8"/>
        </w:numPr>
        <w:spacing w:before="120" w:after="120" w:line="240" w:lineRule="auto"/>
        <w:rPr>
          <w:u w:val="single"/>
        </w:rPr>
      </w:pPr>
      <w:r>
        <w:t>IALA Secretariat to d</w:t>
      </w:r>
      <w:r w:rsidR="005D1F1B">
        <w:t>evelop a new Committee report template</w:t>
      </w:r>
      <w:r>
        <w:t xml:space="preserve"> in time for the October 2014 meetings</w:t>
      </w:r>
      <w:r w:rsidR="002D00B3">
        <w:t xml:space="preserve"> that facilitates the changes proposed.</w:t>
      </w:r>
    </w:p>
    <w:p w:rsidR="005D1F1B" w:rsidRPr="005D1F1B" w:rsidRDefault="005D1F1B" w:rsidP="005D1F1B">
      <w:pPr>
        <w:pStyle w:val="ListParagraph"/>
        <w:numPr>
          <w:ilvl w:val="0"/>
          <w:numId w:val="8"/>
        </w:numPr>
        <w:spacing w:before="120" w:after="120" w:line="240" w:lineRule="auto"/>
        <w:rPr>
          <w:u w:val="single"/>
        </w:rPr>
      </w:pPr>
      <w:r>
        <w:t xml:space="preserve">Committees to implement the </w:t>
      </w:r>
      <w:r w:rsidR="002D00B3">
        <w:t xml:space="preserve">structure and content changes in their Committee reports </w:t>
      </w:r>
      <w:r>
        <w:t>from the first round of meetings of the 2014-2018 work program</w:t>
      </w:r>
      <w:r w:rsidR="002D00B3">
        <w:t>.</w:t>
      </w:r>
    </w:p>
    <w:p w:rsidR="005D1F1B" w:rsidRDefault="005D1F1B" w:rsidP="00A03286">
      <w:pPr>
        <w:pStyle w:val="ListParagraph"/>
        <w:spacing w:before="120" w:after="120" w:line="240" w:lineRule="auto"/>
        <w:ind w:left="767"/>
      </w:pPr>
    </w:p>
    <w:p w:rsidR="00344D30" w:rsidRDefault="00344D30" w:rsidP="00A03286">
      <w:pPr>
        <w:spacing w:before="120" w:after="120" w:line="240" w:lineRule="auto"/>
        <w:ind w:left="47"/>
        <w:jc w:val="center"/>
      </w:pPr>
      <w:r>
        <w:t>…………………………</w:t>
      </w:r>
    </w:p>
    <w:p w:rsidR="00A87043" w:rsidRDefault="00A87043" w:rsidP="002666F3">
      <w:pPr>
        <w:spacing w:before="120" w:after="120" w:line="240" w:lineRule="auto"/>
      </w:pPr>
    </w:p>
    <w:p w:rsidR="006B3FF6" w:rsidRDefault="006B3FF6">
      <w:r>
        <w:br w:type="page"/>
      </w:r>
    </w:p>
    <w:p w:rsidR="00E97C7E" w:rsidRDefault="00E97C7E" w:rsidP="007B4FF0">
      <w:pPr>
        <w:spacing w:before="120" w:after="120" w:line="240" w:lineRule="auto"/>
        <w:jc w:val="right"/>
        <w:rPr>
          <w:b/>
        </w:rPr>
        <w:sectPr w:rsidR="00E97C7E">
          <w:pgSz w:w="11906" w:h="16838"/>
          <w:pgMar w:top="1440" w:right="1440" w:bottom="1440" w:left="1440" w:header="708" w:footer="708" w:gutter="0"/>
          <w:cols w:space="708"/>
          <w:docGrid w:linePitch="360"/>
        </w:sectPr>
      </w:pPr>
    </w:p>
    <w:p w:rsidR="00E97C7E" w:rsidRPr="006B3FF6" w:rsidRDefault="00E97C7E" w:rsidP="00E97C7E">
      <w:pPr>
        <w:spacing w:before="120" w:after="120" w:line="240" w:lineRule="auto"/>
        <w:jc w:val="right"/>
        <w:rPr>
          <w:b/>
        </w:rPr>
      </w:pPr>
      <w:r w:rsidRPr="006B3FF6">
        <w:rPr>
          <w:b/>
        </w:rPr>
        <w:lastRenderedPageBreak/>
        <w:t xml:space="preserve">Annex </w:t>
      </w:r>
      <w:r w:rsidR="00D37CC9">
        <w:rPr>
          <w:b/>
        </w:rPr>
        <w:t>A</w:t>
      </w:r>
      <w:r>
        <w:rPr>
          <w:b/>
        </w:rPr>
        <w:t xml:space="preserve"> – Template for reviewing the classification of existing Recommendations and Guidelines</w:t>
      </w:r>
    </w:p>
    <w:p w:rsidR="00E97C7E" w:rsidRDefault="00E97C7E" w:rsidP="00E97C7E">
      <w:pPr>
        <w:spacing w:before="120" w:after="120" w:line="240" w:lineRule="auto"/>
      </w:pPr>
    </w:p>
    <w:p w:rsidR="00E97C7E" w:rsidRPr="00E97C7E" w:rsidRDefault="00E97C7E" w:rsidP="00E97C7E">
      <w:pPr>
        <w:spacing w:before="120" w:after="120" w:line="240" w:lineRule="auto"/>
        <w:jc w:val="both"/>
        <w:rPr>
          <w:rFonts w:ascii="Times New Roman" w:eastAsia="Times New Roman" w:hAnsi="Times New Roman" w:cs="Times New Roman"/>
          <w:lang w:eastAsia="en-AU"/>
        </w:rPr>
      </w:pPr>
      <w:r w:rsidRPr="00E97C7E">
        <w:rPr>
          <w:rFonts w:ascii="Times New Roman" w:eastAsia="Times New Roman" w:hAnsi="Times New Roman" w:cs="Times New Roman"/>
          <w:lang w:eastAsia="en-AU"/>
        </w:rPr>
        <w:t>The current IALA definitions for Recommendations and Guidelines are:</w:t>
      </w:r>
    </w:p>
    <w:p w:rsidR="00E97C7E" w:rsidRPr="00E97C7E" w:rsidRDefault="00E97C7E" w:rsidP="00E97C7E">
      <w:pPr>
        <w:pStyle w:val="ListParagraph"/>
        <w:numPr>
          <w:ilvl w:val="0"/>
          <w:numId w:val="11"/>
        </w:numPr>
        <w:spacing w:before="120" w:after="120" w:line="240" w:lineRule="auto"/>
        <w:jc w:val="both"/>
        <w:rPr>
          <w:rFonts w:ascii="Times New Roman" w:eastAsia="Times New Roman" w:hAnsi="Times New Roman" w:cs="Times New Roman"/>
          <w:lang w:eastAsia="en-AU"/>
        </w:rPr>
      </w:pPr>
      <w:r w:rsidRPr="00E97C7E">
        <w:rPr>
          <w:rFonts w:ascii="Times New Roman" w:eastAsia="Times New Roman" w:hAnsi="Times New Roman" w:cs="Times New Roman"/>
          <w:b/>
          <w:lang w:eastAsia="en-AU"/>
        </w:rPr>
        <w:t>Recommendations -</w:t>
      </w:r>
      <w:r w:rsidRPr="00E97C7E">
        <w:rPr>
          <w:rFonts w:ascii="Times New Roman" w:eastAsia="Times New Roman" w:hAnsi="Times New Roman" w:cs="Times New Roman"/>
          <w:lang w:eastAsia="en-AU"/>
        </w:rPr>
        <w:t xml:space="preserve"> These documents represent the highest level of IALA documentation (equivalent to a ‘standard’ in an intergovernmental organization). Recommendations provide direction to IALA members on uniform procedures and processes that will facilitate IALA objectives. IALA recommendations contain information on how members should plan, operate and manage Aids to Navigation. Recommendations may reference relevant International Standards and IALA Guidelines.</w:t>
      </w:r>
    </w:p>
    <w:p w:rsidR="00E97C7E" w:rsidRPr="00E97C7E" w:rsidRDefault="00E97C7E" w:rsidP="00E97C7E">
      <w:pPr>
        <w:pStyle w:val="ListParagraph"/>
        <w:numPr>
          <w:ilvl w:val="0"/>
          <w:numId w:val="11"/>
        </w:numPr>
        <w:spacing w:before="120" w:after="120" w:line="240" w:lineRule="auto"/>
        <w:jc w:val="both"/>
        <w:rPr>
          <w:rFonts w:ascii="Times New Roman" w:eastAsia="Times New Roman" w:hAnsi="Times New Roman" w:cs="Times New Roman"/>
          <w:lang w:eastAsia="en-AU"/>
        </w:rPr>
      </w:pPr>
      <w:r w:rsidRPr="00E97C7E">
        <w:rPr>
          <w:rFonts w:ascii="Times New Roman" w:eastAsia="Times New Roman" w:hAnsi="Times New Roman" w:cs="Times New Roman"/>
          <w:b/>
          <w:lang w:eastAsia="en-AU"/>
        </w:rPr>
        <w:t>Guidelines -</w:t>
      </w:r>
      <w:r w:rsidRPr="00E97C7E">
        <w:rPr>
          <w:rFonts w:ascii="Times New Roman" w:eastAsia="Times New Roman" w:hAnsi="Times New Roman" w:cs="Times New Roman"/>
          <w:lang w:eastAsia="en-AU"/>
        </w:rPr>
        <w:t xml:space="preserve"> These documents provide detailed information on an aspect of a specific subject, indicating options, best practices and suggestions for implementation. IALA Guidelines relate to planning, operating and managing Aids to Navigation.</w:t>
      </w:r>
    </w:p>
    <w:p w:rsidR="00E97C7E" w:rsidRDefault="00E97C7E" w:rsidP="00E97C7E">
      <w:pPr>
        <w:spacing w:before="120" w:after="120" w:line="240" w:lineRule="auto"/>
        <w:jc w:val="both"/>
        <w:rPr>
          <w:rFonts w:ascii="Times New Roman" w:eastAsia="Times New Roman" w:hAnsi="Times New Roman" w:cs="Times New Roman"/>
          <w:lang w:eastAsia="en-AU"/>
        </w:rPr>
      </w:pPr>
      <w:r>
        <w:rPr>
          <w:rFonts w:ascii="Times New Roman" w:eastAsia="Times New Roman" w:hAnsi="Times New Roman" w:cs="Times New Roman"/>
          <w:lang w:eastAsia="en-AU"/>
        </w:rPr>
        <w:t>Each Committee is requested to review existing and emerging Recommendations and Guidelines they have ‘ownership of” carriage by completing the table below to confirm the guidance/information is suitable categorised as either a Recommendation or Guideline.</w:t>
      </w:r>
    </w:p>
    <w:p w:rsidR="00E97C7E" w:rsidRPr="000B5BCB" w:rsidRDefault="00E97C7E" w:rsidP="00E97C7E">
      <w:pPr>
        <w:spacing w:before="120" w:after="120" w:line="240" w:lineRule="auto"/>
        <w:jc w:val="both"/>
        <w:rPr>
          <w:rFonts w:ascii="Times New Roman" w:eastAsia="Times New Roman" w:hAnsi="Times New Roman" w:cs="Times New Roman"/>
          <w:lang w:eastAsia="en-AU"/>
        </w:rPr>
      </w:pPr>
      <w:r>
        <w:rPr>
          <w:rFonts w:ascii="Times New Roman" w:eastAsia="Times New Roman" w:hAnsi="Times New Roman" w:cs="Times New Roman"/>
          <w:lang w:eastAsia="en-A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
        <w:gridCol w:w="475"/>
        <w:gridCol w:w="710"/>
        <w:gridCol w:w="777"/>
        <w:gridCol w:w="1587"/>
        <w:gridCol w:w="2176"/>
        <w:gridCol w:w="1926"/>
        <w:gridCol w:w="2974"/>
        <w:gridCol w:w="1753"/>
        <w:gridCol w:w="1287"/>
      </w:tblGrid>
      <w:tr w:rsidR="00E97C7E" w:rsidRPr="000077AF" w:rsidTr="00DC501B">
        <w:trPr>
          <w:cantSplit/>
          <w:trHeight w:val="459"/>
          <w:tblHeader/>
        </w:trPr>
        <w:tc>
          <w:tcPr>
            <w:tcW w:w="0" w:type="auto"/>
            <w:vMerge w:val="restart"/>
            <w:shd w:val="clear" w:color="auto" w:fill="DDD9C3" w:themeFill="background2" w:themeFillShade="E6"/>
          </w:tcPr>
          <w:p w:rsidR="00E97C7E" w:rsidRPr="000077AF" w:rsidRDefault="00E97C7E" w:rsidP="00DC501B">
            <w:pPr>
              <w:spacing w:after="0" w:line="240" w:lineRule="auto"/>
              <w:jc w:val="center"/>
              <w:rPr>
                <w:rFonts w:ascii="Calibri" w:eastAsia="Times New Roman" w:hAnsi="Calibri" w:cs="Calibri"/>
                <w:b/>
                <w:color w:val="000000"/>
                <w:sz w:val="20"/>
                <w:szCs w:val="20"/>
                <w:u w:val="single"/>
                <w:lang w:eastAsia="en-AU"/>
              </w:rPr>
            </w:pPr>
            <w:r w:rsidRPr="000077AF">
              <w:rPr>
                <w:rFonts w:ascii="Calibri" w:eastAsia="Times New Roman" w:hAnsi="Calibri" w:cs="Calibri"/>
                <w:b/>
                <w:color w:val="000000"/>
                <w:sz w:val="20"/>
                <w:szCs w:val="20"/>
                <w:u w:val="single"/>
                <w:lang w:eastAsia="en-AU"/>
              </w:rPr>
              <w:t>N</w:t>
            </w:r>
            <w:r>
              <w:rPr>
                <w:rFonts w:ascii="Calibri" w:eastAsia="Times New Roman" w:hAnsi="Calibri" w:cs="Calibri"/>
                <w:b/>
                <w:color w:val="000000"/>
                <w:sz w:val="20"/>
                <w:szCs w:val="20"/>
                <w:u w:val="single"/>
                <w:lang w:eastAsia="en-AU"/>
              </w:rPr>
              <w:t>o.</w:t>
            </w:r>
          </w:p>
        </w:tc>
        <w:tc>
          <w:tcPr>
            <w:tcW w:w="0" w:type="auto"/>
            <w:vMerge w:val="restart"/>
            <w:shd w:val="clear" w:color="auto" w:fill="DDD9C3" w:themeFill="background2" w:themeFillShade="E6"/>
          </w:tcPr>
          <w:p w:rsidR="00E97C7E" w:rsidRPr="000077AF" w:rsidRDefault="00E97C7E" w:rsidP="00DC501B">
            <w:pPr>
              <w:spacing w:after="0" w:line="240" w:lineRule="auto"/>
              <w:jc w:val="center"/>
              <w:rPr>
                <w:rFonts w:ascii="Calibri" w:eastAsia="Times New Roman" w:hAnsi="Calibri" w:cs="Calibri"/>
                <w:b/>
                <w:color w:val="000000"/>
                <w:sz w:val="20"/>
                <w:szCs w:val="20"/>
                <w:lang w:eastAsia="en-AU"/>
              </w:rPr>
            </w:pPr>
            <w:r w:rsidRPr="000077AF">
              <w:rPr>
                <w:rFonts w:ascii="Calibri" w:eastAsia="Times New Roman" w:hAnsi="Calibri" w:cs="Calibri"/>
                <w:b/>
                <w:color w:val="000000"/>
                <w:sz w:val="20"/>
                <w:szCs w:val="20"/>
                <w:u w:val="single"/>
                <w:lang w:eastAsia="en-AU"/>
              </w:rPr>
              <w:t>Ed</w:t>
            </w:r>
            <w:r>
              <w:rPr>
                <w:rFonts w:ascii="Calibri" w:eastAsia="Times New Roman" w:hAnsi="Calibri" w:cs="Calibri"/>
                <w:b/>
                <w:color w:val="000000"/>
                <w:sz w:val="20"/>
                <w:szCs w:val="20"/>
                <w:u w:val="single"/>
                <w:lang w:eastAsia="en-AU"/>
              </w:rPr>
              <w:t>.</w:t>
            </w:r>
          </w:p>
        </w:tc>
        <w:tc>
          <w:tcPr>
            <w:tcW w:w="0" w:type="auto"/>
            <w:vMerge w:val="restart"/>
            <w:shd w:val="clear" w:color="auto" w:fill="DDD9C3" w:themeFill="background2" w:themeFillShade="E6"/>
          </w:tcPr>
          <w:p w:rsidR="00E97C7E" w:rsidRPr="000077AF" w:rsidRDefault="00E97C7E" w:rsidP="00DC501B">
            <w:pPr>
              <w:spacing w:after="0" w:line="240" w:lineRule="auto"/>
              <w:jc w:val="center"/>
              <w:rPr>
                <w:rFonts w:ascii="Calibri" w:eastAsia="Times New Roman" w:hAnsi="Calibri" w:cs="Calibri"/>
                <w:b/>
                <w:color w:val="000000"/>
                <w:sz w:val="20"/>
                <w:szCs w:val="20"/>
                <w:lang w:eastAsia="en-AU"/>
              </w:rPr>
            </w:pPr>
            <w:r w:rsidRPr="000077AF">
              <w:rPr>
                <w:rFonts w:ascii="Calibri" w:eastAsia="Times New Roman" w:hAnsi="Calibri" w:cs="Calibri"/>
                <w:b/>
                <w:color w:val="000000"/>
                <w:sz w:val="20"/>
                <w:szCs w:val="20"/>
                <w:u w:val="single"/>
                <w:lang w:eastAsia="en-AU"/>
              </w:rPr>
              <w:t>Name</w:t>
            </w:r>
          </w:p>
          <w:p w:rsidR="00E97C7E" w:rsidRPr="000077AF" w:rsidRDefault="00E97C7E" w:rsidP="00DC501B">
            <w:pPr>
              <w:spacing w:after="0" w:line="240" w:lineRule="auto"/>
              <w:jc w:val="center"/>
              <w:rPr>
                <w:rFonts w:ascii="Calibri" w:eastAsia="Times New Roman" w:hAnsi="Calibri" w:cs="Calibri"/>
                <w:b/>
                <w:color w:val="000000"/>
                <w:sz w:val="20"/>
                <w:szCs w:val="20"/>
                <w:lang w:eastAsia="en-AU"/>
              </w:rPr>
            </w:pPr>
          </w:p>
          <w:p w:rsidR="00E97C7E" w:rsidRPr="000077AF" w:rsidRDefault="00E97C7E" w:rsidP="00DC501B">
            <w:pPr>
              <w:spacing w:after="0" w:line="240" w:lineRule="auto"/>
              <w:jc w:val="center"/>
              <w:rPr>
                <w:rFonts w:ascii="Calibri" w:eastAsia="Times New Roman" w:hAnsi="Calibri" w:cs="Calibri"/>
                <w:b/>
                <w:color w:val="000000"/>
                <w:sz w:val="20"/>
                <w:szCs w:val="20"/>
                <w:lang w:eastAsia="en-AU"/>
              </w:rPr>
            </w:pPr>
          </w:p>
        </w:tc>
        <w:tc>
          <w:tcPr>
            <w:tcW w:w="0" w:type="auto"/>
            <w:vMerge w:val="restart"/>
            <w:shd w:val="clear" w:color="auto" w:fill="DDD9C3" w:themeFill="background2" w:themeFillShade="E6"/>
          </w:tcPr>
          <w:p w:rsidR="00E97C7E" w:rsidRDefault="00E97C7E" w:rsidP="00DC501B">
            <w:pPr>
              <w:spacing w:after="0" w:line="240" w:lineRule="auto"/>
              <w:jc w:val="center"/>
              <w:rPr>
                <w:rFonts w:ascii="Calibri" w:eastAsia="Times New Roman" w:hAnsi="Calibri" w:cs="Calibri"/>
                <w:b/>
                <w:color w:val="000000"/>
                <w:sz w:val="20"/>
                <w:szCs w:val="20"/>
                <w:lang w:eastAsia="en-AU"/>
              </w:rPr>
            </w:pPr>
            <w:r>
              <w:rPr>
                <w:rFonts w:ascii="Calibri" w:eastAsia="Times New Roman" w:hAnsi="Calibri" w:cs="Calibri"/>
                <w:b/>
                <w:color w:val="000000"/>
                <w:sz w:val="20"/>
                <w:szCs w:val="20"/>
                <w:lang w:eastAsia="en-AU"/>
              </w:rPr>
              <w:t>No. of Pages</w:t>
            </w:r>
          </w:p>
        </w:tc>
        <w:tc>
          <w:tcPr>
            <w:tcW w:w="0" w:type="auto"/>
            <w:gridSpan w:val="3"/>
            <w:shd w:val="clear" w:color="auto" w:fill="DDD9C3" w:themeFill="background2" w:themeFillShade="E6"/>
          </w:tcPr>
          <w:p w:rsidR="00E97C7E" w:rsidRPr="000077AF" w:rsidRDefault="00E97C7E" w:rsidP="00DC501B">
            <w:pPr>
              <w:spacing w:after="0" w:line="240" w:lineRule="auto"/>
              <w:jc w:val="center"/>
              <w:rPr>
                <w:rFonts w:ascii="Calibri" w:eastAsia="Times New Roman" w:hAnsi="Calibri" w:cs="Calibri"/>
                <w:b/>
                <w:color w:val="000000"/>
                <w:sz w:val="20"/>
                <w:szCs w:val="20"/>
                <w:lang w:eastAsia="en-AU"/>
              </w:rPr>
            </w:pPr>
            <w:r>
              <w:rPr>
                <w:rFonts w:ascii="Calibri" w:eastAsia="Times New Roman" w:hAnsi="Calibri" w:cs="Calibri"/>
                <w:b/>
                <w:color w:val="000000"/>
                <w:sz w:val="20"/>
                <w:szCs w:val="20"/>
                <w:lang w:eastAsia="en-AU"/>
              </w:rPr>
              <w:t>Recommendations</w:t>
            </w:r>
          </w:p>
        </w:tc>
        <w:tc>
          <w:tcPr>
            <w:tcW w:w="0" w:type="auto"/>
            <w:gridSpan w:val="2"/>
            <w:shd w:val="clear" w:color="auto" w:fill="DDD9C3" w:themeFill="background2" w:themeFillShade="E6"/>
          </w:tcPr>
          <w:p w:rsidR="00E97C7E" w:rsidRDefault="00E97C7E" w:rsidP="00DC501B">
            <w:pPr>
              <w:spacing w:after="0" w:line="240" w:lineRule="auto"/>
              <w:jc w:val="center"/>
              <w:rPr>
                <w:rFonts w:ascii="Calibri" w:eastAsia="Times New Roman" w:hAnsi="Calibri" w:cs="Calibri"/>
                <w:b/>
                <w:color w:val="000000"/>
                <w:sz w:val="20"/>
                <w:szCs w:val="20"/>
                <w:lang w:eastAsia="en-AU"/>
              </w:rPr>
            </w:pPr>
            <w:r>
              <w:rPr>
                <w:rFonts w:ascii="Calibri" w:eastAsia="Times New Roman" w:hAnsi="Calibri" w:cs="Calibri"/>
                <w:b/>
                <w:color w:val="000000"/>
                <w:sz w:val="20"/>
                <w:szCs w:val="20"/>
                <w:lang w:eastAsia="en-AU"/>
              </w:rPr>
              <w:t>Guidelines</w:t>
            </w:r>
          </w:p>
        </w:tc>
        <w:tc>
          <w:tcPr>
            <w:tcW w:w="0" w:type="auto"/>
            <w:shd w:val="clear" w:color="auto" w:fill="DDD9C3" w:themeFill="background2" w:themeFillShade="E6"/>
          </w:tcPr>
          <w:p w:rsidR="00E97C7E" w:rsidRPr="00D63FE9" w:rsidRDefault="00E97C7E" w:rsidP="00DC501B">
            <w:pPr>
              <w:jc w:val="center"/>
              <w:rPr>
                <w:rFonts w:ascii="Calibri" w:eastAsia="Times New Roman" w:hAnsi="Calibri" w:cs="Calibri"/>
                <w:b/>
                <w:sz w:val="20"/>
                <w:szCs w:val="20"/>
                <w:lang w:eastAsia="en-AU"/>
              </w:rPr>
            </w:pPr>
            <w:r w:rsidRPr="00D63FE9">
              <w:rPr>
                <w:rFonts w:ascii="Calibri" w:eastAsia="Times New Roman" w:hAnsi="Calibri" w:cs="Calibri"/>
                <w:b/>
                <w:sz w:val="20"/>
                <w:szCs w:val="20"/>
                <w:lang w:eastAsia="en-AU"/>
              </w:rPr>
              <w:t>Conclusion</w:t>
            </w:r>
            <w:r>
              <w:rPr>
                <w:rFonts w:ascii="Calibri" w:eastAsia="Times New Roman" w:hAnsi="Calibri" w:cs="Calibri"/>
                <w:b/>
                <w:sz w:val="20"/>
                <w:szCs w:val="20"/>
                <w:lang w:eastAsia="en-AU"/>
              </w:rPr>
              <w:t>/s</w:t>
            </w:r>
          </w:p>
        </w:tc>
      </w:tr>
      <w:tr w:rsidR="00E97C7E" w:rsidRPr="000077AF" w:rsidTr="00DC501B">
        <w:trPr>
          <w:cantSplit/>
          <w:trHeight w:val="1799"/>
          <w:tblHeader/>
        </w:trPr>
        <w:tc>
          <w:tcPr>
            <w:tcW w:w="0" w:type="auto"/>
            <w:vMerge/>
            <w:shd w:val="clear" w:color="auto" w:fill="DDD9C3" w:themeFill="background2" w:themeFillShade="E6"/>
          </w:tcPr>
          <w:p w:rsidR="00E97C7E" w:rsidRPr="000077AF" w:rsidRDefault="00E97C7E" w:rsidP="00DC501B">
            <w:pPr>
              <w:spacing w:after="0" w:line="240" w:lineRule="auto"/>
              <w:jc w:val="center"/>
              <w:rPr>
                <w:rFonts w:ascii="Calibri" w:eastAsia="Times New Roman" w:hAnsi="Calibri" w:cs="Calibri"/>
                <w:b/>
                <w:color w:val="000000"/>
                <w:sz w:val="20"/>
                <w:szCs w:val="20"/>
                <w:u w:val="single"/>
                <w:lang w:eastAsia="en-AU"/>
              </w:rPr>
            </w:pPr>
          </w:p>
        </w:tc>
        <w:tc>
          <w:tcPr>
            <w:tcW w:w="0" w:type="auto"/>
            <w:vMerge/>
            <w:shd w:val="clear" w:color="auto" w:fill="DDD9C3" w:themeFill="background2" w:themeFillShade="E6"/>
          </w:tcPr>
          <w:p w:rsidR="00E97C7E" w:rsidRPr="000077AF" w:rsidRDefault="00E97C7E" w:rsidP="00DC501B">
            <w:pPr>
              <w:spacing w:after="0" w:line="240" w:lineRule="auto"/>
              <w:jc w:val="center"/>
              <w:rPr>
                <w:rFonts w:ascii="Calibri" w:eastAsia="Times New Roman" w:hAnsi="Calibri" w:cs="Calibri"/>
                <w:b/>
                <w:color w:val="000000"/>
                <w:sz w:val="20"/>
                <w:szCs w:val="20"/>
                <w:u w:val="single"/>
                <w:lang w:eastAsia="en-AU"/>
              </w:rPr>
            </w:pPr>
          </w:p>
        </w:tc>
        <w:tc>
          <w:tcPr>
            <w:tcW w:w="0" w:type="auto"/>
            <w:vMerge/>
            <w:shd w:val="clear" w:color="auto" w:fill="DDD9C3" w:themeFill="background2" w:themeFillShade="E6"/>
          </w:tcPr>
          <w:p w:rsidR="00E97C7E" w:rsidRPr="000077AF" w:rsidRDefault="00E97C7E" w:rsidP="00DC501B">
            <w:pPr>
              <w:spacing w:after="0" w:line="240" w:lineRule="auto"/>
              <w:jc w:val="center"/>
              <w:rPr>
                <w:rFonts w:ascii="Calibri" w:eastAsia="Times New Roman" w:hAnsi="Calibri" w:cs="Calibri"/>
                <w:b/>
                <w:color w:val="000000"/>
                <w:sz w:val="20"/>
                <w:szCs w:val="20"/>
                <w:u w:val="single"/>
                <w:lang w:eastAsia="en-AU"/>
              </w:rPr>
            </w:pPr>
          </w:p>
        </w:tc>
        <w:tc>
          <w:tcPr>
            <w:tcW w:w="0" w:type="auto"/>
            <w:vMerge/>
            <w:shd w:val="clear" w:color="auto" w:fill="DDD9C3" w:themeFill="background2" w:themeFillShade="E6"/>
          </w:tcPr>
          <w:p w:rsidR="00E97C7E" w:rsidRDefault="00E97C7E" w:rsidP="00DC501B">
            <w:pPr>
              <w:spacing w:after="0" w:line="240" w:lineRule="auto"/>
              <w:rPr>
                <w:rFonts w:ascii="Calibri" w:eastAsia="Times New Roman" w:hAnsi="Calibri" w:cs="Calibri"/>
                <w:b/>
                <w:color w:val="000000"/>
                <w:sz w:val="20"/>
                <w:szCs w:val="20"/>
                <w:lang w:eastAsia="en-AU"/>
              </w:rPr>
            </w:pPr>
          </w:p>
        </w:tc>
        <w:tc>
          <w:tcPr>
            <w:tcW w:w="0" w:type="auto"/>
            <w:shd w:val="clear" w:color="auto" w:fill="DDD9C3" w:themeFill="background2" w:themeFillShade="E6"/>
          </w:tcPr>
          <w:p w:rsidR="00E97C7E" w:rsidRPr="000077AF" w:rsidRDefault="00E97C7E" w:rsidP="00DC501B">
            <w:pPr>
              <w:spacing w:after="0" w:line="240" w:lineRule="auto"/>
              <w:rPr>
                <w:rFonts w:ascii="Calibri" w:eastAsia="Times New Roman" w:hAnsi="Calibri" w:cs="Calibri"/>
                <w:b/>
                <w:color w:val="000000"/>
                <w:sz w:val="20"/>
                <w:szCs w:val="20"/>
                <w:lang w:eastAsia="en-AU"/>
              </w:rPr>
            </w:pPr>
            <w:r>
              <w:rPr>
                <w:rFonts w:ascii="Calibri" w:eastAsia="Times New Roman" w:hAnsi="Calibri" w:cs="Calibri"/>
                <w:b/>
                <w:color w:val="000000"/>
                <w:sz w:val="20"/>
                <w:szCs w:val="20"/>
                <w:lang w:eastAsia="en-AU"/>
              </w:rPr>
              <w:t>D</w:t>
            </w:r>
            <w:r w:rsidRPr="000077AF">
              <w:rPr>
                <w:rFonts w:ascii="Calibri" w:eastAsia="Times New Roman" w:hAnsi="Calibri" w:cs="Calibri"/>
                <w:b/>
                <w:color w:val="000000"/>
                <w:sz w:val="20"/>
                <w:szCs w:val="20"/>
                <w:lang w:eastAsia="en-AU"/>
              </w:rPr>
              <w:t>irection on uniform procedures and processes</w:t>
            </w:r>
          </w:p>
        </w:tc>
        <w:tc>
          <w:tcPr>
            <w:tcW w:w="0" w:type="auto"/>
            <w:shd w:val="clear" w:color="auto" w:fill="DDD9C3" w:themeFill="background2" w:themeFillShade="E6"/>
          </w:tcPr>
          <w:p w:rsidR="00E97C7E" w:rsidRPr="000077AF" w:rsidRDefault="00E97C7E" w:rsidP="00DC501B">
            <w:pPr>
              <w:spacing w:after="0" w:line="240" w:lineRule="auto"/>
              <w:rPr>
                <w:rFonts w:ascii="Calibri" w:eastAsia="Times New Roman" w:hAnsi="Calibri" w:cs="Calibri"/>
                <w:b/>
                <w:color w:val="000000"/>
                <w:sz w:val="20"/>
                <w:szCs w:val="20"/>
                <w:lang w:eastAsia="en-AU"/>
              </w:rPr>
            </w:pPr>
            <w:r>
              <w:rPr>
                <w:rFonts w:ascii="Calibri" w:eastAsia="Times New Roman" w:hAnsi="Calibri" w:cs="Calibri"/>
                <w:b/>
                <w:color w:val="000000"/>
                <w:sz w:val="20"/>
                <w:szCs w:val="20"/>
                <w:lang w:eastAsia="en-AU"/>
              </w:rPr>
              <w:t>C</w:t>
            </w:r>
            <w:r w:rsidRPr="000077AF">
              <w:rPr>
                <w:rFonts w:ascii="Calibri" w:eastAsia="Times New Roman" w:hAnsi="Calibri" w:cs="Calibri"/>
                <w:b/>
                <w:color w:val="000000"/>
                <w:sz w:val="20"/>
                <w:szCs w:val="20"/>
                <w:lang w:eastAsia="en-AU"/>
              </w:rPr>
              <w:t>ontain</w:t>
            </w:r>
            <w:r>
              <w:rPr>
                <w:rFonts w:ascii="Calibri" w:eastAsia="Times New Roman" w:hAnsi="Calibri" w:cs="Calibri"/>
                <w:b/>
                <w:color w:val="000000"/>
                <w:sz w:val="20"/>
                <w:szCs w:val="20"/>
                <w:lang w:eastAsia="en-AU"/>
              </w:rPr>
              <w:t>s</w:t>
            </w:r>
            <w:r w:rsidRPr="000077AF">
              <w:rPr>
                <w:rFonts w:ascii="Calibri" w:eastAsia="Times New Roman" w:hAnsi="Calibri" w:cs="Calibri"/>
                <w:b/>
                <w:color w:val="000000"/>
                <w:sz w:val="20"/>
                <w:szCs w:val="20"/>
                <w:lang w:eastAsia="en-AU"/>
              </w:rPr>
              <w:t xml:space="preserve"> information on how members should plan, operate and manage Aids to Navigation</w:t>
            </w:r>
          </w:p>
        </w:tc>
        <w:tc>
          <w:tcPr>
            <w:tcW w:w="0" w:type="auto"/>
            <w:shd w:val="clear" w:color="auto" w:fill="DDD9C3" w:themeFill="background2" w:themeFillShade="E6"/>
          </w:tcPr>
          <w:p w:rsidR="00E97C7E" w:rsidRPr="000077AF" w:rsidRDefault="00E97C7E" w:rsidP="00DC501B">
            <w:pPr>
              <w:spacing w:after="0" w:line="240" w:lineRule="auto"/>
              <w:rPr>
                <w:rFonts w:ascii="Calibri" w:eastAsia="Times New Roman" w:hAnsi="Calibri" w:cs="Calibri"/>
                <w:b/>
                <w:color w:val="000000"/>
                <w:sz w:val="20"/>
                <w:szCs w:val="20"/>
                <w:lang w:eastAsia="en-AU"/>
              </w:rPr>
            </w:pPr>
            <w:r>
              <w:rPr>
                <w:rFonts w:ascii="Calibri" w:eastAsia="Times New Roman" w:hAnsi="Calibri" w:cs="Calibri"/>
                <w:b/>
                <w:color w:val="000000"/>
                <w:sz w:val="20"/>
                <w:szCs w:val="20"/>
                <w:lang w:eastAsia="en-AU"/>
              </w:rPr>
              <w:t>R</w:t>
            </w:r>
            <w:r w:rsidRPr="000077AF">
              <w:rPr>
                <w:rFonts w:ascii="Calibri" w:eastAsia="Times New Roman" w:hAnsi="Calibri" w:cs="Calibri"/>
                <w:b/>
                <w:color w:val="000000"/>
                <w:sz w:val="20"/>
                <w:szCs w:val="20"/>
                <w:lang w:eastAsia="en-AU"/>
              </w:rPr>
              <w:t>eference</w:t>
            </w:r>
            <w:r>
              <w:rPr>
                <w:rFonts w:ascii="Calibri" w:eastAsia="Times New Roman" w:hAnsi="Calibri" w:cs="Calibri"/>
                <w:b/>
                <w:color w:val="000000"/>
                <w:sz w:val="20"/>
                <w:szCs w:val="20"/>
                <w:lang w:eastAsia="en-AU"/>
              </w:rPr>
              <w:t>s</w:t>
            </w:r>
            <w:r w:rsidRPr="000077AF">
              <w:rPr>
                <w:rFonts w:ascii="Calibri" w:eastAsia="Times New Roman" w:hAnsi="Calibri" w:cs="Calibri"/>
                <w:b/>
                <w:color w:val="000000"/>
                <w:sz w:val="20"/>
                <w:szCs w:val="20"/>
                <w:lang w:eastAsia="en-AU"/>
              </w:rPr>
              <w:t xml:space="preserve"> relevant International Standards and IALA Guidelines</w:t>
            </w:r>
          </w:p>
        </w:tc>
        <w:tc>
          <w:tcPr>
            <w:tcW w:w="0" w:type="auto"/>
            <w:shd w:val="clear" w:color="auto" w:fill="DDD9C3" w:themeFill="background2" w:themeFillShade="E6"/>
          </w:tcPr>
          <w:p w:rsidR="00E97C7E" w:rsidRPr="000077AF" w:rsidRDefault="00E97C7E" w:rsidP="00DC501B">
            <w:pPr>
              <w:spacing w:after="0" w:line="240" w:lineRule="auto"/>
              <w:rPr>
                <w:rFonts w:ascii="Calibri" w:eastAsia="Times New Roman" w:hAnsi="Calibri" w:cs="Calibri"/>
                <w:b/>
                <w:color w:val="000000"/>
                <w:sz w:val="20"/>
                <w:szCs w:val="20"/>
                <w:lang w:eastAsia="en-AU"/>
              </w:rPr>
            </w:pPr>
            <w:r>
              <w:rPr>
                <w:rFonts w:ascii="Calibri" w:eastAsia="Times New Roman" w:hAnsi="Calibri" w:cs="Calibri"/>
                <w:b/>
                <w:color w:val="000000"/>
                <w:sz w:val="20"/>
                <w:szCs w:val="20"/>
                <w:lang w:eastAsia="en-AU"/>
              </w:rPr>
              <w:t>P</w:t>
            </w:r>
            <w:r w:rsidRPr="000077AF">
              <w:rPr>
                <w:rFonts w:ascii="Calibri" w:eastAsia="Times New Roman" w:hAnsi="Calibri" w:cs="Calibri"/>
                <w:b/>
                <w:color w:val="000000"/>
                <w:sz w:val="20"/>
                <w:szCs w:val="20"/>
                <w:lang w:eastAsia="en-AU"/>
              </w:rPr>
              <w:t>rovide</w:t>
            </w:r>
            <w:r>
              <w:rPr>
                <w:rFonts w:ascii="Calibri" w:eastAsia="Times New Roman" w:hAnsi="Calibri" w:cs="Calibri"/>
                <w:b/>
                <w:color w:val="000000"/>
                <w:sz w:val="20"/>
                <w:szCs w:val="20"/>
                <w:lang w:eastAsia="en-AU"/>
              </w:rPr>
              <w:t>s</w:t>
            </w:r>
            <w:r w:rsidRPr="000077AF">
              <w:rPr>
                <w:rFonts w:ascii="Calibri" w:eastAsia="Times New Roman" w:hAnsi="Calibri" w:cs="Calibri"/>
                <w:b/>
                <w:color w:val="000000"/>
                <w:sz w:val="20"/>
                <w:szCs w:val="20"/>
                <w:lang w:eastAsia="en-AU"/>
              </w:rPr>
              <w:t xml:space="preserve"> detailed information on an aspect of a specific subject, indicating options, best practices and suggestions for implementation</w:t>
            </w:r>
          </w:p>
        </w:tc>
        <w:tc>
          <w:tcPr>
            <w:tcW w:w="0" w:type="auto"/>
            <w:shd w:val="clear" w:color="auto" w:fill="DDD9C3" w:themeFill="background2" w:themeFillShade="E6"/>
          </w:tcPr>
          <w:p w:rsidR="00E97C7E" w:rsidRPr="000077AF" w:rsidRDefault="00E97C7E" w:rsidP="00DC501B">
            <w:pPr>
              <w:spacing w:after="0" w:line="240" w:lineRule="auto"/>
              <w:rPr>
                <w:rFonts w:ascii="Calibri" w:eastAsia="Times New Roman" w:hAnsi="Calibri" w:cs="Calibri"/>
                <w:b/>
                <w:color w:val="000000"/>
                <w:sz w:val="20"/>
                <w:szCs w:val="20"/>
                <w:lang w:eastAsia="en-AU"/>
              </w:rPr>
            </w:pPr>
            <w:r>
              <w:rPr>
                <w:rFonts w:ascii="Calibri" w:eastAsia="Times New Roman" w:hAnsi="Calibri" w:cs="Calibri"/>
                <w:b/>
                <w:color w:val="000000"/>
                <w:sz w:val="20"/>
                <w:szCs w:val="20"/>
                <w:lang w:eastAsia="en-AU"/>
              </w:rPr>
              <w:t>R</w:t>
            </w:r>
            <w:r w:rsidRPr="000077AF">
              <w:rPr>
                <w:rFonts w:ascii="Calibri" w:eastAsia="Times New Roman" w:hAnsi="Calibri" w:cs="Calibri"/>
                <w:b/>
                <w:color w:val="000000"/>
                <w:sz w:val="20"/>
                <w:szCs w:val="20"/>
                <w:lang w:eastAsia="en-AU"/>
              </w:rPr>
              <w:t>elate</w:t>
            </w:r>
            <w:r>
              <w:rPr>
                <w:rFonts w:ascii="Calibri" w:eastAsia="Times New Roman" w:hAnsi="Calibri" w:cs="Calibri"/>
                <w:b/>
                <w:color w:val="000000"/>
                <w:sz w:val="20"/>
                <w:szCs w:val="20"/>
                <w:lang w:eastAsia="en-AU"/>
              </w:rPr>
              <w:t>s</w:t>
            </w:r>
            <w:r w:rsidRPr="000077AF">
              <w:rPr>
                <w:rFonts w:ascii="Calibri" w:eastAsia="Times New Roman" w:hAnsi="Calibri" w:cs="Calibri"/>
                <w:b/>
                <w:color w:val="000000"/>
                <w:sz w:val="20"/>
                <w:szCs w:val="20"/>
                <w:lang w:eastAsia="en-AU"/>
              </w:rPr>
              <w:t xml:space="preserve"> to planning, operating and managing Aids to Navigation</w:t>
            </w:r>
          </w:p>
        </w:tc>
        <w:tc>
          <w:tcPr>
            <w:tcW w:w="0" w:type="auto"/>
            <w:shd w:val="clear" w:color="auto" w:fill="DDD9C3" w:themeFill="background2" w:themeFillShade="E6"/>
          </w:tcPr>
          <w:p w:rsidR="00E97C7E" w:rsidRPr="000077AF" w:rsidRDefault="00E97C7E" w:rsidP="00DC501B">
            <w:pPr>
              <w:spacing w:after="0" w:line="240" w:lineRule="auto"/>
              <w:jc w:val="center"/>
              <w:rPr>
                <w:rFonts w:ascii="Calibri" w:eastAsia="Times New Roman" w:hAnsi="Calibri" w:cs="Calibri"/>
                <w:b/>
                <w:color w:val="000000"/>
                <w:sz w:val="20"/>
                <w:szCs w:val="20"/>
                <w:lang w:eastAsia="en-AU"/>
              </w:rPr>
            </w:pPr>
          </w:p>
        </w:tc>
      </w:tr>
      <w:tr w:rsidR="00E97C7E" w:rsidRPr="000077AF" w:rsidTr="00DC501B">
        <w:trPr>
          <w:trHeight w:val="600"/>
        </w:trPr>
        <w:tc>
          <w:tcPr>
            <w:tcW w:w="0" w:type="auto"/>
            <w:shd w:val="clear" w:color="auto" w:fill="auto"/>
          </w:tcPr>
          <w:p w:rsidR="00E97C7E" w:rsidRPr="000077AF" w:rsidRDefault="00E97C7E" w:rsidP="00DC501B">
            <w:pPr>
              <w:spacing w:after="0" w:line="240" w:lineRule="auto"/>
              <w:jc w:val="both"/>
              <w:rPr>
                <w:rFonts w:ascii="Calibri" w:eastAsia="Times New Roman" w:hAnsi="Calibri" w:cs="Calibri"/>
                <w:color w:val="000000"/>
                <w:sz w:val="20"/>
                <w:szCs w:val="20"/>
                <w:lang w:eastAsia="en-AU"/>
              </w:rPr>
            </w:pPr>
          </w:p>
        </w:tc>
        <w:tc>
          <w:tcPr>
            <w:tcW w:w="0" w:type="auto"/>
            <w:shd w:val="clear" w:color="auto" w:fill="auto"/>
          </w:tcPr>
          <w:p w:rsidR="00E97C7E" w:rsidRPr="000077AF" w:rsidRDefault="00E97C7E" w:rsidP="00DC501B">
            <w:pPr>
              <w:spacing w:after="0" w:line="240" w:lineRule="auto"/>
              <w:jc w:val="both"/>
              <w:rPr>
                <w:rFonts w:ascii="Calibri" w:eastAsia="Times New Roman" w:hAnsi="Calibri" w:cs="Calibri"/>
                <w:color w:val="000000"/>
                <w:sz w:val="20"/>
                <w:szCs w:val="20"/>
                <w:lang w:eastAsia="en-AU"/>
              </w:rPr>
            </w:pPr>
          </w:p>
        </w:tc>
        <w:tc>
          <w:tcPr>
            <w:tcW w:w="0" w:type="auto"/>
            <w:shd w:val="clear" w:color="auto" w:fill="auto"/>
          </w:tcPr>
          <w:p w:rsidR="00E97C7E" w:rsidRPr="000077AF" w:rsidRDefault="00E97C7E" w:rsidP="00DC501B">
            <w:pPr>
              <w:spacing w:after="0" w:line="240" w:lineRule="auto"/>
              <w:jc w:val="both"/>
              <w:rPr>
                <w:rFonts w:ascii="Calibri" w:eastAsia="Times New Roman" w:hAnsi="Calibri" w:cs="Calibri"/>
                <w:color w:val="000000"/>
                <w:sz w:val="20"/>
                <w:szCs w:val="20"/>
                <w:lang w:eastAsia="en-AU"/>
              </w:rPr>
            </w:pPr>
          </w:p>
        </w:tc>
        <w:tc>
          <w:tcPr>
            <w:tcW w:w="0" w:type="auto"/>
          </w:tcPr>
          <w:p w:rsidR="00E97C7E" w:rsidRPr="000077AF" w:rsidRDefault="00E97C7E" w:rsidP="00DC501B">
            <w:pPr>
              <w:rPr>
                <w:rFonts w:ascii="Calibri" w:eastAsia="Times New Roman" w:hAnsi="Calibri" w:cs="Calibri"/>
                <w:color w:val="000000"/>
                <w:sz w:val="20"/>
                <w:szCs w:val="20"/>
                <w:lang w:eastAsia="en-AU"/>
              </w:rPr>
            </w:pPr>
          </w:p>
        </w:tc>
        <w:tc>
          <w:tcPr>
            <w:tcW w:w="0" w:type="auto"/>
          </w:tcPr>
          <w:p w:rsidR="00E97C7E" w:rsidRPr="000077AF" w:rsidRDefault="00E97C7E" w:rsidP="00DC501B">
            <w:pPr>
              <w:rPr>
                <w:rFonts w:ascii="Calibri" w:eastAsia="Times New Roman" w:hAnsi="Calibri" w:cs="Calibri"/>
                <w:color w:val="000000"/>
                <w:sz w:val="20"/>
                <w:szCs w:val="20"/>
                <w:lang w:eastAsia="en-AU"/>
              </w:rPr>
            </w:pPr>
          </w:p>
        </w:tc>
        <w:tc>
          <w:tcPr>
            <w:tcW w:w="0" w:type="auto"/>
          </w:tcPr>
          <w:p w:rsidR="00E97C7E" w:rsidRPr="000077AF" w:rsidRDefault="00E97C7E" w:rsidP="00DC501B">
            <w:pPr>
              <w:rPr>
                <w:rFonts w:ascii="Calibri" w:eastAsia="Times New Roman" w:hAnsi="Calibri" w:cs="Calibri"/>
                <w:color w:val="000000"/>
                <w:sz w:val="20"/>
                <w:szCs w:val="20"/>
                <w:lang w:eastAsia="en-AU"/>
              </w:rPr>
            </w:pPr>
          </w:p>
        </w:tc>
        <w:tc>
          <w:tcPr>
            <w:tcW w:w="0" w:type="auto"/>
          </w:tcPr>
          <w:p w:rsidR="00E97C7E" w:rsidRPr="000077AF" w:rsidRDefault="00E97C7E" w:rsidP="00DC501B">
            <w:pPr>
              <w:rPr>
                <w:rFonts w:ascii="Calibri" w:eastAsia="Times New Roman" w:hAnsi="Calibri" w:cs="Calibri"/>
                <w:color w:val="000000"/>
                <w:sz w:val="20"/>
                <w:szCs w:val="20"/>
                <w:lang w:eastAsia="en-AU"/>
              </w:rPr>
            </w:pPr>
          </w:p>
        </w:tc>
        <w:tc>
          <w:tcPr>
            <w:tcW w:w="0" w:type="auto"/>
          </w:tcPr>
          <w:p w:rsidR="00E97C7E" w:rsidRPr="000077AF" w:rsidRDefault="00E97C7E" w:rsidP="00DC501B">
            <w:pPr>
              <w:rPr>
                <w:rFonts w:ascii="Calibri" w:eastAsia="Times New Roman" w:hAnsi="Calibri" w:cs="Calibri"/>
                <w:color w:val="000000"/>
                <w:sz w:val="20"/>
                <w:szCs w:val="20"/>
                <w:lang w:eastAsia="en-AU"/>
              </w:rPr>
            </w:pPr>
          </w:p>
        </w:tc>
        <w:tc>
          <w:tcPr>
            <w:tcW w:w="0" w:type="auto"/>
          </w:tcPr>
          <w:p w:rsidR="00E97C7E" w:rsidRPr="000077AF" w:rsidRDefault="00E97C7E" w:rsidP="00DC501B">
            <w:pPr>
              <w:rPr>
                <w:rFonts w:ascii="Calibri" w:eastAsia="Times New Roman" w:hAnsi="Calibri" w:cs="Calibri"/>
                <w:color w:val="000000"/>
                <w:sz w:val="20"/>
                <w:szCs w:val="20"/>
                <w:lang w:eastAsia="en-AU"/>
              </w:rPr>
            </w:pPr>
          </w:p>
        </w:tc>
        <w:tc>
          <w:tcPr>
            <w:tcW w:w="0" w:type="auto"/>
          </w:tcPr>
          <w:p w:rsidR="00E97C7E" w:rsidRPr="000077AF" w:rsidRDefault="00E97C7E" w:rsidP="00DC501B">
            <w:pPr>
              <w:rPr>
                <w:rFonts w:ascii="Calibri" w:eastAsia="Times New Roman" w:hAnsi="Calibri" w:cs="Calibri"/>
                <w:color w:val="000000"/>
                <w:sz w:val="20"/>
                <w:szCs w:val="20"/>
                <w:lang w:eastAsia="en-AU"/>
              </w:rPr>
            </w:pPr>
          </w:p>
        </w:tc>
      </w:tr>
      <w:tr w:rsidR="00E97C7E" w:rsidRPr="000077AF" w:rsidTr="00DC501B">
        <w:trPr>
          <w:trHeight w:val="300"/>
        </w:trPr>
        <w:tc>
          <w:tcPr>
            <w:tcW w:w="0" w:type="auto"/>
            <w:shd w:val="clear" w:color="auto" w:fill="auto"/>
          </w:tcPr>
          <w:p w:rsidR="00E97C7E" w:rsidRPr="000077AF" w:rsidRDefault="00E97C7E" w:rsidP="00DC501B">
            <w:pPr>
              <w:spacing w:after="0" w:line="240" w:lineRule="auto"/>
              <w:jc w:val="both"/>
              <w:rPr>
                <w:rFonts w:ascii="Calibri" w:eastAsia="Times New Roman" w:hAnsi="Calibri" w:cs="Calibri"/>
                <w:color w:val="000000"/>
                <w:sz w:val="20"/>
                <w:szCs w:val="20"/>
                <w:lang w:eastAsia="en-AU"/>
              </w:rPr>
            </w:pPr>
          </w:p>
        </w:tc>
        <w:tc>
          <w:tcPr>
            <w:tcW w:w="0" w:type="auto"/>
            <w:shd w:val="clear" w:color="auto" w:fill="auto"/>
          </w:tcPr>
          <w:p w:rsidR="00E97C7E" w:rsidRPr="000077AF" w:rsidRDefault="00E97C7E" w:rsidP="00DC501B">
            <w:pPr>
              <w:spacing w:after="0" w:line="240" w:lineRule="auto"/>
              <w:jc w:val="both"/>
              <w:rPr>
                <w:rFonts w:ascii="Calibri" w:eastAsia="Times New Roman" w:hAnsi="Calibri" w:cs="Calibri"/>
                <w:color w:val="000000"/>
                <w:sz w:val="20"/>
                <w:szCs w:val="20"/>
                <w:lang w:eastAsia="en-AU"/>
              </w:rPr>
            </w:pPr>
          </w:p>
        </w:tc>
        <w:tc>
          <w:tcPr>
            <w:tcW w:w="0" w:type="auto"/>
            <w:shd w:val="clear" w:color="auto" w:fill="auto"/>
          </w:tcPr>
          <w:p w:rsidR="00E97C7E" w:rsidRPr="000077AF" w:rsidRDefault="00E97C7E" w:rsidP="00DC501B">
            <w:pPr>
              <w:spacing w:after="0" w:line="240" w:lineRule="auto"/>
              <w:jc w:val="both"/>
              <w:rPr>
                <w:rFonts w:ascii="Calibri" w:eastAsia="Times New Roman" w:hAnsi="Calibri" w:cs="Calibri"/>
                <w:color w:val="000000"/>
                <w:sz w:val="20"/>
                <w:szCs w:val="20"/>
                <w:lang w:eastAsia="en-AU"/>
              </w:rPr>
            </w:pPr>
          </w:p>
        </w:tc>
        <w:tc>
          <w:tcPr>
            <w:tcW w:w="0" w:type="auto"/>
          </w:tcPr>
          <w:p w:rsidR="00E97C7E" w:rsidRPr="000077AF" w:rsidRDefault="00E97C7E" w:rsidP="00DC501B">
            <w:pPr>
              <w:rPr>
                <w:rFonts w:ascii="Calibri" w:eastAsia="Times New Roman" w:hAnsi="Calibri" w:cs="Calibri"/>
                <w:color w:val="000000"/>
                <w:sz w:val="20"/>
                <w:szCs w:val="20"/>
                <w:lang w:eastAsia="en-AU"/>
              </w:rPr>
            </w:pPr>
          </w:p>
        </w:tc>
        <w:tc>
          <w:tcPr>
            <w:tcW w:w="0" w:type="auto"/>
          </w:tcPr>
          <w:p w:rsidR="00E97C7E" w:rsidRPr="000077AF" w:rsidRDefault="00E97C7E" w:rsidP="00DC501B">
            <w:pPr>
              <w:rPr>
                <w:rFonts w:ascii="Calibri" w:eastAsia="Times New Roman" w:hAnsi="Calibri" w:cs="Calibri"/>
                <w:color w:val="000000"/>
                <w:sz w:val="20"/>
                <w:szCs w:val="20"/>
                <w:lang w:eastAsia="en-AU"/>
              </w:rPr>
            </w:pPr>
          </w:p>
        </w:tc>
        <w:tc>
          <w:tcPr>
            <w:tcW w:w="0" w:type="auto"/>
          </w:tcPr>
          <w:p w:rsidR="00E97C7E" w:rsidRPr="000077AF" w:rsidRDefault="00E97C7E" w:rsidP="00DC501B">
            <w:pPr>
              <w:rPr>
                <w:rFonts w:ascii="Calibri" w:eastAsia="Times New Roman" w:hAnsi="Calibri" w:cs="Calibri"/>
                <w:color w:val="000000"/>
                <w:sz w:val="20"/>
                <w:szCs w:val="20"/>
                <w:lang w:eastAsia="en-AU"/>
              </w:rPr>
            </w:pPr>
          </w:p>
        </w:tc>
        <w:tc>
          <w:tcPr>
            <w:tcW w:w="0" w:type="auto"/>
          </w:tcPr>
          <w:p w:rsidR="00E97C7E" w:rsidRPr="000077AF" w:rsidRDefault="00E97C7E" w:rsidP="00DC501B">
            <w:pPr>
              <w:rPr>
                <w:rFonts w:ascii="Calibri" w:eastAsia="Times New Roman" w:hAnsi="Calibri" w:cs="Calibri"/>
                <w:color w:val="000000"/>
                <w:sz w:val="20"/>
                <w:szCs w:val="20"/>
                <w:lang w:eastAsia="en-AU"/>
              </w:rPr>
            </w:pPr>
          </w:p>
        </w:tc>
        <w:tc>
          <w:tcPr>
            <w:tcW w:w="0" w:type="auto"/>
          </w:tcPr>
          <w:p w:rsidR="00E97C7E" w:rsidRPr="000077AF" w:rsidRDefault="00E97C7E" w:rsidP="00DC501B">
            <w:pPr>
              <w:rPr>
                <w:rFonts w:ascii="Calibri" w:eastAsia="Times New Roman" w:hAnsi="Calibri" w:cs="Calibri"/>
                <w:color w:val="000000"/>
                <w:sz w:val="20"/>
                <w:szCs w:val="20"/>
                <w:lang w:eastAsia="en-AU"/>
              </w:rPr>
            </w:pPr>
          </w:p>
        </w:tc>
        <w:tc>
          <w:tcPr>
            <w:tcW w:w="0" w:type="auto"/>
          </w:tcPr>
          <w:p w:rsidR="00E97C7E" w:rsidRPr="000077AF" w:rsidRDefault="00E97C7E" w:rsidP="00DC501B">
            <w:pPr>
              <w:rPr>
                <w:rFonts w:ascii="Calibri" w:eastAsia="Times New Roman" w:hAnsi="Calibri" w:cs="Calibri"/>
                <w:color w:val="000000"/>
                <w:sz w:val="20"/>
                <w:szCs w:val="20"/>
                <w:lang w:eastAsia="en-AU"/>
              </w:rPr>
            </w:pPr>
          </w:p>
        </w:tc>
        <w:tc>
          <w:tcPr>
            <w:tcW w:w="0" w:type="auto"/>
          </w:tcPr>
          <w:p w:rsidR="00E97C7E" w:rsidRPr="000077AF" w:rsidRDefault="00E97C7E" w:rsidP="00DC501B">
            <w:pPr>
              <w:rPr>
                <w:rFonts w:ascii="Calibri" w:eastAsia="Times New Roman" w:hAnsi="Calibri" w:cs="Calibri"/>
                <w:color w:val="000000"/>
                <w:sz w:val="20"/>
                <w:szCs w:val="20"/>
                <w:lang w:eastAsia="en-AU"/>
              </w:rPr>
            </w:pPr>
          </w:p>
        </w:tc>
      </w:tr>
    </w:tbl>
    <w:p w:rsidR="00E97C7E" w:rsidRDefault="00E97C7E" w:rsidP="00E97C7E">
      <w:pPr>
        <w:spacing w:before="120" w:after="120" w:line="240" w:lineRule="auto"/>
      </w:pPr>
    </w:p>
    <w:p w:rsidR="007B4FF0" w:rsidRDefault="007B4FF0" w:rsidP="002666F3">
      <w:pPr>
        <w:spacing w:before="120" w:after="120" w:line="240" w:lineRule="auto"/>
      </w:pPr>
    </w:p>
    <w:sectPr w:rsidR="007B4FF0" w:rsidSect="00E97C7E">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56A97"/>
    <w:multiLevelType w:val="hybridMultilevel"/>
    <w:tmpl w:val="AA16AE2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nsid w:val="189010B0"/>
    <w:multiLevelType w:val="hybridMultilevel"/>
    <w:tmpl w:val="BE9ACE32"/>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nsid w:val="1BF836CD"/>
    <w:multiLevelType w:val="hybridMultilevel"/>
    <w:tmpl w:val="40C4F0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20C149AD"/>
    <w:multiLevelType w:val="hybridMultilevel"/>
    <w:tmpl w:val="BE32379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20C85DB2"/>
    <w:multiLevelType w:val="hybridMultilevel"/>
    <w:tmpl w:val="8C88BEAC"/>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
    <w:nsid w:val="31DB5378"/>
    <w:multiLevelType w:val="hybridMultilevel"/>
    <w:tmpl w:val="D7E6372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35A23422"/>
    <w:multiLevelType w:val="hybridMultilevel"/>
    <w:tmpl w:val="966296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38FF3FC5"/>
    <w:multiLevelType w:val="hybridMultilevel"/>
    <w:tmpl w:val="6A1AF0F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3F834179"/>
    <w:multiLevelType w:val="hybridMultilevel"/>
    <w:tmpl w:val="E8C2F6AC"/>
    <w:lvl w:ilvl="0" w:tplc="0C090001">
      <w:start w:val="1"/>
      <w:numFmt w:val="bullet"/>
      <w:lvlText w:val=""/>
      <w:lvlJc w:val="left"/>
      <w:pPr>
        <w:ind w:left="767" w:hanging="360"/>
      </w:pPr>
      <w:rPr>
        <w:rFonts w:ascii="Symbol" w:hAnsi="Symbol" w:hint="default"/>
      </w:rPr>
    </w:lvl>
    <w:lvl w:ilvl="1" w:tplc="0C090003" w:tentative="1">
      <w:start w:val="1"/>
      <w:numFmt w:val="bullet"/>
      <w:lvlText w:val="o"/>
      <w:lvlJc w:val="left"/>
      <w:pPr>
        <w:ind w:left="1487" w:hanging="360"/>
      </w:pPr>
      <w:rPr>
        <w:rFonts w:ascii="Courier New" w:hAnsi="Courier New" w:cs="Courier New" w:hint="default"/>
      </w:rPr>
    </w:lvl>
    <w:lvl w:ilvl="2" w:tplc="0C090005" w:tentative="1">
      <w:start w:val="1"/>
      <w:numFmt w:val="bullet"/>
      <w:lvlText w:val=""/>
      <w:lvlJc w:val="left"/>
      <w:pPr>
        <w:ind w:left="2207" w:hanging="360"/>
      </w:pPr>
      <w:rPr>
        <w:rFonts w:ascii="Wingdings" w:hAnsi="Wingdings" w:hint="default"/>
      </w:rPr>
    </w:lvl>
    <w:lvl w:ilvl="3" w:tplc="0C090001" w:tentative="1">
      <w:start w:val="1"/>
      <w:numFmt w:val="bullet"/>
      <w:lvlText w:val=""/>
      <w:lvlJc w:val="left"/>
      <w:pPr>
        <w:ind w:left="2927" w:hanging="360"/>
      </w:pPr>
      <w:rPr>
        <w:rFonts w:ascii="Symbol" w:hAnsi="Symbol" w:hint="default"/>
      </w:rPr>
    </w:lvl>
    <w:lvl w:ilvl="4" w:tplc="0C090003" w:tentative="1">
      <w:start w:val="1"/>
      <w:numFmt w:val="bullet"/>
      <w:lvlText w:val="o"/>
      <w:lvlJc w:val="left"/>
      <w:pPr>
        <w:ind w:left="3647" w:hanging="360"/>
      </w:pPr>
      <w:rPr>
        <w:rFonts w:ascii="Courier New" w:hAnsi="Courier New" w:cs="Courier New" w:hint="default"/>
      </w:rPr>
    </w:lvl>
    <w:lvl w:ilvl="5" w:tplc="0C090005" w:tentative="1">
      <w:start w:val="1"/>
      <w:numFmt w:val="bullet"/>
      <w:lvlText w:val=""/>
      <w:lvlJc w:val="left"/>
      <w:pPr>
        <w:ind w:left="4367" w:hanging="360"/>
      </w:pPr>
      <w:rPr>
        <w:rFonts w:ascii="Wingdings" w:hAnsi="Wingdings" w:hint="default"/>
      </w:rPr>
    </w:lvl>
    <w:lvl w:ilvl="6" w:tplc="0C090001" w:tentative="1">
      <w:start w:val="1"/>
      <w:numFmt w:val="bullet"/>
      <w:lvlText w:val=""/>
      <w:lvlJc w:val="left"/>
      <w:pPr>
        <w:ind w:left="5087" w:hanging="360"/>
      </w:pPr>
      <w:rPr>
        <w:rFonts w:ascii="Symbol" w:hAnsi="Symbol" w:hint="default"/>
      </w:rPr>
    </w:lvl>
    <w:lvl w:ilvl="7" w:tplc="0C090003" w:tentative="1">
      <w:start w:val="1"/>
      <w:numFmt w:val="bullet"/>
      <w:lvlText w:val="o"/>
      <w:lvlJc w:val="left"/>
      <w:pPr>
        <w:ind w:left="5807" w:hanging="360"/>
      </w:pPr>
      <w:rPr>
        <w:rFonts w:ascii="Courier New" w:hAnsi="Courier New" w:cs="Courier New" w:hint="default"/>
      </w:rPr>
    </w:lvl>
    <w:lvl w:ilvl="8" w:tplc="0C090005" w:tentative="1">
      <w:start w:val="1"/>
      <w:numFmt w:val="bullet"/>
      <w:lvlText w:val=""/>
      <w:lvlJc w:val="left"/>
      <w:pPr>
        <w:ind w:left="6527" w:hanging="360"/>
      </w:pPr>
      <w:rPr>
        <w:rFonts w:ascii="Wingdings" w:hAnsi="Wingdings" w:hint="default"/>
      </w:rPr>
    </w:lvl>
  </w:abstractNum>
  <w:abstractNum w:abstractNumId="9">
    <w:nsid w:val="50BD2DB0"/>
    <w:multiLevelType w:val="hybridMultilevel"/>
    <w:tmpl w:val="ED4E744E"/>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6A6A2462"/>
    <w:multiLevelType w:val="hybridMultilevel"/>
    <w:tmpl w:val="1E3A0E5A"/>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0"/>
  </w:num>
  <w:num w:numId="3">
    <w:abstractNumId w:val="9"/>
  </w:num>
  <w:num w:numId="4">
    <w:abstractNumId w:val="2"/>
  </w:num>
  <w:num w:numId="5">
    <w:abstractNumId w:val="10"/>
  </w:num>
  <w:num w:numId="6">
    <w:abstractNumId w:val="4"/>
  </w:num>
  <w:num w:numId="7">
    <w:abstractNumId w:val="1"/>
  </w:num>
  <w:num w:numId="8">
    <w:abstractNumId w:val="3"/>
  </w:num>
  <w:num w:numId="9">
    <w:abstractNumId w:val="5"/>
  </w:num>
  <w:num w:numId="10">
    <w:abstractNumId w:val="8"/>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8"/>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043"/>
    <w:rsid w:val="00074164"/>
    <w:rsid w:val="00074884"/>
    <w:rsid w:val="00144F12"/>
    <w:rsid w:val="002666F3"/>
    <w:rsid w:val="002B7994"/>
    <w:rsid w:val="002D00B3"/>
    <w:rsid w:val="00344D30"/>
    <w:rsid w:val="00347187"/>
    <w:rsid w:val="00394BD5"/>
    <w:rsid w:val="003A57F2"/>
    <w:rsid w:val="003A5B60"/>
    <w:rsid w:val="0040126B"/>
    <w:rsid w:val="004346CD"/>
    <w:rsid w:val="004751D1"/>
    <w:rsid w:val="004D4B83"/>
    <w:rsid w:val="004D6B13"/>
    <w:rsid w:val="004D6FE9"/>
    <w:rsid w:val="005C430D"/>
    <w:rsid w:val="005C7BA8"/>
    <w:rsid w:val="005D1F1B"/>
    <w:rsid w:val="005E24B3"/>
    <w:rsid w:val="005F6DC4"/>
    <w:rsid w:val="00656FED"/>
    <w:rsid w:val="006B3FF6"/>
    <w:rsid w:val="00741671"/>
    <w:rsid w:val="007605FA"/>
    <w:rsid w:val="00763489"/>
    <w:rsid w:val="007637D8"/>
    <w:rsid w:val="00775348"/>
    <w:rsid w:val="007A655A"/>
    <w:rsid w:val="007B4FF0"/>
    <w:rsid w:val="007D3889"/>
    <w:rsid w:val="00826FA9"/>
    <w:rsid w:val="00833C13"/>
    <w:rsid w:val="00850625"/>
    <w:rsid w:val="00863A77"/>
    <w:rsid w:val="00892719"/>
    <w:rsid w:val="0089515C"/>
    <w:rsid w:val="00902425"/>
    <w:rsid w:val="00955CED"/>
    <w:rsid w:val="009B78FD"/>
    <w:rsid w:val="00A03286"/>
    <w:rsid w:val="00A87043"/>
    <w:rsid w:val="00AA72B4"/>
    <w:rsid w:val="00AF0CC5"/>
    <w:rsid w:val="00B56E0F"/>
    <w:rsid w:val="00BE44B9"/>
    <w:rsid w:val="00C26401"/>
    <w:rsid w:val="00CB1EB0"/>
    <w:rsid w:val="00D24B12"/>
    <w:rsid w:val="00D37CC9"/>
    <w:rsid w:val="00D54798"/>
    <w:rsid w:val="00D6652F"/>
    <w:rsid w:val="00E133FA"/>
    <w:rsid w:val="00E20BCC"/>
    <w:rsid w:val="00E81D75"/>
    <w:rsid w:val="00E9574C"/>
    <w:rsid w:val="00E97C7E"/>
    <w:rsid w:val="00EC71CD"/>
    <w:rsid w:val="00F230BD"/>
    <w:rsid w:val="00F260DE"/>
    <w:rsid w:val="00F96E47"/>
    <w:rsid w:val="00FA131A"/>
    <w:rsid w:val="00FA2FE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7043"/>
    <w:pPr>
      <w:ind w:left="720"/>
      <w:contextualSpacing/>
    </w:pPr>
  </w:style>
  <w:style w:type="paragraph" w:styleId="BalloonText">
    <w:name w:val="Balloon Text"/>
    <w:basedOn w:val="Normal"/>
    <w:link w:val="BalloonTextChar"/>
    <w:uiPriority w:val="99"/>
    <w:semiHidden/>
    <w:unhideWhenUsed/>
    <w:rsid w:val="00E20B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0BCC"/>
    <w:rPr>
      <w:rFonts w:ascii="Tahoma" w:hAnsi="Tahoma" w:cs="Tahoma"/>
      <w:sz w:val="16"/>
      <w:szCs w:val="16"/>
    </w:rPr>
  </w:style>
  <w:style w:type="paragraph" w:styleId="NormalWeb">
    <w:name w:val="Normal (Web)"/>
    <w:basedOn w:val="Normal"/>
    <w:uiPriority w:val="99"/>
    <w:semiHidden/>
    <w:unhideWhenUsed/>
    <w:rsid w:val="00763489"/>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7043"/>
    <w:pPr>
      <w:ind w:left="720"/>
      <w:contextualSpacing/>
    </w:pPr>
  </w:style>
  <w:style w:type="paragraph" w:styleId="BalloonText">
    <w:name w:val="Balloon Text"/>
    <w:basedOn w:val="Normal"/>
    <w:link w:val="BalloonTextChar"/>
    <w:uiPriority w:val="99"/>
    <w:semiHidden/>
    <w:unhideWhenUsed/>
    <w:rsid w:val="00E20B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0BCC"/>
    <w:rPr>
      <w:rFonts w:ascii="Tahoma" w:hAnsi="Tahoma" w:cs="Tahoma"/>
      <w:sz w:val="16"/>
      <w:szCs w:val="16"/>
    </w:rPr>
  </w:style>
  <w:style w:type="paragraph" w:styleId="NormalWeb">
    <w:name w:val="Normal (Web)"/>
    <w:basedOn w:val="Normal"/>
    <w:uiPriority w:val="99"/>
    <w:semiHidden/>
    <w:unhideWhenUsed/>
    <w:rsid w:val="00763489"/>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907295">
      <w:bodyDiv w:val="1"/>
      <w:marLeft w:val="0"/>
      <w:marRight w:val="0"/>
      <w:marTop w:val="0"/>
      <w:marBottom w:val="0"/>
      <w:divBdr>
        <w:top w:val="none" w:sz="0" w:space="0" w:color="auto"/>
        <w:left w:val="none" w:sz="0" w:space="0" w:color="auto"/>
        <w:bottom w:val="none" w:sz="0" w:space="0" w:color="auto"/>
        <w:right w:val="none" w:sz="0" w:space="0" w:color="auto"/>
      </w:divBdr>
      <w:divsChild>
        <w:div w:id="12396340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1115</Words>
  <Characters>6360</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AMSA</Company>
  <LinksUpToDate>false</LinksUpToDate>
  <CharactersWithSpaces>7461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Trainor, Neil</dc:creator>
  <cp:lastModifiedBy>Seamus Doyle</cp:lastModifiedBy>
  <cp:revision>2</cp:revision>
  <dcterms:created xsi:type="dcterms:W3CDTF">2014-03-26T12:17:00Z</dcterms:created>
  <dcterms:modified xsi:type="dcterms:W3CDTF">2014-03-26T12:17:00Z</dcterms:modified>
</cp:coreProperties>
</file>