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58943C5C"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DE025E">
        <w:rPr>
          <w:rStyle w:val="FootnoteReference"/>
        </w:rPr>
        <w:footnoteReference w:id="1"/>
      </w:r>
      <w:r w:rsidR="000049D8" w:rsidRPr="007A395D">
        <w:rPr>
          <w:rFonts w:ascii="Calibri" w:hAnsi="Calibri"/>
        </w:rPr>
        <w:t xml:space="preserve">  </w:t>
      </w:r>
      <w:r w:rsidR="0057460F">
        <w:rPr>
          <w:rFonts w:ascii="Calibri" w:hAnsi="Calibri"/>
        </w:rPr>
        <w:t>EN</w:t>
      </w:r>
      <w:r w:rsidR="00B55D43">
        <w:rPr>
          <w:rFonts w:ascii="Calibri" w:hAnsi="Calibri"/>
        </w:rPr>
        <w:t>AV28</w:t>
      </w:r>
      <w:r w:rsidRPr="007A395D">
        <w:rPr>
          <w:rFonts w:ascii="Calibri" w:hAnsi="Calibri"/>
        </w:rPr>
        <w:t>-</w:t>
      </w:r>
      <w:r w:rsidR="00181631">
        <w:rPr>
          <w:rFonts w:ascii="Calibri" w:hAnsi="Calibri"/>
        </w:rPr>
        <w:t>5</w:t>
      </w:r>
      <w:r w:rsidRPr="007A395D">
        <w:rPr>
          <w:rFonts w:ascii="Calibri" w:hAnsi="Calibri"/>
        </w:rPr>
        <w:t>.</w:t>
      </w:r>
      <w:r w:rsidR="00373023">
        <w:rPr>
          <w:rFonts w:ascii="Calibri" w:hAnsi="Calibri"/>
        </w:rPr>
        <w:t>1</w:t>
      </w:r>
      <w:r w:rsidR="00E558C3" w:rsidRPr="007A395D">
        <w:rPr>
          <w:rFonts w:ascii="Calibri" w:hAnsi="Calibri"/>
        </w:rPr>
        <w:t>.</w:t>
      </w:r>
      <w:r w:rsidR="00373023">
        <w:rPr>
          <w:rFonts w:ascii="Calibri" w:hAnsi="Calibri"/>
        </w:rPr>
        <w:t>3.2</w:t>
      </w:r>
    </w:p>
    <w:p w14:paraId="5A14DE03" w14:textId="77777777" w:rsidR="00BF32F0" w:rsidRPr="007A395D" w:rsidRDefault="00BF32F0" w:rsidP="004C71C0">
      <w:pPr>
        <w:pStyle w:val="BodyText"/>
      </w:pPr>
    </w:p>
    <w:p w14:paraId="22E94D0E" w14:textId="77777777" w:rsidR="00D019CE" w:rsidRPr="007A395D" w:rsidRDefault="00D019CE" w:rsidP="004C71C0">
      <w:pPr>
        <w:pStyle w:val="BodyText"/>
      </w:pPr>
    </w:p>
    <w:p w14:paraId="370CFB53" w14:textId="0056C39C" w:rsidR="0080294B" w:rsidRPr="007A395D" w:rsidRDefault="00E558C3" w:rsidP="004C71C0">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14:paraId="78786733" w14:textId="4A1BF36D" w:rsidR="0080294B" w:rsidRPr="007A395D" w:rsidRDefault="0080294B" w:rsidP="004C71C0">
      <w:pPr>
        <w:pStyle w:val="BodyText"/>
        <w:rPr>
          <w:b/>
        </w:rPr>
      </w:pPr>
      <w:r w:rsidRPr="007A395D">
        <w:rPr>
          <w:b/>
        </w:rPr>
        <w:t>□</w:t>
      </w:r>
      <w:r w:rsidRPr="007A395D">
        <w:t xml:space="preserve">  ARM</w:t>
      </w:r>
      <w:r w:rsidR="00037DF4" w:rsidRPr="007A395D">
        <w:tab/>
      </w:r>
      <w:r w:rsidR="00DF25EC" w:rsidRPr="007A395D">
        <w:rPr>
          <w:b/>
        </w:rPr>
        <w:t>□</w:t>
      </w:r>
      <w:r w:rsidRPr="007A395D">
        <w:t xml:space="preserve">  ENG</w:t>
      </w:r>
      <w:r w:rsidRPr="007A395D">
        <w:tab/>
      </w:r>
      <w:r w:rsidRPr="007A395D">
        <w:tab/>
      </w:r>
      <w:r w:rsidRPr="007A395D">
        <w:rPr>
          <w:b/>
        </w:rPr>
        <w:t>□</w:t>
      </w:r>
      <w:r w:rsidRPr="007A395D">
        <w:t xml:space="preserve">  PAP</w:t>
      </w:r>
      <w:r w:rsidRPr="007A395D">
        <w:tab/>
      </w:r>
      <w:r w:rsidRPr="007A395D">
        <w:tab/>
      </w:r>
      <w:r w:rsidR="00037DF4" w:rsidRPr="007A395D">
        <w:tab/>
      </w:r>
      <w:r w:rsidR="00037DF4" w:rsidRPr="007A395D">
        <w:tab/>
      </w:r>
      <w:r w:rsidR="00037DF4" w:rsidRPr="007A395D">
        <w:tab/>
      </w:r>
      <w:r w:rsidR="006B33DF">
        <w:t>X</w:t>
      </w:r>
      <w:r w:rsidRPr="007A395D">
        <w:t xml:space="preserve">  Input</w:t>
      </w:r>
    </w:p>
    <w:p w14:paraId="0BC79547" w14:textId="06BA2AFD" w:rsidR="0080294B" w:rsidRPr="007A395D" w:rsidRDefault="00DF25EC" w:rsidP="004C71C0">
      <w:pPr>
        <w:pStyle w:val="BodyText"/>
      </w:pPr>
      <w:r>
        <w:t>X</w:t>
      </w:r>
      <w:r w:rsidR="0080294B" w:rsidRPr="007A395D">
        <w:t xml:space="preserve">  ENAV</w:t>
      </w:r>
      <w:r w:rsidR="0080294B" w:rsidRPr="007A395D">
        <w:rPr>
          <w:b/>
        </w:rPr>
        <w:tab/>
        <w:t>□</w:t>
      </w:r>
      <w:r w:rsidR="0080294B" w:rsidRPr="007A395D">
        <w:t xml:space="preserve">  </w:t>
      </w:r>
      <w:r w:rsidR="003D2DC1" w:rsidRPr="007A395D">
        <w:t>VTS</w:t>
      </w:r>
      <w:r w:rsidR="0080294B" w:rsidRPr="007A395D">
        <w:tab/>
      </w:r>
      <w:r w:rsidR="0080294B" w:rsidRPr="007A395D">
        <w:tab/>
      </w:r>
      <w:r w:rsidR="0080294B" w:rsidRPr="007A395D">
        <w:tab/>
      </w:r>
      <w:r w:rsidR="0080294B" w:rsidRPr="007A395D">
        <w:tab/>
      </w:r>
      <w:r w:rsidR="0080294B" w:rsidRPr="007A395D">
        <w:tab/>
      </w:r>
      <w:r w:rsidR="00037DF4" w:rsidRPr="007A395D">
        <w:tab/>
      </w:r>
      <w:r w:rsidR="00037DF4" w:rsidRPr="007A395D">
        <w:tab/>
      </w:r>
      <w:r w:rsidR="0080294B" w:rsidRPr="007A395D">
        <w:rPr>
          <w:b/>
        </w:rPr>
        <w:t>□</w:t>
      </w:r>
      <w:r w:rsidR="0080294B" w:rsidRPr="007A395D">
        <w:t xml:space="preserve">  Information</w:t>
      </w:r>
    </w:p>
    <w:p w14:paraId="3E1C02C4" w14:textId="77777777" w:rsidR="0080294B" w:rsidRPr="007A395D" w:rsidRDefault="0080294B" w:rsidP="004C71C0">
      <w:pPr>
        <w:pStyle w:val="BodyText"/>
      </w:pPr>
    </w:p>
    <w:p w14:paraId="4DD25FD9" w14:textId="72144501" w:rsidR="00A446C9" w:rsidRPr="007A395D" w:rsidRDefault="00A446C9" w:rsidP="004C71C0">
      <w:pPr>
        <w:pStyle w:val="BodyText"/>
      </w:pPr>
      <w:r w:rsidRPr="007A395D">
        <w:t>Agenda item</w:t>
      </w:r>
      <w:r w:rsidR="00037DF4" w:rsidRPr="007A395D">
        <w:t xml:space="preserve"> </w:t>
      </w:r>
      <w:r w:rsidR="00037DF4" w:rsidRPr="00DE025E">
        <w:rPr>
          <w:rStyle w:val="FootnoteReference"/>
        </w:rPr>
        <w:footnoteReference w:id="2"/>
      </w:r>
      <w:r w:rsidR="001C44A3" w:rsidRPr="007A395D">
        <w:tab/>
      </w:r>
      <w:r w:rsidR="0080294B" w:rsidRPr="007A395D">
        <w:tab/>
      </w:r>
      <w:r w:rsidR="0080294B" w:rsidRPr="007A395D">
        <w:tab/>
        <w:t>n.n</w:t>
      </w:r>
    </w:p>
    <w:p w14:paraId="1AB3E246" w14:textId="6BDE76DC" w:rsidR="00A446C9" w:rsidRPr="007A395D" w:rsidRDefault="0080294B" w:rsidP="004C71C0">
      <w:pPr>
        <w:pStyle w:val="BodyText"/>
      </w:pPr>
      <w:r w:rsidRPr="007A395D">
        <w:t xml:space="preserve">Technical Domain / </w:t>
      </w:r>
      <w:r w:rsidR="00A446C9" w:rsidRPr="007A395D">
        <w:t>Task Number</w:t>
      </w:r>
      <w:r w:rsidR="00037DF4" w:rsidRPr="007A395D">
        <w:t xml:space="preserve"> </w:t>
      </w:r>
      <w:r w:rsidR="00037DF4" w:rsidRPr="007A395D">
        <w:rPr>
          <w:vertAlign w:val="superscript"/>
        </w:rPr>
        <w:t>2</w:t>
      </w:r>
      <w:r w:rsidR="001C44A3" w:rsidRPr="007A395D">
        <w:tab/>
      </w:r>
      <w:r w:rsidRPr="007A395D">
        <w:t>…………………………………</w:t>
      </w:r>
    </w:p>
    <w:p w14:paraId="01FC5420" w14:textId="1C5319A4" w:rsidR="00362CD9" w:rsidRPr="007A395D" w:rsidRDefault="00362CD9" w:rsidP="004C71C0">
      <w:pPr>
        <w:pStyle w:val="BodyText"/>
        <w:rPr>
          <w:color w:val="FF0000"/>
        </w:rPr>
      </w:pPr>
      <w:r w:rsidRPr="007A395D">
        <w:t>Author(s)</w:t>
      </w:r>
      <w:r w:rsidR="00FE5674" w:rsidRPr="007A395D">
        <w:t xml:space="preserve"> / Submitter(s)</w:t>
      </w:r>
      <w:r w:rsidRPr="007A395D">
        <w:tab/>
      </w:r>
      <w:r w:rsidR="0080294B" w:rsidRPr="007A395D">
        <w:tab/>
      </w:r>
      <w:r w:rsidR="0080294B" w:rsidRPr="007A395D">
        <w:tab/>
      </w:r>
      <w:r w:rsidR="006B33DF">
        <w:t xml:space="preserve">Drs Jan </w:t>
      </w:r>
      <w:r w:rsidR="006B33DF">
        <w:rPr>
          <w:lang w:val="cs-CZ"/>
        </w:rPr>
        <w:t xml:space="preserve">Šafář </w:t>
      </w:r>
      <w:r w:rsidR="006B33DF">
        <w:t>&amp;</w:t>
      </w:r>
      <w:r w:rsidR="006B33DF">
        <w:rPr>
          <w:lang w:val="cs-CZ"/>
        </w:rPr>
        <w:t xml:space="preserve"> Alan Grant</w:t>
      </w:r>
    </w:p>
    <w:p w14:paraId="60BCC120" w14:textId="77777777" w:rsidR="0080294B" w:rsidRPr="007A395D" w:rsidRDefault="0080294B" w:rsidP="004C71C0">
      <w:pPr>
        <w:pStyle w:val="BodyText"/>
      </w:pPr>
    </w:p>
    <w:p w14:paraId="4834080C" w14:textId="429AB318" w:rsidR="00A446C9" w:rsidRPr="00373023" w:rsidRDefault="006B33DF" w:rsidP="00A446C9">
      <w:pPr>
        <w:pStyle w:val="Title"/>
        <w:rPr>
          <w:rFonts w:ascii="Calibri" w:hAnsi="Calibri"/>
          <w:color w:val="0070C0"/>
          <w:lang w:val="fr-FR"/>
        </w:rPr>
      </w:pPr>
      <w:r w:rsidRPr="00373023">
        <w:rPr>
          <w:rFonts w:ascii="Calibri" w:hAnsi="Calibri"/>
          <w:color w:val="0070C0"/>
          <w:lang w:val="fr-FR"/>
        </w:rPr>
        <w:t xml:space="preserve">VDE-SAT R-Mode </w:t>
      </w:r>
      <w:r w:rsidR="00D61A48" w:rsidRPr="00373023">
        <w:rPr>
          <w:rFonts w:ascii="Calibri" w:hAnsi="Calibri"/>
          <w:color w:val="0070C0"/>
          <w:lang w:val="fr-FR"/>
        </w:rPr>
        <w:t>Signal Design</w:t>
      </w:r>
      <w:r w:rsidRPr="00373023">
        <w:rPr>
          <w:rFonts w:ascii="Calibri" w:hAnsi="Calibri"/>
          <w:color w:val="0070C0"/>
          <w:lang w:val="fr-FR"/>
        </w:rPr>
        <w:t xml:space="preserve"> Considerations</w:t>
      </w:r>
    </w:p>
    <w:p w14:paraId="0F258596" w14:textId="50FB6E37" w:rsidR="00A446C9" w:rsidRPr="00605E43" w:rsidRDefault="00A446C9" w:rsidP="00605E43">
      <w:pPr>
        <w:pStyle w:val="Heading1"/>
      </w:pPr>
      <w:r w:rsidRPr="00605E43">
        <w:t>Summary</w:t>
      </w:r>
    </w:p>
    <w:p w14:paraId="5E4F0D0D" w14:textId="7C71D113" w:rsidR="00CF1CCE" w:rsidRPr="007A395D" w:rsidRDefault="003C3715" w:rsidP="004C71C0">
      <w:pPr>
        <w:pStyle w:val="BodyText"/>
      </w:pPr>
      <w:r>
        <w:t>This paper introduces the ANGELOS (Augmenting GNSS to Prevent Loss of Service) project</w:t>
      </w:r>
      <w:r w:rsidR="0043391F">
        <w:t>,</w:t>
      </w:r>
      <w:r>
        <w:t xml:space="preserve"> </w:t>
      </w:r>
      <w:r w:rsidR="00227D93">
        <w:t xml:space="preserve">which investigates the feasibility of a satellite-based </w:t>
      </w:r>
      <w:r w:rsidR="00646745">
        <w:t xml:space="preserve">component to </w:t>
      </w:r>
      <w:r w:rsidR="00227D93">
        <w:t xml:space="preserve">VDES R-Mode. </w:t>
      </w:r>
      <w:r w:rsidR="006233EF">
        <w:t>I</w:t>
      </w:r>
      <w:r w:rsidR="0043391F">
        <w:t>t</w:t>
      </w:r>
      <w:r w:rsidR="00227D93">
        <w:t xml:space="preserve"> </w:t>
      </w:r>
      <w:r w:rsidR="006233EF">
        <w:t xml:space="preserve">presents </w:t>
      </w:r>
      <w:r w:rsidR="0017484A">
        <w:t xml:space="preserve">some </w:t>
      </w:r>
      <w:r w:rsidR="006233EF">
        <w:t xml:space="preserve">technical considerations that emerged during the initial stages of the project, </w:t>
      </w:r>
      <w:r w:rsidR="00227D93">
        <w:t xml:space="preserve">related to the ranging </w:t>
      </w:r>
      <w:r>
        <w:t xml:space="preserve">signal definition and </w:t>
      </w:r>
      <w:r w:rsidR="00227D93">
        <w:t>generation</w:t>
      </w:r>
      <w:r w:rsidR="006233EF">
        <w:t>,</w:t>
      </w:r>
      <w:r w:rsidR="00227D93">
        <w:t xml:space="preserve"> and invites Committee members to comment</w:t>
      </w:r>
      <w:r w:rsidR="007967C4">
        <w:t xml:space="preserve"> on</w:t>
      </w:r>
      <w:r w:rsidR="007441E7">
        <w:t xml:space="preserve"> a number of</w:t>
      </w:r>
      <w:r w:rsidR="007967C4">
        <w:t xml:space="preserve"> questions </w:t>
      </w:r>
      <w:r w:rsidR="00005A78">
        <w:t>summarised at the end of the document</w:t>
      </w:r>
      <w:r w:rsidR="00227D93">
        <w:t>.</w:t>
      </w:r>
    </w:p>
    <w:p w14:paraId="3C575A26" w14:textId="77777777" w:rsidR="001C44A3" w:rsidRPr="00605E43" w:rsidRDefault="00BD4E6F" w:rsidP="00605E43">
      <w:pPr>
        <w:pStyle w:val="Heading2"/>
      </w:pPr>
      <w:r w:rsidRPr="00605E43">
        <w:t>Purpose</w:t>
      </w:r>
      <w:r w:rsidR="004D1D85" w:rsidRPr="00605E43">
        <w:t xml:space="preserve"> of the document</w:t>
      </w:r>
    </w:p>
    <w:p w14:paraId="7E2A4642" w14:textId="68556DCD" w:rsidR="00E55927" w:rsidRDefault="00CF1CCE" w:rsidP="00CF1CCE">
      <w:pPr>
        <w:pStyle w:val="BodyText"/>
      </w:pPr>
      <w:r w:rsidRPr="00CF1CCE">
        <w:t>To inform the Committee of on-going work related to VDES R-Mode development and solicit feedback.</w:t>
      </w:r>
    </w:p>
    <w:p w14:paraId="36D645BE" w14:textId="77777777" w:rsidR="00B56BDF" w:rsidRPr="007A395D" w:rsidRDefault="00B56BDF" w:rsidP="00605E43">
      <w:pPr>
        <w:pStyle w:val="Heading2"/>
      </w:pPr>
      <w:r w:rsidRPr="007A395D">
        <w:t>Related documents</w:t>
      </w:r>
    </w:p>
    <w:p w14:paraId="75ABC0E1" w14:textId="7F15CF59" w:rsidR="006B33DF" w:rsidRPr="00373023" w:rsidRDefault="006B33DF" w:rsidP="004C71C0">
      <w:pPr>
        <w:pStyle w:val="BodyText"/>
        <w:rPr>
          <w:lang w:val="fr-FR"/>
        </w:rPr>
      </w:pPr>
      <w:bookmarkStart w:id="0" w:name="_Ref81224297"/>
      <w:r w:rsidRPr="00373023">
        <w:rPr>
          <w:lang w:val="fr-FR"/>
        </w:rPr>
        <w:t>IALA Guideline 1158: VDES R-Mode.</w:t>
      </w:r>
      <w:bookmarkEnd w:id="0"/>
    </w:p>
    <w:p w14:paraId="553E55ED" w14:textId="7505F28D" w:rsidR="00E55927" w:rsidRPr="007A395D" w:rsidRDefault="006B33DF" w:rsidP="004C71C0">
      <w:pPr>
        <w:pStyle w:val="BodyText"/>
      </w:pPr>
      <w:r w:rsidRPr="006B33DF">
        <w:t>IALA Guideline 11</w:t>
      </w:r>
      <w:r>
        <w:t>39</w:t>
      </w:r>
      <w:r w:rsidRPr="006B33DF">
        <w:t>: The Technical S</w:t>
      </w:r>
      <w:r>
        <w:t>pecification of VDES</w:t>
      </w:r>
      <w:r w:rsidRPr="006B33DF">
        <w:t>.</w:t>
      </w:r>
    </w:p>
    <w:p w14:paraId="53733F03" w14:textId="77777777" w:rsidR="00A446C9" w:rsidRPr="007A395D" w:rsidRDefault="00A446C9" w:rsidP="00605E43">
      <w:pPr>
        <w:pStyle w:val="Heading1"/>
      </w:pPr>
      <w:r w:rsidRPr="007A395D">
        <w:t>Background</w:t>
      </w:r>
    </w:p>
    <w:p w14:paraId="177A231C" w14:textId="25483048" w:rsidR="005B1B5D" w:rsidRDefault="00311662" w:rsidP="00BB17F7">
      <w:pPr>
        <w:pStyle w:val="BodyText"/>
      </w:pPr>
      <w:r>
        <w:t xml:space="preserve">The General Lighthouse Authorities of the UK &amp; Ireland (GLA) </w:t>
      </w:r>
      <w:r w:rsidR="000843C4">
        <w:t xml:space="preserve">are working alongside </w:t>
      </w:r>
      <w:r>
        <w:t>GMV NSL to deliver the European Space Agency-funded ANGELOS project</w:t>
      </w:r>
      <w:r w:rsidR="009B018E">
        <w:t xml:space="preserve"> </w:t>
      </w:r>
      <w:r w:rsidR="009B018E">
        <w:fldChar w:fldCharType="begin"/>
      </w:r>
      <w:r w:rsidR="009B018E">
        <w:instrText xml:space="preserve"> ADDIN ZOTERO_ITEM CSL_CITATION {"citationID":"O2PwDHhP","properties":{"formattedCitation":"[1]","plainCitation":"[1]","noteIndex":0},"citationItems":[{"id":1499,"uris":["http://zotero.org/users/2197752/items/LSFFGN7K"],"uri":["http://zotero.org/users/2197752/items/LSFFGN7K"],"itemData":{"id":1499,"type":"webpage","container-title":"GMV NSL website","title":"ANGELOS Press Release","URL":"http://gmvnsl.com/pressrelease/ANGELOS_Press_Release_v1.0_Final.pdf","author":[{"family":"GMV NSL","given":""}],"issued":{"date-parts":[["2020",11]]}}}],"schema":"https://github.com/citation-style-language/schema/raw/master/csl-citation.json"} </w:instrText>
      </w:r>
      <w:r w:rsidR="009B018E">
        <w:fldChar w:fldCharType="separate"/>
      </w:r>
      <w:r w:rsidR="009B018E" w:rsidRPr="009B018E">
        <w:t>[1]</w:t>
      </w:r>
      <w:r w:rsidR="009B018E">
        <w:fldChar w:fldCharType="end"/>
      </w:r>
      <w:r>
        <w:t>.</w:t>
      </w:r>
      <w:r w:rsidR="00BB17F7">
        <w:t xml:space="preserve"> </w:t>
      </w:r>
      <w:r w:rsidR="00DD2654">
        <w:t xml:space="preserve">ANGELOS is a preliminary concept study investigating the feasibility of </w:t>
      </w:r>
      <w:r w:rsidR="00503A5D">
        <w:t xml:space="preserve">a satellite-based component to VDES R-Mode, </w:t>
      </w:r>
      <w:r w:rsidR="009F4260">
        <w:t>designed to work</w:t>
      </w:r>
      <w:r w:rsidR="00503A5D">
        <w:t xml:space="preserve"> together with the terrestrial R-Mode component currently being developed by the international maritime community.</w:t>
      </w:r>
    </w:p>
    <w:p w14:paraId="08AFCA84" w14:textId="19421AD6" w:rsidR="004C71C0" w:rsidRDefault="002455B8" w:rsidP="00BB17F7">
      <w:pPr>
        <w:pStyle w:val="BodyText"/>
      </w:pPr>
      <w:r>
        <w:t xml:space="preserve">Recent work </w:t>
      </w:r>
      <w:r w:rsidR="00353AE4">
        <w:t xml:space="preserve">of the project </w:t>
      </w:r>
      <w:r>
        <w:t xml:space="preserve">has focused on defining the ranging signal structure and estimating the achievable ranging performance. </w:t>
      </w:r>
      <w:r w:rsidR="000414DB">
        <w:t>A number of questions have emerged in the course of the research</w:t>
      </w:r>
      <w:r w:rsidR="0034279D">
        <w:t xml:space="preserve"> that would benefit from discussion </w:t>
      </w:r>
      <w:r w:rsidR="00BB17F7">
        <w:t xml:space="preserve">with </w:t>
      </w:r>
      <w:r w:rsidR="00646745">
        <w:t xml:space="preserve">the </w:t>
      </w:r>
      <w:r w:rsidR="00BB17F7">
        <w:t>Committee members.</w:t>
      </w:r>
    </w:p>
    <w:p w14:paraId="041E9135" w14:textId="77777777" w:rsidR="00A446C9" w:rsidRPr="007A395D" w:rsidRDefault="00A446C9" w:rsidP="00605E43">
      <w:pPr>
        <w:pStyle w:val="Heading1"/>
      </w:pPr>
      <w:r w:rsidRPr="007A395D">
        <w:t>Discussion</w:t>
      </w:r>
    </w:p>
    <w:p w14:paraId="7C5E1800" w14:textId="5281369F" w:rsidR="00F25BF4" w:rsidRPr="007A395D" w:rsidRDefault="00CA2E96" w:rsidP="00605E43">
      <w:pPr>
        <w:pStyle w:val="Heading2"/>
      </w:pPr>
      <w:r>
        <w:t>Meta-signals</w:t>
      </w:r>
    </w:p>
    <w:p w14:paraId="6189E9F3" w14:textId="5EE69072" w:rsidR="005B1F81" w:rsidRPr="005B1F81" w:rsidRDefault="005B1F81" w:rsidP="005B1F81">
      <w:pPr>
        <w:pStyle w:val="BodyText"/>
      </w:pPr>
      <w:r w:rsidRPr="005B1F81">
        <w:t>Noting that the VDE‐SAT spectrum includes lower and upper VDES bands s</w:t>
      </w:r>
      <w:r w:rsidR="009502F6">
        <w:t>eparated from each other by </w:t>
      </w:r>
      <w:r>
        <w:t>4.6 </w:t>
      </w:r>
      <w:r w:rsidRPr="005B1F81">
        <w:t>MHz</w:t>
      </w:r>
      <w:r w:rsidR="000974A1">
        <w:t xml:space="preserve"> </w:t>
      </w:r>
      <w:r w:rsidR="000974A1">
        <w:fldChar w:fldCharType="begin"/>
      </w:r>
      <w:r w:rsidR="009B018E">
        <w:instrText xml:space="preserve"> ADDIN ZOTERO_ITEM CSL_CITATION {"citationID":"38DgdTHI","properties":{"formattedCitation":"[2]","plainCitation":"[2]","noteIndex":0},"citationItems":[{"id":1169,"uris":["http://zotero.org/users/2197752/items/6PWL2MNY"],"uri":["http://zotero.org/users/2197752/items/6PWL2MNY"],"itemData":{"id":1169,"type":"report","title":"World Radiocommunication Conference 2019 (WRC-19) - Final Acts","author":[{"family":"ITU","given":""}],"issued":{"date-parts":[["2020"]]}}}],"schema":"https://github.com/citation-style-language/schema/raw/master/csl-citation.json"} </w:instrText>
      </w:r>
      <w:r w:rsidR="000974A1">
        <w:fldChar w:fldCharType="separate"/>
      </w:r>
      <w:r w:rsidR="009B018E" w:rsidRPr="009B018E">
        <w:t>[2]</w:t>
      </w:r>
      <w:r w:rsidR="000974A1">
        <w:fldChar w:fldCharType="end"/>
      </w:r>
      <w:r w:rsidRPr="005B1F81">
        <w:t xml:space="preserve">, there is potential to provide ranging signals in both. This approach is novel and brings a </w:t>
      </w:r>
      <w:r w:rsidRPr="005B1F81">
        <w:lastRenderedPageBreak/>
        <w:t>number of open questions; however, the potential for such ‘meta‐signals’ has been demonstrated for GNSS</w:t>
      </w:r>
      <w:r w:rsidR="00155068">
        <w:t xml:space="preserve"> </w:t>
      </w:r>
      <w:r w:rsidR="00155068">
        <w:fldChar w:fldCharType="begin"/>
      </w:r>
      <w:r w:rsidR="009B018E">
        <w:instrText xml:space="preserve"> ADDIN ZOTERO_ITEM CSL_CITATION {"citationID":"BvS8MpcZ","properties":{"formattedCitation":"[3]","plainCitation":"[3]","noteIndex":0},"citationItems":[{"id":1470,"uris":["http://zotero.org/users/2197752/items/T7BR5FYK"],"uri":["http://zotero.org/users/2197752/items/T7BR5FYK"],"itemData":{"id":1470,"type":"paper-conference","abstract":"The goal of this work is to discuss the concept of meta-signals combining, introduced for the first time in [1]. The fundamental concept of GNSS meta-signals is to process different signals broadcast on different carrier frequencies as a single signal. The benefits of this approach with respect to other classical combining techniques are discussed in the first part of the paper. After that, an accurate analytical discussion is provided, presenting in particular the properties of the AltBOC modulation. A complete characterization of the most general asymmetric AltBOC scheme is introduced, providing a general expression for the asymmetric AltBOC power spectral density. The asymmetric AltBOC is of interest in this context because any meta-signal combination can be seen as an asymmetric AltBOC, where the two signals to be combined become the two main lobes of the AltBOC signal. Based on the analytical expression of the asymmetric AltBOC, the expected performance in terms of multipath rejection and ranging accuracy are assessed. The last part of the paper is devoted to a real signals test. Live Galileo signals are processed with an SDR receiver based on vector architecture and meta-signal tracking is performed. The receiver architecture is widely discussed and the obtained results are presented.","container-title":"Proceedings of the 27th International Technical Meeting of the Satellite Division of The Institute of Navigation (ION GNSS+ 2014)","language":"en","note":"ISSN: 2331-5954","page":"2592-2601","source":"www.ion.org","title":"GNSS Meta Signals: Coherently Composite Processing of Multiple GNSS Signals","title-short":"GNSS Meta Signals","URL":"http://www.ion.org/publications/abstract.cfm?jp=p&amp;articleID=12322","author":[{"family":"Paonni","given":"M."},{"family":"Curran","given":"J. T."},{"family":"Bavaro","given":"M."},{"family":"Fortuny-Guasch","given":"J."}],"accessed":{"date-parts":[["2021",6,7]]},"issued":{"date-parts":[["2014",9,12]]}}}],"schema":"https://github.com/citation-style-language/schema/raw/master/csl-citation.json"} </w:instrText>
      </w:r>
      <w:r w:rsidR="00155068">
        <w:fldChar w:fldCharType="separate"/>
      </w:r>
      <w:r w:rsidR="009B018E" w:rsidRPr="009B018E">
        <w:t>[3]</w:t>
      </w:r>
      <w:r w:rsidR="00155068">
        <w:fldChar w:fldCharType="end"/>
      </w:r>
      <w:r>
        <w:t xml:space="preserve"> </w:t>
      </w:r>
      <w:r w:rsidRPr="005B1F81">
        <w:t xml:space="preserve">and the technique could </w:t>
      </w:r>
      <w:r>
        <w:t xml:space="preserve">potentially </w:t>
      </w:r>
      <w:r w:rsidRPr="005B1F81">
        <w:t>be applied to VDE‐SAT as well.</w:t>
      </w:r>
    </w:p>
    <w:p w14:paraId="02E0FC74" w14:textId="78753C27" w:rsidR="005B1F81" w:rsidRPr="005B1F81" w:rsidRDefault="005B1F81" w:rsidP="005B1F81">
      <w:pPr>
        <w:pStyle w:val="BodyText"/>
      </w:pPr>
      <w:r w:rsidRPr="005B1F81">
        <w:t xml:space="preserve">Estimation theory suggests that there are substantial performance improvements to be gained from combining the lower and upper VDE‐SAT bands for the purpose of ranging. </w:t>
      </w:r>
      <w:r w:rsidR="00AE7B7E">
        <w:t xml:space="preserve">The </w:t>
      </w:r>
      <w:r w:rsidR="00AE7B7E" w:rsidRPr="00AE7B7E">
        <w:t>Cramér–Rao bound</w:t>
      </w:r>
      <w:r w:rsidR="00AE7B7E">
        <w:t xml:space="preserve"> </w:t>
      </w:r>
      <w:r w:rsidRPr="005B1F81">
        <w:t>for pseudorange estimation show</w:t>
      </w:r>
      <w:r w:rsidR="00AE7B7E">
        <w:t>s</w:t>
      </w:r>
      <w:r w:rsidRPr="005B1F81">
        <w:t xml:space="preserve"> that the variance of the ranging error is inversely proportional to the mean square bandwidth of the ranging signal; furthermore, the mean square bandwidth increases when the signal's energy is concentrated near the edges of the frequency band of interest. As such, it is anticipated that considerable ranging performance improvements can be achieved when two (relatively narrow‐band) ranging sig</w:t>
      </w:r>
      <w:r>
        <w:t>nals in the lower and upper VDE</w:t>
      </w:r>
      <w:r>
        <w:noBreakHyphen/>
      </w:r>
      <w:r w:rsidRPr="005B1F81">
        <w:t>SAT bands are combined to form a single wide‐band meta‐signal. The wider signal bandwidth is also expected to improve multipath resolvability, potentially reducing the ranging error due to multipath propagation.</w:t>
      </w:r>
    </w:p>
    <w:p w14:paraId="209220BB" w14:textId="32BF5385" w:rsidR="005B1F81" w:rsidRDefault="00A83D61" w:rsidP="004C71C0">
      <w:pPr>
        <w:pStyle w:val="BodyText"/>
      </w:pPr>
      <w:r>
        <w:t>S</w:t>
      </w:r>
      <w:r w:rsidR="005B1F81" w:rsidRPr="005B1F81">
        <w:t xml:space="preserve">uch an approach brings its own challenges, primarily related to whether it is possible to provide simultaneous, synchronised, VDE‐SAT transmissions on multiple frequency channels. It is assumed that there may be limitations or concerns due to power amplifier non‐linearity, potential intermodulation issues and the need to design for a higher total RF power (if the power per channel is to be preserved). However, it should be noted that the transmissions in the lower and upper bands may not need to be simultaneous; it seems sufficient to require that </w:t>
      </w:r>
      <w:r w:rsidR="00277DF7">
        <w:t>the transmission waveforms</w:t>
      </w:r>
      <w:r w:rsidR="005B1F81" w:rsidRPr="005B1F81">
        <w:t xml:space="preserve"> be accurately synchronised with each other, so that they can be treated by the receiver as a single, known waveform (although this remains to be verified). Similarly, there are open questions related to the receiver design; however, modern VDES receivers are likely to </w:t>
      </w:r>
      <w:r w:rsidR="009639BA">
        <w:t xml:space="preserve">be capable of digitising </w:t>
      </w:r>
      <w:r w:rsidR="005B1F81" w:rsidRPr="005B1F81">
        <w:t>the entire maritime VHF band at once and therefore the receiving side is expected to present less of a challenge.</w:t>
      </w:r>
    </w:p>
    <w:p w14:paraId="3A9D0142" w14:textId="4F7B11E7" w:rsidR="00340D99" w:rsidRPr="007A395D" w:rsidRDefault="00340D99" w:rsidP="004C71C0">
      <w:pPr>
        <w:pStyle w:val="BodyText"/>
      </w:pPr>
      <w:r>
        <w:t xml:space="preserve">The current work focuses on VDE-SAT R-Mode; however, it should be noted that the meta-signals approach could equally be used to </w:t>
      </w:r>
      <w:r w:rsidR="009502F6">
        <w:t xml:space="preserve">enhance </w:t>
      </w:r>
      <w:r>
        <w:t>the ranging accuracy of VDE-TER R-Mode.</w:t>
      </w:r>
    </w:p>
    <w:p w14:paraId="4A7F150C" w14:textId="442049F9" w:rsidR="004C71C0" w:rsidRPr="007A395D" w:rsidRDefault="00CA2E96" w:rsidP="004C71C0">
      <w:pPr>
        <w:pStyle w:val="Heading2"/>
      </w:pPr>
      <w:bookmarkStart w:id="1" w:name="_Ref82351604"/>
      <w:r>
        <w:t>Ranging Using Existing VDE-SAT Waveforms</w:t>
      </w:r>
      <w:r w:rsidR="00BF2120">
        <w:t xml:space="preserve"> and Protocols</w:t>
      </w:r>
      <w:bookmarkEnd w:id="1"/>
    </w:p>
    <w:p w14:paraId="0F69CA66" w14:textId="77777777" w:rsidR="00C746B4" w:rsidRDefault="00ED6CA0" w:rsidP="00C746B4">
      <w:pPr>
        <w:pStyle w:val="BodyText"/>
      </w:pPr>
      <w:r>
        <w:t xml:space="preserve">The ANGELOS project </w:t>
      </w:r>
      <w:r w:rsidRPr="00ED6CA0">
        <w:t xml:space="preserve">has </w:t>
      </w:r>
      <w:r>
        <w:t xml:space="preserve">so far </w:t>
      </w:r>
      <w:r w:rsidRPr="00ED6CA0">
        <w:t xml:space="preserve">considered two potential approaches to </w:t>
      </w:r>
      <w:r w:rsidR="00DE0A3B">
        <w:t>satellite-based VDES ranging</w:t>
      </w:r>
      <w:r w:rsidR="006755CE">
        <w:t>: (i) </w:t>
      </w:r>
      <w:r w:rsidRPr="00ED6CA0">
        <w:t>us</w:t>
      </w:r>
      <w:r>
        <w:t>ing the existing VDE</w:t>
      </w:r>
      <w:r>
        <w:noBreakHyphen/>
      </w:r>
      <w:r w:rsidRPr="00ED6CA0">
        <w:t>SAT downlink waveforms modulated by random (user‐generated) data; and (ii)</w:t>
      </w:r>
      <w:r w:rsidR="006755CE">
        <w:t> </w:t>
      </w:r>
      <w:r w:rsidR="00DE0A3B">
        <w:t>using</w:t>
      </w:r>
      <w:r w:rsidRPr="00ED6CA0">
        <w:t xml:space="preserve"> custom‐designed VDE‐SAT R‐Mode waveforms modulated with a known symbol sequence, optimised for ranging. </w:t>
      </w:r>
      <w:r w:rsidR="00C746B4" w:rsidRPr="00ED6CA0">
        <w:t xml:space="preserve">The first approach requires no or minimal modifications to the VDES specification and would have little impact on the VDE‐SAT datalink loading but necessitates a more complex receiver architecture and cannot be used below the </w:t>
      </w:r>
      <w:r w:rsidR="00C746B4" w:rsidRPr="00ED6CA0">
        <w:rPr>
          <w:i/>
          <w:iCs/>
        </w:rPr>
        <w:t>C</w:t>
      </w:r>
      <w:r w:rsidR="00C746B4" w:rsidRPr="00ED6CA0">
        <w:t>/</w:t>
      </w:r>
      <w:r w:rsidR="00C746B4" w:rsidRPr="00ED6CA0">
        <w:rPr>
          <w:i/>
          <w:iCs/>
        </w:rPr>
        <w:t>N</w:t>
      </w:r>
      <w:r w:rsidR="00C746B4" w:rsidRPr="00ED6CA0">
        <w:rPr>
          <w:vertAlign w:val="subscript"/>
        </w:rPr>
        <w:t>0</w:t>
      </w:r>
      <w:r w:rsidR="00C746B4" w:rsidRPr="00ED6CA0">
        <w:t xml:space="preserve"> thresholds required for data demodulation. The second approach would enable (some degree of) operation at considerably lower </w:t>
      </w:r>
      <w:r w:rsidR="00C746B4" w:rsidRPr="00ED6CA0">
        <w:rPr>
          <w:i/>
          <w:iCs/>
        </w:rPr>
        <w:t>C</w:t>
      </w:r>
      <w:r w:rsidR="00C746B4" w:rsidRPr="00ED6CA0">
        <w:t>/</w:t>
      </w:r>
      <w:r w:rsidR="00C746B4" w:rsidRPr="00ED6CA0">
        <w:rPr>
          <w:i/>
          <w:iCs/>
        </w:rPr>
        <w:t>N</w:t>
      </w:r>
      <w:r w:rsidR="00C746B4" w:rsidRPr="00ED6CA0">
        <w:rPr>
          <w:vertAlign w:val="subscript"/>
        </w:rPr>
        <w:t>0</w:t>
      </w:r>
      <w:r w:rsidR="00C746B4" w:rsidRPr="00ED6CA0">
        <w:t xml:space="preserve"> than the first method</w:t>
      </w:r>
      <w:r w:rsidR="00C746B4">
        <w:t xml:space="preserve"> </w:t>
      </w:r>
      <w:r w:rsidR="00C746B4" w:rsidRPr="00ED6CA0">
        <w:t>and would allow ranging performance to be traded for datalink loading (by controlling the duration and frequency of the ranging signal transmissions). However, it would likely require significant changes to be made to the VDES specification.</w:t>
      </w:r>
    </w:p>
    <w:p w14:paraId="1D49BB69" w14:textId="1744D7CB" w:rsidR="00277DF7" w:rsidRDefault="00277DF7" w:rsidP="00ED6CA0">
      <w:pPr>
        <w:pStyle w:val="BodyText"/>
      </w:pPr>
      <w:r>
        <w:t xml:space="preserve">For illustration, </w:t>
      </w:r>
      <w:r>
        <w:fldChar w:fldCharType="begin"/>
      </w:r>
      <w:r>
        <w:instrText xml:space="preserve"> REF _Ref82357619 \r \h </w:instrText>
      </w:r>
      <w:r>
        <w:fldChar w:fldCharType="separate"/>
      </w:r>
      <w:r>
        <w:t>Figure 1</w:t>
      </w:r>
      <w:r>
        <w:fldChar w:fldCharType="end"/>
      </w:r>
      <w:r>
        <w:t xml:space="preserve"> shows a comparison of the achievable </w:t>
      </w:r>
      <w:r w:rsidRPr="00277DF7">
        <w:t>ranging performance for the existing (</w:t>
      </w:r>
      <w:r>
        <w:t xml:space="preserve">shown in </w:t>
      </w:r>
      <w:r w:rsidRPr="00277DF7">
        <w:t>black) and custom (light grey) waveforms</w:t>
      </w:r>
      <w:r>
        <w:t xml:space="preserve">. The traces labelled with ‘50K’, ‘100K’ and ‘150K’ represent VDE-SAT downlink waveforms designed for a 50, 100 and 150 kHz bandwidth channels, respectively. </w:t>
      </w:r>
      <w:r w:rsidR="007955E9">
        <w:t>The second number in the label</w:t>
      </w:r>
      <w:r w:rsidR="00EE143F">
        <w:t xml:space="preserve"> (5, 10, 15, 30, 90)</w:t>
      </w:r>
      <w:r w:rsidR="007955E9">
        <w:t xml:space="preserve"> indicates the transmission duration</w:t>
      </w:r>
      <w:r w:rsidR="00EE143F">
        <w:t xml:space="preserve"> </w:t>
      </w:r>
      <w:r w:rsidR="007955E9">
        <w:t xml:space="preserve">in VDES time slots. </w:t>
      </w:r>
      <w:r w:rsidR="009B018E">
        <w:t xml:space="preserve">For more details see reference </w:t>
      </w:r>
      <w:r w:rsidR="009B018E">
        <w:fldChar w:fldCharType="begin"/>
      </w:r>
      <w:r w:rsidR="00C12863">
        <w:instrText xml:space="preserve"> ADDIN ZOTERO_ITEM CSL_CITATION {"citationID":"Aqc0EnV4","properties":{"formattedCitation":"[4]","plainCitation":"[4]","noteIndex":0},"citationItems":[{"id":1497,"uris":["http://zotero.org/users/2197752/items/KZG4HLEH"],"uri":["http://zotero.org/users/2197752/items/KZG4HLEH"],"itemData":{"id":1497,"type":"article-journal","container-title":"Int J Satell Commun Network","DOI":"https://doi.org/10.1002/sat.1429","title":"Performance Bounds for VDE-SAT R-Mode","author":[{"family":"Šafář","given":"J."},{"family":"Grant","given":"A."},{"family":"Bransby","given":"M."}],"issued":{"literal":"To be published"}}}],"schema":"https://github.com/citation-style-language/schema/raw/master/csl-citation.json"} </w:instrText>
      </w:r>
      <w:r w:rsidR="009B018E">
        <w:fldChar w:fldCharType="separate"/>
      </w:r>
      <w:r w:rsidR="009B018E" w:rsidRPr="009B018E">
        <w:t>[4]</w:t>
      </w:r>
      <w:r w:rsidR="009B018E">
        <w:fldChar w:fldCharType="end"/>
      </w:r>
      <w:r w:rsidR="007955E9">
        <w:t>.</w:t>
      </w:r>
    </w:p>
    <w:p w14:paraId="21C95062" w14:textId="3701BD32" w:rsidR="00DE0A3B" w:rsidRDefault="00DE0A3B" w:rsidP="00ED6CA0">
      <w:pPr>
        <w:pStyle w:val="BodyText"/>
      </w:pPr>
    </w:p>
    <w:p w14:paraId="7002031E" w14:textId="77777777" w:rsidR="00DE0A3B" w:rsidRDefault="00DE0A3B" w:rsidP="00DE0A3B">
      <w:pPr>
        <w:pStyle w:val="Figure0"/>
      </w:pPr>
      <w:r>
        <w:rPr>
          <w:noProof/>
        </w:rPr>
        <w:lastRenderedPageBreak/>
        <w:drawing>
          <wp:inline distT="0" distB="0" distL="0" distR="0" wp14:anchorId="2F8229B3" wp14:editId="2F86898D">
            <wp:extent cx="5342255" cy="4070185"/>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346483" cy="4073406"/>
                    </a:xfrm>
                    <a:prstGeom prst="rect">
                      <a:avLst/>
                    </a:prstGeom>
                  </pic:spPr>
                </pic:pic>
              </a:graphicData>
            </a:graphic>
          </wp:inline>
        </w:drawing>
      </w:r>
    </w:p>
    <w:p w14:paraId="183E77AF" w14:textId="77777777" w:rsidR="00DE0A3B" w:rsidRPr="009F4260" w:rsidRDefault="00DE0A3B" w:rsidP="00DE0A3B">
      <w:pPr>
        <w:pStyle w:val="Figure"/>
        <w:rPr>
          <w:rFonts w:ascii="Calibri" w:hAnsi="Calibri"/>
        </w:rPr>
      </w:pPr>
      <w:bookmarkStart w:id="2" w:name="_Ref82357619"/>
      <w:r w:rsidRPr="009F4260">
        <w:rPr>
          <w:rFonts w:ascii="Calibri" w:hAnsi="Calibri"/>
        </w:rPr>
        <w:t>Comparison of the achievable ranging performance for the existing (black) and custom (light grey) waveforms; data decoding thresholds</w:t>
      </w:r>
      <w:r>
        <w:rPr>
          <w:rFonts w:ascii="Calibri" w:hAnsi="Calibri"/>
        </w:rPr>
        <w:t xml:space="preserve"> </w:t>
      </w:r>
      <w:r w:rsidRPr="009F4260">
        <w:rPr>
          <w:rFonts w:ascii="Calibri" w:hAnsi="Calibri"/>
        </w:rPr>
        <w:t>for the existing waveforms are indicated by vertical grey lines.</w:t>
      </w:r>
      <w:bookmarkEnd w:id="2"/>
    </w:p>
    <w:p w14:paraId="2A4D1399" w14:textId="70DCD337" w:rsidR="00ED6CA0" w:rsidRPr="00ED6CA0" w:rsidRDefault="00ED6CA0" w:rsidP="00ED6CA0">
      <w:pPr>
        <w:pStyle w:val="BodyText"/>
      </w:pPr>
      <w:r w:rsidRPr="00ED6CA0">
        <w:t>A new revision of the ITU‐R Recommendation on VDES</w:t>
      </w:r>
      <w:r>
        <w:t xml:space="preserve"> </w:t>
      </w:r>
      <w:r w:rsidR="002A7048">
        <w:fldChar w:fldCharType="begin"/>
      </w:r>
      <w:r w:rsidR="009B018E">
        <w:instrText xml:space="preserve"> ADDIN ZOTERO_ITEM CSL_CITATION {"citationID":"abFJCEYE","properties":{"formattedCitation":"[5]","plainCitation":"[5]","noteIndex":0},"citationItems":[{"id":1476,"uris":["http://zotero.org/users/2197752/items/IVABX8G7"],"uri":["http://zotero.org/users/2197752/items/IVABX8G7"],"itemData":{"id":1476,"type":"report","event-place":"Geneva, Switzerland","genre":"Recommendation","number":"ITU-R M.2092-0","publisher-place":"Geneva, Switzerland","title":"Technical Characteristics for a VHF Data Exchange System in the VHF Maritime Mobile Band","author":[{"literal":"ITU"}],"issued":{"date-parts":[["2015",10]]}}}],"schema":"https://github.com/citation-style-language/schema/raw/master/csl-citation.json"} </w:instrText>
      </w:r>
      <w:r w:rsidR="002A7048">
        <w:fldChar w:fldCharType="separate"/>
      </w:r>
      <w:r w:rsidR="009B018E" w:rsidRPr="009B018E">
        <w:t>[5]</w:t>
      </w:r>
      <w:r w:rsidR="002A7048">
        <w:fldChar w:fldCharType="end"/>
      </w:r>
      <w:r w:rsidR="002A7048">
        <w:t xml:space="preserve"> </w:t>
      </w:r>
      <w:r w:rsidRPr="00ED6CA0">
        <w:t>is expected to be approved in November 2021. While this (de facto) standard is not yet finalised, it is anticipated that it is too late to introduce significant changes at this stage. Therefore, prior to any update to this standard, it may be desirable to explore a third approach to VDE‐SAT ranging</w:t>
      </w:r>
      <w:r w:rsidR="007955E9">
        <w:t xml:space="preserve"> </w:t>
      </w:r>
      <w:r w:rsidRPr="00ED6CA0">
        <w:t>—</w:t>
      </w:r>
      <w:r w:rsidR="007955E9">
        <w:t xml:space="preserve"> </w:t>
      </w:r>
      <w:r w:rsidRPr="00ED6CA0">
        <w:t>one that would not require any changes to the VDES specification but would allow dedicated (known) ranging sequences to be used. It would also seem reasonable in the short term to focus on a scenario where a small constellation of VDE‐SAT satellites (offering, perhaps, continuous but not overlapping satellite coverage) is used to support VDE‐TER R‐Mode in coastal areas, as the likelihood of a large VDE‐SAT constellation being deployed in the next few years is considered low. One possible approach to implementing a ranging signal consistent with the above constraints and assumptions is outlined below.</w:t>
      </w:r>
    </w:p>
    <w:p w14:paraId="48C58F91" w14:textId="42BE1AA3" w:rsidR="00ED0572" w:rsidRDefault="00ED6CA0" w:rsidP="00ED6CA0">
      <w:pPr>
        <w:pStyle w:val="BodyText"/>
      </w:pPr>
      <w:r w:rsidRPr="00ED6CA0">
        <w:t xml:space="preserve">The proposed approach would transmit a known symbol sequence using the ‘Satellite to Ship Short Data without Acknowledgement’ protocol and Link ID 32, either in a single 50‐kHz bandwidth channel, or in both the lower and upper frequency bands (using the meta‐signal approach discussed previously). </w:t>
      </w:r>
      <w:r w:rsidR="00AF0ABE" w:rsidRPr="0036739D">
        <w:t xml:space="preserve">Recall that the Satellite to Ship Short Data without Acknowledgement protocol is only allowed to be used on the </w:t>
      </w:r>
      <w:r w:rsidR="00AF0ABE">
        <w:t>Announcement Signalling Channel (</w:t>
      </w:r>
      <w:r w:rsidR="00AF0ABE" w:rsidRPr="0036739D">
        <w:t>ASC</w:t>
      </w:r>
      <w:r w:rsidR="00AF0ABE">
        <w:t>)</w:t>
      </w:r>
      <w:r w:rsidR="00AF0ABE" w:rsidRPr="0036739D">
        <w:t>, which currently only allows Link ID 32 to be used.</w:t>
      </w:r>
      <w:r w:rsidR="00ED0572">
        <w:t xml:space="preserve"> It is assumed that</w:t>
      </w:r>
      <w:r w:rsidR="00ED0572" w:rsidRPr="00ED6CA0">
        <w:t xml:space="preserve"> the default satellite Bulletin Board </w:t>
      </w:r>
      <w:r w:rsidR="00ED0572">
        <w:t>would be</w:t>
      </w:r>
      <w:r w:rsidR="00ED0572" w:rsidRPr="00ED6CA0">
        <w:t xml:space="preserve"> used</w:t>
      </w:r>
      <w:r w:rsidR="00ED0572">
        <w:t>.</w:t>
      </w:r>
    </w:p>
    <w:p w14:paraId="293D5821" w14:textId="6D815E4C" w:rsidR="001E5581" w:rsidRDefault="00ED6CA0" w:rsidP="00ED6CA0">
      <w:pPr>
        <w:pStyle w:val="BodyText"/>
      </w:pPr>
      <w:r w:rsidRPr="00ED6CA0">
        <w:t xml:space="preserve">The ranging performance when the single‐channel approach is used would be expected to be close to the performance bounds for </w:t>
      </w:r>
      <w:r w:rsidRPr="00ED0572">
        <w:t>the VDE‐SAT 50K‐15 transmission configuration</w:t>
      </w:r>
      <w:r w:rsidRPr="00ED6CA0">
        <w:t xml:space="preserve"> (i.e., the worst of all options considered </w:t>
      </w:r>
      <w:r w:rsidR="003E30A6">
        <w:t xml:space="preserve">in the ANGELOS analyses </w:t>
      </w:r>
      <w:r w:rsidRPr="00ED6CA0">
        <w:t>to this point</w:t>
      </w:r>
      <w:r w:rsidR="00ED0572">
        <w:t xml:space="preserve">; see </w:t>
      </w:r>
      <w:r w:rsidR="00ED0572">
        <w:fldChar w:fldCharType="begin"/>
      </w:r>
      <w:r w:rsidR="00ED0572">
        <w:instrText xml:space="preserve"> REF _Ref82357619 \r \h </w:instrText>
      </w:r>
      <w:r w:rsidR="00ED0572">
        <w:fldChar w:fldCharType="separate"/>
      </w:r>
      <w:r w:rsidR="00ED0572">
        <w:t>Figure 1</w:t>
      </w:r>
      <w:r w:rsidR="00ED0572">
        <w:fldChar w:fldCharType="end"/>
      </w:r>
      <w:r w:rsidRPr="00ED6CA0">
        <w:t xml:space="preserve">). Considerable performance improvements can be expected if the meta‐signal approach is used; however, quantifying these would require significant </w:t>
      </w:r>
      <w:r w:rsidR="001E5581">
        <w:t xml:space="preserve">further work to be carried out. </w:t>
      </w:r>
      <w:r w:rsidR="001E5581" w:rsidRPr="00ED6CA0">
        <w:t xml:space="preserve">The </w:t>
      </w:r>
      <w:r w:rsidR="001E5581">
        <w:t xml:space="preserve">transmission </w:t>
      </w:r>
      <w:r w:rsidR="001E5581" w:rsidRPr="00ED6CA0">
        <w:t>repetition interval</w:t>
      </w:r>
      <w:r w:rsidR="001E5581">
        <w:t xml:space="preserve"> </w:t>
      </w:r>
      <w:r w:rsidR="001E5581" w:rsidRPr="00ED0572">
        <w:t xml:space="preserve">would be longer than the </w:t>
      </w:r>
      <w:r w:rsidR="001E5581">
        <w:t>15</w:t>
      </w:r>
      <w:r w:rsidR="001E5581">
        <w:noBreakHyphen/>
        <w:t xml:space="preserve">second </w:t>
      </w:r>
      <w:r w:rsidR="001E5581" w:rsidRPr="00ED0572">
        <w:t xml:space="preserve">position update rate </w:t>
      </w:r>
      <w:r w:rsidR="001E5581">
        <w:t>required for R</w:t>
      </w:r>
      <w:r w:rsidR="001E5581">
        <w:noBreakHyphen/>
      </w:r>
      <w:r w:rsidR="001E5581" w:rsidRPr="00ED0572">
        <w:t>Mode</w:t>
      </w:r>
      <w:r w:rsidR="001E5581">
        <w:t xml:space="preserve"> </w:t>
      </w:r>
      <w:r w:rsidR="001E5581">
        <w:fldChar w:fldCharType="begin"/>
      </w:r>
      <w:r w:rsidR="009B018E">
        <w:instrText xml:space="preserve"> ADDIN ZOTERO_ITEM CSL_CITATION {"citationID":"fsfLGHns","properties":{"formattedCitation":"[6]","plainCitation":"[6]","noteIndex":0},"citationItems":[{"id":1331,"uris":["http://zotero.org/users/2197752/items/H988JMZF"],"uri":["http://zotero.org/users/2197752/items/H988JMZF"],"itemData":{"id":1331,"type":"report","event-place":"St-Germain-en-Laye, France","genre":"Guideline","publisher-place":"St-Germain-en-Laye, France","title":"Stakeholder Requirements for R-Mode, Edition 0.2, draft","author":[{"family":"IALA","given":""}],"issued":{"date-parts":[["2019",9]]}}}],"schema":"https://github.com/citation-style-language/schema/raw/master/csl-citation.json"} </w:instrText>
      </w:r>
      <w:r w:rsidR="001E5581">
        <w:fldChar w:fldCharType="separate"/>
      </w:r>
      <w:r w:rsidR="009B018E" w:rsidRPr="009B018E">
        <w:t>[6]</w:t>
      </w:r>
      <w:r w:rsidR="001E5581">
        <w:fldChar w:fldCharType="end"/>
      </w:r>
      <w:r w:rsidR="001E5581" w:rsidRPr="00ED6CA0">
        <w:t>;</w:t>
      </w:r>
      <w:r w:rsidR="001E5581">
        <w:t xml:space="preserve"> </w:t>
      </w:r>
      <w:r w:rsidR="001E5581" w:rsidRPr="00ED6CA0">
        <w:t>however, more frequent updates may be made possible by using a custom Bulletin Board.</w:t>
      </w:r>
      <w:r w:rsidR="001E5581">
        <w:t xml:space="preserve"> </w:t>
      </w:r>
      <w:r w:rsidRPr="00ED6CA0">
        <w:t>The proposed approach would present only a mild channel load of 2% (assuming only one R‐Mode satellite in view</w:t>
      </w:r>
      <w:r w:rsidR="001E5581">
        <w:t xml:space="preserve"> at any given time).</w:t>
      </w:r>
    </w:p>
    <w:p w14:paraId="33B77313" w14:textId="4F0943CF" w:rsidR="000D1456" w:rsidRDefault="00ED6CA0" w:rsidP="00ED6CA0">
      <w:pPr>
        <w:pStyle w:val="BodyText"/>
      </w:pPr>
      <w:r w:rsidRPr="00ED6CA0">
        <w:t xml:space="preserve">An outstanding question is how the receiver would distinguish between a ranging signal transmission and an ordinary data transmission on the </w:t>
      </w:r>
      <w:r w:rsidRPr="00F51562">
        <w:t>ASC</w:t>
      </w:r>
      <w:r w:rsidRPr="00ED6CA0">
        <w:t xml:space="preserve"> (in VDE‐TER, a dedicated logical channel and Link IDs were introduced </w:t>
      </w:r>
      <w:r w:rsidRPr="00ED6CA0">
        <w:lastRenderedPageBreak/>
        <w:t>for this purpose). Perhaps the (known) ranging sequence could be used as a signature identifying the ranging signal, noting that this would require the receiver to search for the signature in each ASC time slot.</w:t>
      </w:r>
      <w:r w:rsidR="00C746B4">
        <w:t xml:space="preserve"> Or the time slots used for ranging could be identified within the R-Mode navigation message.</w:t>
      </w:r>
    </w:p>
    <w:p w14:paraId="2D1AEC22" w14:textId="7CD0F9CE" w:rsidR="00F26B65" w:rsidRDefault="00CD582F" w:rsidP="00F26B65">
      <w:pPr>
        <w:pStyle w:val="Table"/>
        <w:rPr>
          <w:rFonts w:ascii="Calibri" w:hAnsi="Calibri"/>
        </w:rPr>
      </w:pPr>
      <w:bookmarkStart w:id="3" w:name="_Ref82335936"/>
      <w:r>
        <w:rPr>
          <w:rFonts w:ascii="Calibri" w:hAnsi="Calibri"/>
        </w:rPr>
        <w:t xml:space="preserve">VDE-SAT ranging signal elements and constraints for an approach using existing </w:t>
      </w:r>
      <w:r w:rsidR="008118B4">
        <w:rPr>
          <w:rFonts w:ascii="Calibri" w:hAnsi="Calibri"/>
        </w:rPr>
        <w:t>waveforms in </w:t>
      </w:r>
      <w:r>
        <w:rPr>
          <w:rFonts w:ascii="Calibri" w:hAnsi="Calibri"/>
        </w:rPr>
        <w:t>conjunction with a fixed (known) symbol sequence.</w:t>
      </w:r>
      <w:bookmarkEnd w:id="3"/>
    </w:p>
    <w:tbl>
      <w:tblPr>
        <w:tblStyle w:val="TableGrid"/>
        <w:tblW w:w="0" w:type="auto"/>
        <w:jc w:val="center"/>
        <w:tblLook w:val="04A0" w:firstRow="1" w:lastRow="0" w:firstColumn="1" w:lastColumn="0" w:noHBand="0" w:noVBand="1"/>
      </w:tblPr>
      <w:tblGrid>
        <w:gridCol w:w="1286"/>
        <w:gridCol w:w="2318"/>
        <w:gridCol w:w="6024"/>
      </w:tblGrid>
      <w:tr w:rsidR="00CD582F" w:rsidRPr="00CD582F" w14:paraId="4AEFB73D" w14:textId="77777777" w:rsidTr="002672B9">
        <w:trPr>
          <w:jc w:val="center"/>
        </w:trPr>
        <w:tc>
          <w:tcPr>
            <w:tcW w:w="0" w:type="auto"/>
          </w:tcPr>
          <w:p w14:paraId="7F92B634" w14:textId="77777777" w:rsidR="00CD582F" w:rsidRPr="00CD582F" w:rsidRDefault="00CD582F" w:rsidP="00CD582F">
            <w:pPr>
              <w:pStyle w:val="TableHeader"/>
            </w:pPr>
          </w:p>
        </w:tc>
        <w:tc>
          <w:tcPr>
            <w:tcW w:w="0" w:type="auto"/>
          </w:tcPr>
          <w:p w14:paraId="3A64F0F6" w14:textId="77777777" w:rsidR="00CD582F" w:rsidRPr="00CD582F" w:rsidRDefault="00CD582F" w:rsidP="00CD582F">
            <w:pPr>
              <w:pStyle w:val="TableHeader"/>
            </w:pPr>
            <w:r w:rsidRPr="00CD582F">
              <w:t>Rec. ITU-R M.2092 Reference</w:t>
            </w:r>
          </w:p>
        </w:tc>
        <w:tc>
          <w:tcPr>
            <w:tcW w:w="0" w:type="auto"/>
          </w:tcPr>
          <w:p w14:paraId="4D7CE1D0" w14:textId="77777777" w:rsidR="00CD582F" w:rsidRPr="00CD582F" w:rsidRDefault="00CD582F" w:rsidP="00CD582F">
            <w:pPr>
              <w:pStyle w:val="TableHeader"/>
            </w:pPr>
            <w:r w:rsidRPr="00CD582F">
              <w:t>Notes</w:t>
            </w:r>
          </w:p>
        </w:tc>
      </w:tr>
      <w:tr w:rsidR="00CD582F" w:rsidRPr="00CD582F" w14:paraId="7593A14C" w14:textId="77777777" w:rsidTr="002672B9">
        <w:trPr>
          <w:jc w:val="center"/>
        </w:trPr>
        <w:tc>
          <w:tcPr>
            <w:tcW w:w="0" w:type="auto"/>
          </w:tcPr>
          <w:p w14:paraId="69556E5B" w14:textId="77777777" w:rsidR="00CD582F" w:rsidRPr="00CD582F" w:rsidRDefault="00CD582F" w:rsidP="00CD582F">
            <w:pPr>
              <w:pStyle w:val="TableHeader"/>
            </w:pPr>
            <w:r w:rsidRPr="00CD582F">
              <w:t>Protocol</w:t>
            </w:r>
          </w:p>
        </w:tc>
        <w:tc>
          <w:tcPr>
            <w:tcW w:w="0" w:type="auto"/>
          </w:tcPr>
          <w:p w14:paraId="0D77990A" w14:textId="77777777" w:rsidR="00CD582F" w:rsidRPr="00CD582F" w:rsidRDefault="00CD582F" w:rsidP="00CD582F">
            <w:pPr>
              <w:pStyle w:val="TableContents"/>
            </w:pPr>
            <w:r w:rsidRPr="00CD582F">
              <w:t>Satellite to Ship Short Data w/o ACK</w:t>
            </w:r>
          </w:p>
        </w:tc>
        <w:tc>
          <w:tcPr>
            <w:tcW w:w="0" w:type="auto"/>
          </w:tcPr>
          <w:p w14:paraId="7312029D" w14:textId="3F12AC80" w:rsidR="003A65D4" w:rsidRDefault="003A65D4" w:rsidP="00CD582F">
            <w:pPr>
              <w:pStyle w:val="TableContents"/>
            </w:pPr>
            <w:r>
              <w:t>To minimise transmission overheads.</w:t>
            </w:r>
          </w:p>
          <w:p w14:paraId="120C1BCF" w14:textId="61ED9CF3" w:rsidR="00CD582F" w:rsidRPr="00CD582F" w:rsidRDefault="00CD582F" w:rsidP="00087A98">
            <w:pPr>
              <w:pStyle w:val="TableContents"/>
            </w:pPr>
            <w:r w:rsidRPr="00CD582F">
              <w:t>Currently allowed only on the ASC.</w:t>
            </w:r>
          </w:p>
        </w:tc>
      </w:tr>
      <w:tr w:rsidR="00CD582F" w:rsidRPr="00CD582F" w14:paraId="289E60BF" w14:textId="77777777" w:rsidTr="002672B9">
        <w:trPr>
          <w:jc w:val="center"/>
        </w:trPr>
        <w:tc>
          <w:tcPr>
            <w:tcW w:w="0" w:type="auto"/>
          </w:tcPr>
          <w:p w14:paraId="3B9FDD4A" w14:textId="77777777" w:rsidR="00CD582F" w:rsidRPr="00CD582F" w:rsidRDefault="00CD582F" w:rsidP="00CD582F">
            <w:pPr>
              <w:pStyle w:val="TableHeader"/>
            </w:pPr>
            <w:r w:rsidRPr="00CD582F">
              <w:t>Message Type</w:t>
            </w:r>
          </w:p>
        </w:tc>
        <w:tc>
          <w:tcPr>
            <w:tcW w:w="0" w:type="auto"/>
          </w:tcPr>
          <w:p w14:paraId="3B982F53" w14:textId="41D3D0C5" w:rsidR="00CD582F" w:rsidRPr="00CD582F" w:rsidRDefault="00CD582F" w:rsidP="00CD582F">
            <w:pPr>
              <w:pStyle w:val="TableContents"/>
            </w:pPr>
            <w:r w:rsidRPr="00CD582F">
              <w:t>#16 (Short Message)</w:t>
            </w:r>
          </w:p>
        </w:tc>
        <w:tc>
          <w:tcPr>
            <w:tcW w:w="0" w:type="auto"/>
          </w:tcPr>
          <w:p w14:paraId="6BCCBDE8" w14:textId="22C5A5B9" w:rsidR="00CD582F" w:rsidRPr="00CD582F" w:rsidRDefault="00CD582F" w:rsidP="003A65D4">
            <w:pPr>
              <w:pStyle w:val="TableContents"/>
            </w:pPr>
            <w:r w:rsidRPr="00CD582F">
              <w:t xml:space="preserve">It is </w:t>
            </w:r>
            <w:r>
              <w:t>un</w:t>
            </w:r>
            <w:r w:rsidRPr="00CD582F">
              <w:t>clear</w:t>
            </w:r>
            <w:r w:rsidR="003A65D4">
              <w:t xml:space="preserve"> whether</w:t>
            </w:r>
            <w:r w:rsidRPr="00CD582F">
              <w:t xml:space="preserve"> #16 can be used for broadcast or o</w:t>
            </w:r>
            <w:r w:rsidR="00C517BE">
              <w:t>nly for addressed communication</w:t>
            </w:r>
            <w:r w:rsidRPr="00CD582F">
              <w:t>.</w:t>
            </w:r>
          </w:p>
        </w:tc>
      </w:tr>
      <w:tr w:rsidR="00CD582F" w:rsidRPr="00CD582F" w14:paraId="31B5E068" w14:textId="77777777" w:rsidTr="002672B9">
        <w:trPr>
          <w:jc w:val="center"/>
        </w:trPr>
        <w:tc>
          <w:tcPr>
            <w:tcW w:w="0" w:type="auto"/>
          </w:tcPr>
          <w:p w14:paraId="5EF255C7" w14:textId="77777777" w:rsidR="00CD582F" w:rsidRPr="00CD582F" w:rsidRDefault="00CD582F" w:rsidP="00CD582F">
            <w:pPr>
              <w:pStyle w:val="TableHeader"/>
            </w:pPr>
            <w:r w:rsidRPr="00CD582F">
              <w:t>Logical Channel</w:t>
            </w:r>
          </w:p>
        </w:tc>
        <w:tc>
          <w:tcPr>
            <w:tcW w:w="0" w:type="auto"/>
          </w:tcPr>
          <w:p w14:paraId="11D19DB2" w14:textId="77777777" w:rsidR="00CD582F" w:rsidRPr="00CD582F" w:rsidRDefault="00CD582F" w:rsidP="00CD582F">
            <w:pPr>
              <w:pStyle w:val="TableContents"/>
            </w:pPr>
            <w:r w:rsidRPr="00CD582F">
              <w:t>ASC</w:t>
            </w:r>
          </w:p>
        </w:tc>
        <w:tc>
          <w:tcPr>
            <w:tcW w:w="0" w:type="auto"/>
          </w:tcPr>
          <w:p w14:paraId="319B6672" w14:textId="370C8D16" w:rsidR="00CD582F" w:rsidRPr="00CD582F" w:rsidRDefault="00CD582F" w:rsidP="00CD582F">
            <w:pPr>
              <w:pStyle w:val="TableContents"/>
            </w:pPr>
            <w:r w:rsidRPr="00CD582F">
              <w:t xml:space="preserve">Only Link ID 32 is </w:t>
            </w:r>
            <w:r w:rsidR="009A08BA">
              <w:t xml:space="preserve">currently </w:t>
            </w:r>
            <w:r w:rsidRPr="00CD582F">
              <w:t>allowed on the VDE-SAT ASC.</w:t>
            </w:r>
          </w:p>
        </w:tc>
      </w:tr>
      <w:tr w:rsidR="00CD582F" w:rsidRPr="00CD582F" w14:paraId="23BB13BD" w14:textId="77777777" w:rsidTr="002672B9">
        <w:trPr>
          <w:jc w:val="center"/>
        </w:trPr>
        <w:tc>
          <w:tcPr>
            <w:tcW w:w="0" w:type="auto"/>
          </w:tcPr>
          <w:p w14:paraId="4A368733" w14:textId="77777777" w:rsidR="00CD582F" w:rsidRPr="00CD582F" w:rsidRDefault="00CD582F" w:rsidP="00CD582F">
            <w:pPr>
              <w:pStyle w:val="TableHeader"/>
            </w:pPr>
            <w:r w:rsidRPr="00CD582F">
              <w:t>Link ID</w:t>
            </w:r>
          </w:p>
        </w:tc>
        <w:tc>
          <w:tcPr>
            <w:tcW w:w="0" w:type="auto"/>
          </w:tcPr>
          <w:p w14:paraId="28ED9821" w14:textId="77777777" w:rsidR="00CD582F" w:rsidRPr="00CD582F" w:rsidRDefault="00CD582F" w:rsidP="00CD582F">
            <w:pPr>
              <w:pStyle w:val="TableContents"/>
            </w:pPr>
            <w:r w:rsidRPr="00CD582F">
              <w:t>32 (SAT-MCS-0.50-2)</w:t>
            </w:r>
          </w:p>
          <w:p w14:paraId="3DF1F358" w14:textId="77777777" w:rsidR="00CD582F" w:rsidRPr="00CD582F" w:rsidRDefault="00CD582F" w:rsidP="00CD582F">
            <w:pPr>
              <w:pStyle w:val="TableContents"/>
            </w:pPr>
          </w:p>
        </w:tc>
        <w:tc>
          <w:tcPr>
            <w:tcW w:w="0" w:type="auto"/>
          </w:tcPr>
          <w:p w14:paraId="7882D59F" w14:textId="77777777" w:rsidR="000C191A" w:rsidRDefault="000C191A" w:rsidP="000C191A">
            <w:pPr>
              <w:pStyle w:val="TableContents"/>
            </w:pPr>
            <w:r w:rsidRPr="00CD582F">
              <w:t>Modulation: BPSK/CDMA</w:t>
            </w:r>
          </w:p>
          <w:p w14:paraId="4E4A229B" w14:textId="77777777" w:rsidR="000C191A" w:rsidRPr="00CD582F" w:rsidRDefault="000C191A" w:rsidP="000C191A">
            <w:pPr>
              <w:pStyle w:val="TableContents"/>
            </w:pPr>
            <w:r>
              <w:t>CDMA Chip rate: 33.6 kcps</w:t>
            </w:r>
          </w:p>
          <w:p w14:paraId="0D1E793E" w14:textId="77777777" w:rsidR="000C191A" w:rsidRPr="00CD582F" w:rsidRDefault="000C191A" w:rsidP="000C191A">
            <w:pPr>
              <w:pStyle w:val="TableContents"/>
            </w:pPr>
            <w:r w:rsidRPr="00CD582F">
              <w:t>Spreading factor: 8</w:t>
            </w:r>
          </w:p>
          <w:p w14:paraId="651DE656" w14:textId="77777777" w:rsidR="000C191A" w:rsidRPr="00CD582F" w:rsidRDefault="000C191A" w:rsidP="000C191A">
            <w:pPr>
              <w:pStyle w:val="TableContents"/>
            </w:pPr>
            <w:r w:rsidRPr="00CD582F">
              <w:t>Signal bandwidth: 42 kHz</w:t>
            </w:r>
          </w:p>
          <w:p w14:paraId="7B560AA4" w14:textId="77777777" w:rsidR="000C191A" w:rsidRDefault="000C191A" w:rsidP="000C191A">
            <w:pPr>
              <w:pStyle w:val="TableContents"/>
            </w:pPr>
            <w:r w:rsidRPr="00CD582F">
              <w:t xml:space="preserve">Transmission duration: 15 time slots </w:t>
            </w:r>
          </w:p>
          <w:p w14:paraId="24BAA599" w14:textId="77777777" w:rsidR="00CD582F" w:rsidRPr="00CD582F" w:rsidRDefault="00CD582F" w:rsidP="00CD582F">
            <w:pPr>
              <w:pStyle w:val="TableContents"/>
            </w:pPr>
            <w:r w:rsidRPr="00CD582F">
              <w:t>Repeated syncword: yes</w:t>
            </w:r>
          </w:p>
          <w:p w14:paraId="68D4E6DB" w14:textId="77777777" w:rsidR="00CD582F" w:rsidRDefault="00CD582F" w:rsidP="00CD582F">
            <w:pPr>
              <w:pStyle w:val="TableContents"/>
            </w:pPr>
            <w:r w:rsidRPr="00CD582F">
              <w:t>Pilot symbols: yes</w:t>
            </w:r>
          </w:p>
          <w:p w14:paraId="51236C5C" w14:textId="77777777" w:rsidR="000C191A" w:rsidRDefault="000C191A" w:rsidP="00CD582F">
            <w:pPr>
              <w:pStyle w:val="TableContents"/>
            </w:pPr>
            <w:r w:rsidRPr="00CD582F">
              <w:t>FEC encoder input bits: 312</w:t>
            </w:r>
          </w:p>
          <w:p w14:paraId="21AD056A" w14:textId="77777777" w:rsidR="000C191A" w:rsidRPr="00CD582F" w:rsidRDefault="000C191A" w:rsidP="000C191A">
            <w:pPr>
              <w:pStyle w:val="TableContents"/>
            </w:pPr>
            <w:r w:rsidRPr="00CD582F">
              <w:t>Bit-scrambler: yes</w:t>
            </w:r>
          </w:p>
          <w:p w14:paraId="0BC8719C" w14:textId="0BA87EEC" w:rsidR="000C191A" w:rsidRPr="00CD582F" w:rsidRDefault="000C191A" w:rsidP="00CD582F">
            <w:pPr>
              <w:pStyle w:val="TableContents"/>
            </w:pPr>
            <w:r w:rsidRPr="00CD582F">
              <w:t>Channel interleaver: yes</w:t>
            </w:r>
          </w:p>
        </w:tc>
      </w:tr>
      <w:tr w:rsidR="008B0F08" w:rsidRPr="00CD582F" w14:paraId="76F24A40" w14:textId="77777777" w:rsidTr="002672B9">
        <w:trPr>
          <w:jc w:val="center"/>
        </w:trPr>
        <w:tc>
          <w:tcPr>
            <w:tcW w:w="0" w:type="auto"/>
          </w:tcPr>
          <w:p w14:paraId="494A5014" w14:textId="77777777" w:rsidR="008B0F08" w:rsidRPr="00CD582F" w:rsidRDefault="008B0F08" w:rsidP="00CF6A2A">
            <w:pPr>
              <w:pStyle w:val="TableHeader"/>
            </w:pPr>
            <w:r w:rsidRPr="00CD582F">
              <w:t>Bulletin Board</w:t>
            </w:r>
          </w:p>
        </w:tc>
        <w:tc>
          <w:tcPr>
            <w:tcW w:w="0" w:type="auto"/>
          </w:tcPr>
          <w:p w14:paraId="42EEDE04" w14:textId="77777777" w:rsidR="008B0F08" w:rsidRPr="00CD582F" w:rsidRDefault="008B0F08" w:rsidP="00CF6A2A">
            <w:pPr>
              <w:pStyle w:val="TableContents"/>
            </w:pPr>
            <w:r w:rsidRPr="00CD582F">
              <w:t>Default VDE-SAT bulletin board</w:t>
            </w:r>
          </w:p>
        </w:tc>
        <w:tc>
          <w:tcPr>
            <w:tcW w:w="0" w:type="auto"/>
          </w:tcPr>
          <w:p w14:paraId="60C8159E" w14:textId="77777777" w:rsidR="008B0F08" w:rsidRPr="00CD582F" w:rsidRDefault="008B0F08" w:rsidP="00CF6A2A">
            <w:pPr>
              <w:pStyle w:val="TableContents"/>
            </w:pPr>
            <w:r w:rsidRPr="00CD582F">
              <w:t>The default VDE-SAT bulletin board allocates 90 slots for ASC transmission approximately every 20 seconds.</w:t>
            </w:r>
          </w:p>
        </w:tc>
      </w:tr>
    </w:tbl>
    <w:p w14:paraId="192084C4" w14:textId="77777777" w:rsidR="00CD582F" w:rsidRPr="00CD582F" w:rsidRDefault="00CD582F" w:rsidP="00CD582F"/>
    <w:p w14:paraId="1BDA5106" w14:textId="4B9E1DD7" w:rsidR="009A08BA" w:rsidRDefault="009A08BA" w:rsidP="009A08BA">
      <w:pPr>
        <w:pStyle w:val="Table"/>
        <w:rPr>
          <w:rFonts w:ascii="Calibri" w:hAnsi="Calibri"/>
        </w:rPr>
      </w:pPr>
      <w:r>
        <w:rPr>
          <w:rFonts w:ascii="Calibri" w:hAnsi="Calibri"/>
        </w:rPr>
        <w:t xml:space="preserve">Key characteristics of </w:t>
      </w:r>
      <w:r w:rsidR="003A65D4">
        <w:rPr>
          <w:rFonts w:ascii="Calibri" w:hAnsi="Calibri"/>
        </w:rPr>
        <w:t xml:space="preserve">a </w:t>
      </w:r>
      <w:r>
        <w:rPr>
          <w:rFonts w:ascii="Calibri" w:hAnsi="Calibri"/>
        </w:rPr>
        <w:t xml:space="preserve">VDE-SAT ranging signal </w:t>
      </w:r>
      <w:r w:rsidR="003A65D4">
        <w:rPr>
          <w:rFonts w:ascii="Calibri" w:hAnsi="Calibri"/>
        </w:rPr>
        <w:t>consistent with the</w:t>
      </w:r>
      <w:r w:rsidR="00087A98">
        <w:rPr>
          <w:rFonts w:ascii="Calibri" w:hAnsi="Calibri"/>
        </w:rPr>
        <w:t xml:space="preserve"> assumptions and </w:t>
      </w:r>
      <w:r w:rsidR="003A65D4">
        <w:rPr>
          <w:rFonts w:ascii="Calibri" w:hAnsi="Calibri"/>
        </w:rPr>
        <w:t xml:space="preserve">constraints </w:t>
      </w:r>
      <w:r w:rsidR="00087A98">
        <w:rPr>
          <w:rFonts w:ascii="Calibri" w:hAnsi="Calibri"/>
        </w:rPr>
        <w:t xml:space="preserve">listed </w:t>
      </w:r>
      <w:r w:rsidR="003A65D4">
        <w:rPr>
          <w:rFonts w:ascii="Calibri" w:hAnsi="Calibri"/>
        </w:rPr>
        <w:t>in </w:t>
      </w:r>
      <w:r w:rsidR="003A65D4">
        <w:rPr>
          <w:rFonts w:ascii="Calibri" w:hAnsi="Calibri"/>
        </w:rPr>
        <w:fldChar w:fldCharType="begin"/>
      </w:r>
      <w:r w:rsidR="003A65D4">
        <w:rPr>
          <w:rFonts w:ascii="Calibri" w:hAnsi="Calibri"/>
        </w:rPr>
        <w:instrText xml:space="preserve"> REF _Ref82335936 \r \h </w:instrText>
      </w:r>
      <w:r w:rsidR="003A65D4">
        <w:rPr>
          <w:rFonts w:ascii="Calibri" w:hAnsi="Calibri"/>
        </w:rPr>
      </w:r>
      <w:r w:rsidR="003A65D4">
        <w:rPr>
          <w:rFonts w:ascii="Calibri" w:hAnsi="Calibri"/>
        </w:rPr>
        <w:fldChar w:fldCharType="separate"/>
      </w:r>
      <w:r w:rsidR="003A65D4">
        <w:rPr>
          <w:rFonts w:ascii="Calibri" w:hAnsi="Calibri"/>
        </w:rPr>
        <w:t>Table 1</w:t>
      </w:r>
      <w:r w:rsidR="003A65D4">
        <w:rPr>
          <w:rFonts w:ascii="Calibri" w:hAnsi="Calibri"/>
        </w:rPr>
        <w:fldChar w:fldCharType="end"/>
      </w:r>
      <w:r>
        <w:rPr>
          <w:rFonts w:ascii="Calibri" w:hAnsi="Calibri"/>
        </w:rPr>
        <w:t>.</w:t>
      </w:r>
    </w:p>
    <w:tbl>
      <w:tblPr>
        <w:tblStyle w:val="TableGrid"/>
        <w:tblW w:w="0" w:type="auto"/>
        <w:jc w:val="center"/>
        <w:tblLook w:val="04A0" w:firstRow="1" w:lastRow="0" w:firstColumn="1" w:lastColumn="0" w:noHBand="0" w:noVBand="1"/>
      </w:tblPr>
      <w:tblGrid>
        <w:gridCol w:w="1663"/>
        <w:gridCol w:w="7965"/>
      </w:tblGrid>
      <w:tr w:rsidR="001E5581" w:rsidRPr="000D1456" w14:paraId="1800CF10" w14:textId="77777777" w:rsidTr="00CF6A2A">
        <w:trPr>
          <w:jc w:val="center"/>
        </w:trPr>
        <w:tc>
          <w:tcPr>
            <w:tcW w:w="0" w:type="auto"/>
          </w:tcPr>
          <w:p w14:paraId="391777C1" w14:textId="77777777" w:rsidR="001E5581" w:rsidRPr="000D1456" w:rsidRDefault="001E5581" w:rsidP="00CF6A2A">
            <w:pPr>
              <w:pStyle w:val="TableHeader"/>
            </w:pPr>
            <w:r w:rsidRPr="000D1456">
              <w:t>Data Symbols</w:t>
            </w:r>
          </w:p>
        </w:tc>
        <w:tc>
          <w:tcPr>
            <w:tcW w:w="0" w:type="auto"/>
          </w:tcPr>
          <w:p w14:paraId="5459E707" w14:textId="77777777" w:rsidR="001E5581" w:rsidRPr="000D1456" w:rsidRDefault="001E5581" w:rsidP="00CF6A2A">
            <w:pPr>
              <w:pStyle w:val="TableContents"/>
            </w:pPr>
            <w:r w:rsidRPr="000D1456">
              <w:t xml:space="preserve">Known symbol sequence, e.g. </w:t>
            </w:r>
            <w:r>
              <w:t>pseudorandom</w:t>
            </w:r>
            <w:r w:rsidRPr="000D1456">
              <w:t xml:space="preserve"> or an optimised sequence determined through simulations or analysis of the error correcting and synchronis</w:t>
            </w:r>
            <w:r>
              <w:t>ation algorithms applied in VDE</w:t>
            </w:r>
            <w:r>
              <w:noBreakHyphen/>
            </w:r>
            <w:r w:rsidRPr="000D1456">
              <w:t>SAT.</w:t>
            </w:r>
          </w:p>
        </w:tc>
      </w:tr>
      <w:tr w:rsidR="001E5581" w:rsidRPr="000D1456" w14:paraId="07922C89" w14:textId="77777777" w:rsidTr="00CF6A2A">
        <w:trPr>
          <w:jc w:val="center"/>
        </w:trPr>
        <w:tc>
          <w:tcPr>
            <w:tcW w:w="0" w:type="auto"/>
          </w:tcPr>
          <w:p w14:paraId="791A4A14" w14:textId="77777777" w:rsidR="001E5581" w:rsidRPr="000D1456" w:rsidRDefault="001E5581" w:rsidP="00CF6A2A">
            <w:pPr>
              <w:pStyle w:val="TableHeader"/>
            </w:pPr>
            <w:r w:rsidRPr="000D1456">
              <w:t>Signal Bandwidth</w:t>
            </w:r>
          </w:p>
        </w:tc>
        <w:tc>
          <w:tcPr>
            <w:tcW w:w="0" w:type="auto"/>
          </w:tcPr>
          <w:p w14:paraId="0098E691" w14:textId="77777777" w:rsidR="001E5581" w:rsidRPr="000D1456" w:rsidRDefault="001E5581" w:rsidP="00CF6A2A">
            <w:pPr>
              <w:pStyle w:val="TableContents"/>
            </w:pPr>
            <w:r w:rsidRPr="000D1456">
              <w:t>1x 42 kHz; or</w:t>
            </w:r>
          </w:p>
          <w:p w14:paraId="04D2018D" w14:textId="77777777" w:rsidR="001E5581" w:rsidRPr="000D1456" w:rsidRDefault="001E5581" w:rsidP="00CF6A2A">
            <w:pPr>
              <w:pStyle w:val="TableContents"/>
            </w:pPr>
            <w:r w:rsidRPr="000D1456">
              <w:t>2x 42 kHz, 4.6 MHz separation (meta-signal</w:t>
            </w:r>
            <w:r>
              <w:t xml:space="preserve"> approach</w:t>
            </w:r>
            <w:r w:rsidRPr="000D1456">
              <w:t>)</w:t>
            </w:r>
          </w:p>
        </w:tc>
      </w:tr>
      <w:tr w:rsidR="000D1456" w:rsidRPr="000D1456" w14:paraId="5168BFC4" w14:textId="77777777" w:rsidTr="00CF6A2A">
        <w:trPr>
          <w:jc w:val="center"/>
        </w:trPr>
        <w:tc>
          <w:tcPr>
            <w:tcW w:w="0" w:type="auto"/>
          </w:tcPr>
          <w:p w14:paraId="300A424A" w14:textId="77777777" w:rsidR="000D1456" w:rsidRPr="000D1456" w:rsidRDefault="000D1456" w:rsidP="000D1456">
            <w:pPr>
              <w:pStyle w:val="TableHeader"/>
            </w:pPr>
            <w:r w:rsidRPr="000D1456">
              <w:t>Transmission Duration</w:t>
            </w:r>
          </w:p>
        </w:tc>
        <w:tc>
          <w:tcPr>
            <w:tcW w:w="0" w:type="auto"/>
          </w:tcPr>
          <w:p w14:paraId="149DE4CE" w14:textId="1DB343AD" w:rsidR="000D1456" w:rsidRPr="000D1456" w:rsidRDefault="000D1456" w:rsidP="000D1456">
            <w:pPr>
              <w:pStyle w:val="TableContents"/>
            </w:pPr>
            <w:r w:rsidRPr="000D1456">
              <w:t>15 VDES time slots</w:t>
            </w:r>
            <w:r>
              <w:t xml:space="preserve"> (0.4 second);</w:t>
            </w:r>
          </w:p>
          <w:p w14:paraId="085F7719" w14:textId="45F878CE" w:rsidR="000D1456" w:rsidRPr="000D1456" w:rsidRDefault="000D1456" w:rsidP="000D1456">
            <w:pPr>
              <w:pStyle w:val="TableContents"/>
            </w:pPr>
            <w:r>
              <w:t>C</w:t>
            </w:r>
            <w:r w:rsidRPr="000D1456">
              <w:t>onstrained by the exist</w:t>
            </w:r>
            <w:r>
              <w:t>ing VDE-SAT waveforms and rules</w:t>
            </w:r>
          </w:p>
        </w:tc>
      </w:tr>
      <w:tr w:rsidR="000D1456" w:rsidRPr="000D1456" w14:paraId="60AAF82F" w14:textId="77777777" w:rsidTr="00CF6A2A">
        <w:trPr>
          <w:jc w:val="center"/>
        </w:trPr>
        <w:tc>
          <w:tcPr>
            <w:tcW w:w="0" w:type="auto"/>
          </w:tcPr>
          <w:p w14:paraId="3A919932" w14:textId="77777777" w:rsidR="000D1456" w:rsidRPr="000D1456" w:rsidRDefault="000D1456" w:rsidP="000D1456">
            <w:pPr>
              <w:pStyle w:val="TableHeader"/>
            </w:pPr>
            <w:r w:rsidRPr="000D1456">
              <w:t>Repetition Interval</w:t>
            </w:r>
          </w:p>
        </w:tc>
        <w:tc>
          <w:tcPr>
            <w:tcW w:w="0" w:type="auto"/>
          </w:tcPr>
          <w:p w14:paraId="7EAEE894" w14:textId="2B15F82A" w:rsidR="000D1456" w:rsidRPr="000D1456" w:rsidRDefault="000D1456" w:rsidP="000D1456">
            <w:pPr>
              <w:pStyle w:val="TableContents"/>
            </w:pPr>
            <w:r w:rsidRPr="000D1456">
              <w:t>Approximately 20 seconds</w:t>
            </w:r>
            <w:r>
              <w:t>;</w:t>
            </w:r>
          </w:p>
          <w:p w14:paraId="171D78AB" w14:textId="04941458" w:rsidR="000D1456" w:rsidRPr="000D1456" w:rsidRDefault="000D1456" w:rsidP="000D1456">
            <w:pPr>
              <w:pStyle w:val="TableContents"/>
            </w:pPr>
            <w:r>
              <w:t>L</w:t>
            </w:r>
            <w:r w:rsidRPr="000D1456">
              <w:t>onger than the 15 second position update interval required for c</w:t>
            </w:r>
            <w:r>
              <w:t>oastal navigation by IALA R</w:t>
            </w:r>
            <w:r>
              <w:noBreakHyphen/>
              <w:t>129</w:t>
            </w:r>
          </w:p>
        </w:tc>
      </w:tr>
      <w:tr w:rsidR="000D1456" w:rsidRPr="000D1456" w14:paraId="1673330A" w14:textId="77777777" w:rsidTr="00CF6A2A">
        <w:trPr>
          <w:jc w:val="center"/>
        </w:trPr>
        <w:tc>
          <w:tcPr>
            <w:tcW w:w="0" w:type="auto"/>
          </w:tcPr>
          <w:p w14:paraId="5EB655EE" w14:textId="77777777" w:rsidR="000D1456" w:rsidRPr="000D1456" w:rsidRDefault="000D1456" w:rsidP="000D1456">
            <w:pPr>
              <w:pStyle w:val="TableHeader"/>
            </w:pPr>
            <w:r w:rsidRPr="000D1456">
              <w:t>Channel Loading</w:t>
            </w:r>
          </w:p>
        </w:tc>
        <w:tc>
          <w:tcPr>
            <w:tcW w:w="0" w:type="auto"/>
          </w:tcPr>
          <w:p w14:paraId="140B7424" w14:textId="77777777" w:rsidR="000D1456" w:rsidRPr="000D1456" w:rsidRDefault="000D1456" w:rsidP="000D1456">
            <w:pPr>
              <w:pStyle w:val="TableContents"/>
            </w:pPr>
            <w:r w:rsidRPr="000D1456">
              <w:t>2%</w:t>
            </w:r>
          </w:p>
        </w:tc>
      </w:tr>
    </w:tbl>
    <w:p w14:paraId="7250B3A2" w14:textId="50D942EE" w:rsidR="00F25BF4" w:rsidRPr="007A395D" w:rsidRDefault="00ED6CA0" w:rsidP="006755CE">
      <w:pPr>
        <w:pStyle w:val="BodyText"/>
        <w:spacing w:before="240"/>
      </w:pPr>
      <w:r w:rsidRPr="00ED6CA0">
        <w:t xml:space="preserve">Other approaches, or variations of the above approach, may be possible which could provide improved performance. For example, multiple </w:t>
      </w:r>
      <w:r w:rsidR="003E30A6">
        <w:t xml:space="preserve">VDES </w:t>
      </w:r>
      <w:r w:rsidRPr="00ED6CA0">
        <w:t>Link ID 32 transmissions could be concatenated to increase the signal energy (this may require allocating additional slots to the ASC in a custom Bulletin Board). Use of the ‘Satellite Originated Broadcast’ protocol could also be considered, which would enable the use of the wider‐bandwidth, longer‐duration VDE‐SAT waveforms; however, this protocol requires resource allocations to be made before any ‘useful’ data can be transmitted, and may therefore introduce substantial additional overhead to the datalink.</w:t>
      </w:r>
      <w:r w:rsidR="00174751">
        <w:t xml:space="preserve"> </w:t>
      </w:r>
      <w:r w:rsidRPr="00ED6CA0">
        <w:t xml:space="preserve">If a 90‐slot waveform is used for ranging and the datalink loading becomes excessive, it may be possible to reduce the length of the known data sequence so that not all the data capacity within a transmission is used (multiple messages could be packed in a single transmission packet, one message carrying the shortened ranging sequence and the rest carrying user‐generated data); however, the </w:t>
      </w:r>
      <w:r w:rsidRPr="00ED6CA0">
        <w:lastRenderedPageBreak/>
        <w:t>effects of the VDE‐SAT channel interleaver, which would interleave the known symbols with the user‐generated (unknown) ones, woul</w:t>
      </w:r>
      <w:r>
        <w:t>d have to be taken into account</w:t>
      </w:r>
      <w:r w:rsidR="004C71C0" w:rsidRPr="007A395D">
        <w:t xml:space="preserve">.  </w:t>
      </w:r>
    </w:p>
    <w:p w14:paraId="0CBA4C0B" w14:textId="355B3AC4" w:rsidR="00477C40" w:rsidRDefault="00477C40" w:rsidP="00477C40">
      <w:pPr>
        <w:pStyle w:val="Heading2"/>
      </w:pPr>
      <w:r>
        <w:t>Summary of Questions</w:t>
      </w:r>
    </w:p>
    <w:p w14:paraId="07EA3E15" w14:textId="77C904D1" w:rsidR="00277DF7" w:rsidRDefault="009C05F8" w:rsidP="009C05F8">
      <w:pPr>
        <w:pStyle w:val="BodyText"/>
        <w:numPr>
          <w:ilvl w:val="0"/>
          <w:numId w:val="47"/>
        </w:numPr>
      </w:pPr>
      <w:r>
        <w:t xml:space="preserve">Is it possible </w:t>
      </w:r>
      <w:r w:rsidR="00F04140">
        <w:t xml:space="preserve">for a </w:t>
      </w:r>
      <w:r w:rsidR="00E515DB">
        <w:t xml:space="preserve">state-of-the-art </w:t>
      </w:r>
      <w:r w:rsidR="00F04140">
        <w:t xml:space="preserve">VDES </w:t>
      </w:r>
      <w:r w:rsidR="006329D6">
        <w:t>transmitter</w:t>
      </w:r>
      <w:r w:rsidR="00F04140">
        <w:t xml:space="preserve"> </w:t>
      </w:r>
      <w:r>
        <w:t xml:space="preserve">to provide synchronised </w:t>
      </w:r>
      <w:r w:rsidR="00165DFC">
        <w:t xml:space="preserve">(not necessarily simultaneous) </w:t>
      </w:r>
      <w:r>
        <w:t>VDE transmissions in</w:t>
      </w:r>
      <w:r w:rsidR="0071226D">
        <w:t xml:space="preserve"> </w:t>
      </w:r>
      <w:r>
        <w:t>the lower and upper VDES bands?</w:t>
      </w:r>
      <w:r w:rsidR="0071226D">
        <w:t xml:space="preserve"> ‘Synchronised’ in this context </w:t>
      </w:r>
      <w:r w:rsidR="00CA4C22">
        <w:t>means</w:t>
      </w:r>
      <w:r w:rsidR="0071226D">
        <w:t xml:space="preserve"> having defined time offset</w:t>
      </w:r>
      <w:r w:rsidR="00200BF0">
        <w:t>s</w:t>
      </w:r>
      <w:r w:rsidR="0071226D">
        <w:t xml:space="preserve"> with respect to a common time base as well as defined </w:t>
      </w:r>
      <w:r w:rsidR="00C853F3">
        <w:t xml:space="preserve">initial </w:t>
      </w:r>
      <w:r w:rsidR="0071226D">
        <w:t xml:space="preserve">carrier </w:t>
      </w:r>
      <w:r w:rsidR="0071226D" w:rsidRPr="00200BF0">
        <w:t>phase</w:t>
      </w:r>
      <w:r w:rsidR="0071226D">
        <w:t xml:space="preserve"> and </w:t>
      </w:r>
      <w:r w:rsidR="00C853F3">
        <w:t xml:space="preserve">carrier </w:t>
      </w:r>
      <w:r w:rsidR="0071226D">
        <w:t>frequency offset</w:t>
      </w:r>
      <w:r w:rsidR="00200BF0">
        <w:t>s</w:t>
      </w:r>
      <w:r w:rsidR="0071226D">
        <w:t xml:space="preserve"> with respect to a common carrier signal.</w:t>
      </w:r>
    </w:p>
    <w:p w14:paraId="1EA01B5F" w14:textId="3FB9BB0B" w:rsidR="00165DFC" w:rsidRDefault="00165DFC" w:rsidP="009C05F8">
      <w:pPr>
        <w:pStyle w:val="BodyText"/>
        <w:numPr>
          <w:ilvl w:val="0"/>
          <w:numId w:val="47"/>
        </w:numPr>
      </w:pPr>
      <w:r>
        <w:t>Is it possible for a state-of-the-art VDES transmitter to provide simultaneous, synchronised VDE transmissions in the lower and upper VDES bands?</w:t>
      </w:r>
    </w:p>
    <w:p w14:paraId="35119DE0" w14:textId="6065493A" w:rsidR="009C05F8" w:rsidRDefault="00F04140" w:rsidP="009C05F8">
      <w:pPr>
        <w:pStyle w:val="BodyText"/>
        <w:numPr>
          <w:ilvl w:val="0"/>
          <w:numId w:val="47"/>
        </w:numPr>
      </w:pPr>
      <w:r>
        <w:t xml:space="preserve">Is it possible for a </w:t>
      </w:r>
      <w:r w:rsidR="00E515DB">
        <w:t xml:space="preserve">state-of-the-art </w:t>
      </w:r>
      <w:r>
        <w:t xml:space="preserve">VDES receiver </w:t>
      </w:r>
      <w:r w:rsidR="00887EBF">
        <w:t xml:space="preserve">to </w:t>
      </w:r>
      <w:r>
        <w:t xml:space="preserve">simultaneously receive VDE </w:t>
      </w:r>
      <w:r w:rsidR="008B3411">
        <w:t xml:space="preserve">transmissions </w:t>
      </w:r>
      <w:r>
        <w:t>in the lower and upper VDES bands?</w:t>
      </w:r>
      <w:r w:rsidR="00887EBF">
        <w:t xml:space="preserve"> </w:t>
      </w:r>
      <w:r w:rsidR="00C80409">
        <w:t>Note that in order to support meta-signal processing t</w:t>
      </w:r>
      <w:r w:rsidR="00887EBF">
        <w:t xml:space="preserve">he time offsets of the </w:t>
      </w:r>
      <w:r w:rsidR="00554AC1">
        <w:t xml:space="preserve">captured </w:t>
      </w:r>
      <w:r w:rsidR="00887EBF">
        <w:t xml:space="preserve">signals in both frequency bands should be defined with respect to a common time base and </w:t>
      </w:r>
      <w:r w:rsidR="00C853F3">
        <w:t>the initial carrier phase and carrier frequency offsets should be defined with respect to a common carrier signal.</w:t>
      </w:r>
    </w:p>
    <w:p w14:paraId="4F6F3C2F" w14:textId="516EA355" w:rsidR="009C05F8" w:rsidRDefault="00E22D7A" w:rsidP="009C05F8">
      <w:pPr>
        <w:pStyle w:val="BodyText"/>
        <w:numPr>
          <w:ilvl w:val="0"/>
          <w:numId w:val="47"/>
        </w:numPr>
      </w:pPr>
      <w:r>
        <w:t xml:space="preserve">Do you consider </w:t>
      </w:r>
      <w:r w:rsidR="00B266DC">
        <w:t>the approach to VDE-SAT ranging signal transmission described in Section </w:t>
      </w:r>
      <w:r w:rsidR="00B266DC">
        <w:fldChar w:fldCharType="begin"/>
      </w:r>
      <w:r w:rsidR="00B266DC">
        <w:instrText xml:space="preserve"> REF _Ref82351604 \r \h </w:instrText>
      </w:r>
      <w:r w:rsidR="00B266DC">
        <w:fldChar w:fldCharType="separate"/>
      </w:r>
      <w:r w:rsidR="00B266DC">
        <w:t>3.2</w:t>
      </w:r>
      <w:r w:rsidR="00B266DC">
        <w:fldChar w:fldCharType="end"/>
      </w:r>
      <w:r w:rsidR="00B266DC">
        <w:t xml:space="preserve"> feasible?</w:t>
      </w:r>
    </w:p>
    <w:p w14:paraId="1C7CCB19" w14:textId="7BEF146F" w:rsidR="007C181A" w:rsidRDefault="007C181A" w:rsidP="007C181A">
      <w:pPr>
        <w:pStyle w:val="BodyText"/>
        <w:numPr>
          <w:ilvl w:val="0"/>
          <w:numId w:val="47"/>
        </w:numPr>
      </w:pPr>
      <w:r>
        <w:t xml:space="preserve">Can VDE-SAT Message </w:t>
      </w:r>
      <w:r w:rsidRPr="007C181A">
        <w:t>#16 (Short Message)</w:t>
      </w:r>
      <w:r>
        <w:t xml:space="preserve"> be used for broadcast or only addressed communication? </w:t>
      </w:r>
    </w:p>
    <w:p w14:paraId="394ABD52" w14:textId="22C9D5E3" w:rsidR="00CB3266" w:rsidRDefault="00CB3266" w:rsidP="009C05F8">
      <w:pPr>
        <w:pStyle w:val="BodyText"/>
        <w:numPr>
          <w:ilvl w:val="0"/>
          <w:numId w:val="47"/>
        </w:numPr>
      </w:pPr>
      <w:r>
        <w:t>How can a VDES receiver identify a VDE-SAT ranging signal transmission</w:t>
      </w:r>
      <w:r w:rsidR="007F7FF9">
        <w:t xml:space="preserve"> (as opposed to an ordinary data transmission)</w:t>
      </w:r>
      <w:r>
        <w:t>?</w:t>
      </w:r>
    </w:p>
    <w:p w14:paraId="2D41007D" w14:textId="2EAB2FB9" w:rsidR="00477C40" w:rsidRPr="00477C40" w:rsidRDefault="00B266DC" w:rsidP="00477C40">
      <w:pPr>
        <w:pStyle w:val="BodyText"/>
        <w:numPr>
          <w:ilvl w:val="0"/>
          <w:numId w:val="47"/>
        </w:numPr>
      </w:pPr>
      <w:r>
        <w:t>Is it possible (within the existing constraints of the VDE-SAT specification) to use a wider-bandwidth (100 kHz or 150 kHz) waveform</w:t>
      </w:r>
      <w:r w:rsidR="00E515DB">
        <w:t xml:space="preserve"> </w:t>
      </w:r>
      <w:r w:rsidR="00233147">
        <w:t>for repetitive, short message</w:t>
      </w:r>
      <w:r w:rsidR="007E08EA">
        <w:t xml:space="preserve"> transmission</w:t>
      </w:r>
      <w:r w:rsidR="00233147">
        <w:t>s</w:t>
      </w:r>
      <w:r>
        <w:t>?</w:t>
      </w:r>
    </w:p>
    <w:p w14:paraId="1D083D92" w14:textId="199BE559" w:rsidR="00180DDA" w:rsidRDefault="00180DDA" w:rsidP="00605E43">
      <w:pPr>
        <w:pStyle w:val="Heading1"/>
      </w:pPr>
      <w:r w:rsidRPr="007A395D">
        <w:t>References</w:t>
      </w:r>
    </w:p>
    <w:p w14:paraId="5537A2E7" w14:textId="77777777" w:rsidR="00C12863" w:rsidRPr="00C12863" w:rsidRDefault="000974A1" w:rsidP="00C12863">
      <w:pPr>
        <w:pStyle w:val="Bibliography"/>
        <w:rPr>
          <w:rFonts w:ascii="Calibri" w:hAnsi="Calibri"/>
        </w:rPr>
      </w:pPr>
      <w:r>
        <w:rPr>
          <w:lang w:eastAsia="de-DE"/>
        </w:rPr>
        <w:fldChar w:fldCharType="begin"/>
      </w:r>
      <w:r w:rsidR="00C12863">
        <w:rPr>
          <w:lang w:eastAsia="de-DE"/>
        </w:rPr>
        <w:instrText xml:space="preserve"> ADDIN ZOTERO_BIBL {"uncited":[],"omitted":[],"custom":[]} CSL_BIBLIOGRAPHY </w:instrText>
      </w:r>
      <w:r>
        <w:rPr>
          <w:lang w:eastAsia="de-DE"/>
        </w:rPr>
        <w:fldChar w:fldCharType="separate"/>
      </w:r>
      <w:r w:rsidR="00C12863" w:rsidRPr="00C12863">
        <w:rPr>
          <w:rFonts w:ascii="Calibri" w:hAnsi="Calibri"/>
        </w:rPr>
        <w:t>[1]</w:t>
      </w:r>
      <w:r w:rsidR="00C12863" w:rsidRPr="00C12863">
        <w:rPr>
          <w:rFonts w:ascii="Calibri" w:hAnsi="Calibri"/>
        </w:rPr>
        <w:tab/>
        <w:t xml:space="preserve">GMV NSL, ‘ANGELOS Press Release’, </w:t>
      </w:r>
      <w:r w:rsidR="00C12863" w:rsidRPr="00C12863">
        <w:rPr>
          <w:rFonts w:ascii="Calibri" w:hAnsi="Calibri"/>
          <w:i/>
          <w:iCs/>
        </w:rPr>
        <w:t>GMV NSL website</w:t>
      </w:r>
      <w:r w:rsidR="00C12863" w:rsidRPr="00C12863">
        <w:rPr>
          <w:rFonts w:ascii="Calibri" w:hAnsi="Calibri"/>
        </w:rPr>
        <w:t>, Nov. 2020. http://gmvnsl.com/pressrelease/ANGELOS_Press_Release_v1.0_Final.pdf</w:t>
      </w:r>
    </w:p>
    <w:p w14:paraId="52714D43" w14:textId="77777777" w:rsidR="00C12863" w:rsidRPr="00C12863" w:rsidRDefault="00C12863" w:rsidP="00C12863">
      <w:pPr>
        <w:pStyle w:val="Bibliography"/>
        <w:rPr>
          <w:rFonts w:ascii="Calibri" w:hAnsi="Calibri"/>
        </w:rPr>
      </w:pPr>
      <w:r w:rsidRPr="00C12863">
        <w:rPr>
          <w:rFonts w:ascii="Calibri" w:hAnsi="Calibri"/>
        </w:rPr>
        <w:t>[2]</w:t>
      </w:r>
      <w:r w:rsidRPr="00C12863">
        <w:rPr>
          <w:rFonts w:ascii="Calibri" w:hAnsi="Calibri"/>
        </w:rPr>
        <w:tab/>
        <w:t>ITU, ‘World Radiocommunication Conference 2019 (WRC-19) - Final Acts’, 2020.</w:t>
      </w:r>
    </w:p>
    <w:p w14:paraId="5FADD8E8" w14:textId="77777777" w:rsidR="00C12863" w:rsidRPr="00C12863" w:rsidRDefault="00C12863" w:rsidP="00C12863">
      <w:pPr>
        <w:pStyle w:val="Bibliography"/>
        <w:rPr>
          <w:rFonts w:ascii="Calibri" w:hAnsi="Calibri"/>
        </w:rPr>
      </w:pPr>
      <w:r w:rsidRPr="00C12863">
        <w:rPr>
          <w:rFonts w:ascii="Calibri" w:hAnsi="Calibri"/>
        </w:rPr>
        <w:t>[3]</w:t>
      </w:r>
      <w:r w:rsidRPr="00C12863">
        <w:rPr>
          <w:rFonts w:ascii="Calibri" w:hAnsi="Calibri"/>
        </w:rPr>
        <w:tab/>
        <w:t xml:space="preserve">M. Paonni, J. T. Curran, M. Bavaro, and J. Fortuny-Guasch, ‘GNSS Meta Signals: Coherently Composite Processing of Multiple GNSS Signals’, in </w:t>
      </w:r>
      <w:r w:rsidRPr="00C12863">
        <w:rPr>
          <w:rFonts w:ascii="Calibri" w:hAnsi="Calibri"/>
          <w:i/>
          <w:iCs/>
        </w:rPr>
        <w:t>Proceedings of the 27th International Technical Meeting of the Satellite Division of The Institute of Navigation (ION GNSS+ 2014)</w:t>
      </w:r>
      <w:r w:rsidRPr="00C12863">
        <w:rPr>
          <w:rFonts w:ascii="Calibri" w:hAnsi="Calibri"/>
        </w:rPr>
        <w:t>, Sep. 2014, pp. 2592–2601. Accessed: Jun. 07, 2021. [Online]. Available: http://www.ion.org/publications/abstract.cfm?jp=p&amp;articleID=12322</w:t>
      </w:r>
    </w:p>
    <w:p w14:paraId="2B6726C2" w14:textId="77777777" w:rsidR="00C12863" w:rsidRPr="00C12863" w:rsidRDefault="00C12863" w:rsidP="00C12863">
      <w:pPr>
        <w:pStyle w:val="Bibliography"/>
        <w:rPr>
          <w:rFonts w:ascii="Calibri" w:hAnsi="Calibri"/>
        </w:rPr>
      </w:pPr>
      <w:r w:rsidRPr="00C12863">
        <w:rPr>
          <w:rFonts w:ascii="Calibri" w:hAnsi="Calibri"/>
        </w:rPr>
        <w:t>[4]</w:t>
      </w:r>
      <w:r w:rsidRPr="00C12863">
        <w:rPr>
          <w:rFonts w:ascii="Calibri" w:hAnsi="Calibri"/>
        </w:rPr>
        <w:tab/>
        <w:t xml:space="preserve">J. Šafář, A. Grant, and M. Bransby, ‘Performance Bounds for VDE-SAT R-Mode’, </w:t>
      </w:r>
      <w:r w:rsidRPr="00C12863">
        <w:rPr>
          <w:rFonts w:ascii="Calibri" w:hAnsi="Calibri"/>
          <w:i/>
          <w:iCs/>
        </w:rPr>
        <w:t>Int J Satell Commun Network</w:t>
      </w:r>
      <w:r w:rsidRPr="00C12863">
        <w:rPr>
          <w:rFonts w:ascii="Calibri" w:hAnsi="Calibri"/>
        </w:rPr>
        <w:t>, To be published, doi: https://doi.org/10.1002/sat.1429.</w:t>
      </w:r>
    </w:p>
    <w:p w14:paraId="2F469839" w14:textId="77777777" w:rsidR="00C12863" w:rsidRPr="00C12863" w:rsidRDefault="00C12863" w:rsidP="00C12863">
      <w:pPr>
        <w:pStyle w:val="Bibliography"/>
        <w:rPr>
          <w:rFonts w:ascii="Calibri" w:hAnsi="Calibri"/>
        </w:rPr>
      </w:pPr>
      <w:r w:rsidRPr="00C12863">
        <w:rPr>
          <w:rFonts w:ascii="Calibri" w:hAnsi="Calibri"/>
        </w:rPr>
        <w:t>[5]</w:t>
      </w:r>
      <w:r w:rsidRPr="00C12863">
        <w:rPr>
          <w:rFonts w:ascii="Calibri" w:hAnsi="Calibri"/>
        </w:rPr>
        <w:tab/>
        <w:t>ITU, ‘Technical Characteristics for a VHF Data Exchange System in the VHF Maritime Mobile Band’, Geneva, Switzerland, Recommendation ITU-R M.2092-0, Oct. 2015.</w:t>
      </w:r>
    </w:p>
    <w:p w14:paraId="424AA1F1" w14:textId="77777777" w:rsidR="00C12863" w:rsidRPr="00C12863" w:rsidRDefault="00C12863" w:rsidP="00C12863">
      <w:pPr>
        <w:pStyle w:val="Bibliography"/>
        <w:rPr>
          <w:rFonts w:ascii="Calibri" w:hAnsi="Calibri"/>
        </w:rPr>
      </w:pPr>
      <w:r w:rsidRPr="00C12863">
        <w:rPr>
          <w:rFonts w:ascii="Calibri" w:hAnsi="Calibri"/>
        </w:rPr>
        <w:t>[6]</w:t>
      </w:r>
      <w:r w:rsidRPr="00C12863">
        <w:rPr>
          <w:rFonts w:ascii="Calibri" w:hAnsi="Calibri"/>
        </w:rPr>
        <w:tab/>
        <w:t>IALA, ‘Stakeholder Requirements for R-Mode, Edition 0.2, draft’, St-Germain-en-Laye, France, Guideline, Sep. 2019.</w:t>
      </w:r>
    </w:p>
    <w:p w14:paraId="00EC0BCC" w14:textId="44336F38" w:rsidR="00180DDA" w:rsidRPr="007A395D" w:rsidRDefault="000974A1" w:rsidP="00814266">
      <w:pPr>
        <w:pStyle w:val="BodyText"/>
        <w:rPr>
          <w:lang w:eastAsia="de-DE"/>
        </w:rPr>
      </w:pPr>
      <w:r>
        <w:rPr>
          <w:lang w:eastAsia="de-DE"/>
        </w:rPr>
        <w:fldChar w:fldCharType="end"/>
      </w:r>
    </w:p>
    <w:p w14:paraId="7A8D2F27" w14:textId="77777777" w:rsidR="00A446C9" w:rsidRPr="007A395D" w:rsidRDefault="00A446C9" w:rsidP="00605E43">
      <w:pPr>
        <w:pStyle w:val="Heading1"/>
      </w:pPr>
      <w:r w:rsidRPr="007A395D">
        <w:t>Action requested of the Committee</w:t>
      </w:r>
    </w:p>
    <w:p w14:paraId="1556E528" w14:textId="36FDEE24" w:rsidR="00F25BF4" w:rsidRPr="007A395D" w:rsidRDefault="00F25BF4" w:rsidP="004C71C0">
      <w:pPr>
        <w:pStyle w:val="BodyText"/>
      </w:pPr>
      <w:r w:rsidRPr="007A395D">
        <w:t>The Commit</w:t>
      </w:r>
      <w:r w:rsidR="00D854DE">
        <w:t>tee is requested to:</w:t>
      </w:r>
    </w:p>
    <w:p w14:paraId="41A1E375" w14:textId="65AA75F4" w:rsidR="00F25BF4" w:rsidRPr="007A395D" w:rsidRDefault="00D854DE" w:rsidP="00D854DE">
      <w:pPr>
        <w:pStyle w:val="List1"/>
        <w:numPr>
          <w:ilvl w:val="0"/>
          <w:numId w:val="48"/>
        </w:numPr>
        <w:rPr>
          <w:rFonts w:ascii="Calibri" w:hAnsi="Calibri"/>
        </w:rPr>
      </w:pPr>
      <w:r>
        <w:rPr>
          <w:rFonts w:ascii="Calibri" w:hAnsi="Calibri"/>
        </w:rPr>
        <w:t>Note the contents of this paper; and</w:t>
      </w:r>
    </w:p>
    <w:p w14:paraId="7A9FD49F" w14:textId="099057F4" w:rsidR="00F25BF4" w:rsidRPr="007A395D" w:rsidRDefault="00D854DE" w:rsidP="00D854DE">
      <w:pPr>
        <w:pStyle w:val="List1"/>
        <w:numPr>
          <w:ilvl w:val="0"/>
          <w:numId w:val="48"/>
        </w:numPr>
        <w:rPr>
          <w:rFonts w:ascii="Calibri" w:hAnsi="Calibri"/>
        </w:rPr>
      </w:pPr>
      <w:r>
        <w:rPr>
          <w:rFonts w:ascii="Calibri" w:hAnsi="Calibri"/>
        </w:rPr>
        <w:t xml:space="preserve">Provide </w:t>
      </w:r>
      <w:r w:rsidR="001E3924">
        <w:rPr>
          <w:rFonts w:ascii="Calibri" w:hAnsi="Calibri"/>
        </w:rPr>
        <w:t xml:space="preserve">the authors with </w:t>
      </w:r>
      <w:r>
        <w:rPr>
          <w:rFonts w:ascii="Calibri" w:hAnsi="Calibri"/>
        </w:rPr>
        <w:t>answers to / comments on the questions raised herein.</w:t>
      </w:r>
    </w:p>
    <w:p w14:paraId="60ACBEC9" w14:textId="77777777" w:rsidR="004D1D85" w:rsidRPr="007A395D" w:rsidRDefault="004D1D85" w:rsidP="004D1D85">
      <w:pPr>
        <w:pStyle w:val="List1"/>
        <w:numPr>
          <w:ilvl w:val="0"/>
          <w:numId w:val="0"/>
        </w:numPr>
        <w:ind w:left="567" w:hanging="567"/>
        <w:rPr>
          <w:rFonts w:ascii="Calibri" w:hAnsi="Calibri"/>
        </w:rPr>
      </w:pPr>
    </w:p>
    <w:p w14:paraId="5E201BEE" w14:textId="77777777" w:rsidR="004D1D85" w:rsidRPr="007A395D" w:rsidRDefault="004D1D85" w:rsidP="004D1D85">
      <w:pPr>
        <w:pStyle w:val="List1"/>
        <w:numPr>
          <w:ilvl w:val="0"/>
          <w:numId w:val="0"/>
        </w:numPr>
        <w:ind w:left="567" w:hanging="567"/>
        <w:rPr>
          <w:rFonts w:ascii="Calibri" w:hAnsi="Calibri"/>
        </w:rPr>
      </w:pPr>
    </w:p>
    <w:p w14:paraId="16AE6650" w14:textId="76946F31" w:rsidR="004D1D85" w:rsidRPr="007A395D" w:rsidRDefault="004D1D85" w:rsidP="00D854DE">
      <w:pPr>
        <w:pStyle w:val="AnnexHeading3"/>
        <w:numPr>
          <w:ilvl w:val="0"/>
          <w:numId w:val="0"/>
        </w:numPr>
        <w:rPr>
          <w:rFonts w:ascii="Calibri" w:hAnsi="Calibri"/>
          <w:lang w:eastAsia="en-US"/>
        </w:rPr>
      </w:pPr>
    </w:p>
    <w:sectPr w:rsidR="004D1D85" w:rsidRPr="007A395D" w:rsidSect="0082480E">
      <w:headerReference w:type="even" r:id="rId12"/>
      <w:headerReference w:type="default" r:id="rId13"/>
      <w:footerReference w:type="default" r:id="rId14"/>
      <w:headerReference w:type="first" r:id="rId15"/>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8E6F7D" w14:textId="77777777" w:rsidR="00511277" w:rsidRDefault="00511277" w:rsidP="00362CD9">
      <w:r>
        <w:separator/>
      </w:r>
    </w:p>
  </w:endnote>
  <w:endnote w:type="continuationSeparator" w:id="0">
    <w:p w14:paraId="169B3AC1" w14:textId="77777777" w:rsidR="00511277" w:rsidRDefault="00511277"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0EF88" w14:textId="5333527C" w:rsidR="00362CD9" w:rsidRPr="00373023" w:rsidRDefault="002B0C8F">
    <w:pPr>
      <w:pStyle w:val="Footer"/>
      <w:rPr>
        <w:rFonts w:ascii="Calibri" w:hAnsi="Calibri"/>
        <w:lang w:val="fr-FR"/>
      </w:rPr>
    </w:pPr>
    <w:r w:rsidRPr="00373023">
      <w:rPr>
        <w:rFonts w:ascii="Calibri" w:hAnsi="Calibri"/>
        <w:sz w:val="20"/>
        <w:szCs w:val="20"/>
        <w:lang w:val="fr-FR"/>
      </w:rPr>
      <w:t>VDE-SAT R-Mode Signal Design Considerations</w:t>
    </w:r>
    <w:r w:rsidR="00362CD9" w:rsidRPr="00373023">
      <w:rPr>
        <w:rFonts w:ascii="Calibri" w:hAnsi="Calibri"/>
        <w:lang w:val="fr-FR"/>
      </w:rPr>
      <w:tab/>
    </w:r>
    <w:r w:rsidR="00362CD9" w:rsidRPr="00036B9E">
      <w:rPr>
        <w:rFonts w:ascii="Calibri" w:hAnsi="Calibri"/>
      </w:rPr>
      <w:fldChar w:fldCharType="begin"/>
    </w:r>
    <w:r w:rsidR="00362CD9" w:rsidRPr="00373023">
      <w:rPr>
        <w:rFonts w:ascii="Calibri" w:hAnsi="Calibri"/>
        <w:lang w:val="fr-FR"/>
      </w:rPr>
      <w:instrText xml:space="preserve"> PAGE   \* MERGEFORMAT </w:instrText>
    </w:r>
    <w:r w:rsidR="00362CD9" w:rsidRPr="00036B9E">
      <w:rPr>
        <w:rFonts w:ascii="Calibri" w:hAnsi="Calibri"/>
      </w:rPr>
      <w:fldChar w:fldCharType="separate"/>
    </w:r>
    <w:r w:rsidR="00005A78" w:rsidRPr="00373023">
      <w:rPr>
        <w:rFonts w:ascii="Calibri" w:hAnsi="Calibri"/>
        <w:noProof/>
        <w:lang w:val="fr-FR"/>
      </w:rPr>
      <w:t>5</w:t>
    </w:r>
    <w:r w:rsidR="00362CD9"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03F5F2" w14:textId="77777777" w:rsidR="00511277" w:rsidRDefault="00511277" w:rsidP="00362CD9">
      <w:r>
        <w:separator/>
      </w:r>
    </w:p>
  </w:footnote>
  <w:footnote w:type="continuationSeparator" w:id="0">
    <w:p w14:paraId="3223911B" w14:textId="77777777" w:rsidR="00511277" w:rsidRDefault="00511277" w:rsidP="00362CD9">
      <w:r>
        <w:continuationSeparator/>
      </w:r>
    </w:p>
  </w:footnote>
  <w:footnote w:id="1">
    <w:p w14:paraId="741FE09C" w14:textId="56CC54BF" w:rsidR="00420A38" w:rsidRPr="00EA5A97" w:rsidRDefault="00420A38" w:rsidP="0036739D">
      <w:pPr>
        <w:pStyle w:val="FootnoteText"/>
        <w:rPr>
          <w:lang w:val="en-US"/>
        </w:rPr>
      </w:pPr>
      <w:r w:rsidRPr="00DE025E">
        <w:rPr>
          <w:rStyle w:val="FootnoteReference"/>
        </w:rPr>
        <w:footnoteRef/>
      </w:r>
      <w:r>
        <w:t xml:space="preserve"> </w:t>
      </w:r>
      <w:r w:rsidR="00EA5A97" w:rsidRPr="00420A38">
        <w:t>Input document number, to be assigned by the Committee Secretary</w:t>
      </w:r>
    </w:p>
  </w:footnote>
  <w:footnote w:id="2">
    <w:p w14:paraId="13DFA22D" w14:textId="3BCF7A71" w:rsidR="00037DF4" w:rsidRPr="00037DF4" w:rsidRDefault="00037DF4" w:rsidP="0036739D">
      <w:pPr>
        <w:pStyle w:val="FootnoteText"/>
      </w:pPr>
      <w:r w:rsidRPr="00DE025E">
        <w:rPr>
          <w:rStyle w:val="FootnoteReference"/>
        </w:rPr>
        <w:footnoteRef/>
      </w:r>
      <w:r w:rsidRPr="00037DF4">
        <w:t xml:space="preserve"> 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A8989" w14:textId="3F824E7C" w:rsidR="007C346C" w:rsidRDefault="00373023">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06DE82EB" w:rsidR="007C346C" w:rsidRDefault="007A395D" w:rsidP="007A395D">
    <w:pPr>
      <w:pStyle w:val="Header"/>
      <w:jc w:val="right"/>
    </w:pPr>
    <w:r>
      <w:rPr>
        <w:noProof/>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373023">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BC2334" w:rsidRDefault="00BC2334"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373023"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0D37EBD"/>
    <w:multiLevelType w:val="hybridMultilevel"/>
    <w:tmpl w:val="F88CA3FC"/>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38C701B"/>
    <w:multiLevelType w:val="hybridMultilevel"/>
    <w:tmpl w:val="FA3093A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43A2710A"/>
    <w:multiLevelType w:val="hybridMultilevel"/>
    <w:tmpl w:val="B1B2AC3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45D07BEA"/>
    <w:multiLevelType w:val="hybridMultilevel"/>
    <w:tmpl w:val="3B80F5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1"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5"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7"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5"/>
  </w:num>
  <w:num w:numId="5">
    <w:abstractNumId w:val="19"/>
  </w:num>
  <w:num w:numId="6">
    <w:abstractNumId w:val="4"/>
  </w:num>
  <w:num w:numId="7">
    <w:abstractNumId w:val="27"/>
  </w:num>
  <w:num w:numId="8">
    <w:abstractNumId w:val="12"/>
  </w:num>
  <w:num w:numId="9">
    <w:abstractNumId w:val="10"/>
  </w:num>
  <w:num w:numId="10">
    <w:abstractNumId w:val="21"/>
  </w:num>
  <w:num w:numId="11">
    <w:abstractNumId w:val="20"/>
  </w:num>
  <w:num w:numId="12">
    <w:abstractNumId w:val="18"/>
  </w:num>
  <w:num w:numId="13">
    <w:abstractNumId w:val="26"/>
  </w:num>
  <w:num w:numId="14">
    <w:abstractNumId w:val="5"/>
  </w:num>
  <w:num w:numId="15">
    <w:abstractNumId w:val="28"/>
  </w:num>
  <w:num w:numId="16">
    <w:abstractNumId w:val="16"/>
  </w:num>
  <w:num w:numId="17">
    <w:abstractNumId w:val="6"/>
  </w:num>
  <w:num w:numId="18">
    <w:abstractNumId w:val="23"/>
  </w:num>
  <w:num w:numId="19">
    <w:abstractNumId w:val="16"/>
  </w:num>
  <w:num w:numId="20">
    <w:abstractNumId w:val="16"/>
  </w:num>
  <w:num w:numId="21">
    <w:abstractNumId w:val="16"/>
  </w:num>
  <w:num w:numId="22">
    <w:abstractNumId w:val="16"/>
  </w:num>
  <w:num w:numId="23">
    <w:abstractNumId w:val="24"/>
  </w:num>
  <w:num w:numId="24">
    <w:abstractNumId w:val="3"/>
  </w:num>
  <w:num w:numId="25">
    <w:abstractNumId w:val="3"/>
  </w:num>
  <w:num w:numId="26">
    <w:abstractNumId w:val="3"/>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22"/>
  </w:num>
  <w:num w:numId="34">
    <w:abstractNumId w:val="22"/>
  </w:num>
  <w:num w:numId="35">
    <w:abstractNumId w:val="22"/>
  </w:num>
  <w:num w:numId="36">
    <w:abstractNumId w:val="13"/>
  </w:num>
  <w:num w:numId="37">
    <w:abstractNumId w:val="5"/>
  </w:num>
  <w:num w:numId="38">
    <w:abstractNumId w:val="18"/>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4"/>
  </w:num>
  <w:num w:numId="45">
    <w:abstractNumId w:val="17"/>
  </w:num>
  <w:num w:numId="46">
    <w:abstractNumId w:val="15"/>
  </w:num>
  <w:num w:numId="47">
    <w:abstractNumId w:val="8"/>
  </w:num>
  <w:num w:numId="48">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ctiveWritingStyle w:appName="MSWord" w:lang="fr-FR" w:vendorID="64" w:dllVersion="6" w:nlCheck="1" w:checkStyle="0"/>
  <w:activeWritingStyle w:appName="MSWord" w:lang="en-GB" w:vendorID="64" w:dllVersion="6" w:nlCheck="1" w:checkStyle="1"/>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05A78"/>
    <w:rsid w:val="00026AAB"/>
    <w:rsid w:val="00036A03"/>
    <w:rsid w:val="00036B9E"/>
    <w:rsid w:val="00037DF4"/>
    <w:rsid w:val="000414DB"/>
    <w:rsid w:val="0004700E"/>
    <w:rsid w:val="00070C13"/>
    <w:rsid w:val="000715C9"/>
    <w:rsid w:val="000843C4"/>
    <w:rsid w:val="00084F33"/>
    <w:rsid w:val="00087A98"/>
    <w:rsid w:val="000974A1"/>
    <w:rsid w:val="000A462A"/>
    <w:rsid w:val="000A6594"/>
    <w:rsid w:val="000A77A7"/>
    <w:rsid w:val="000A7871"/>
    <w:rsid w:val="000B1707"/>
    <w:rsid w:val="000C191A"/>
    <w:rsid w:val="000C1B3E"/>
    <w:rsid w:val="000C349E"/>
    <w:rsid w:val="000D1456"/>
    <w:rsid w:val="000F2D74"/>
    <w:rsid w:val="00110AE7"/>
    <w:rsid w:val="00111A92"/>
    <w:rsid w:val="00121AD3"/>
    <w:rsid w:val="001421BB"/>
    <w:rsid w:val="00155068"/>
    <w:rsid w:val="00165DFC"/>
    <w:rsid w:val="00174751"/>
    <w:rsid w:val="0017484A"/>
    <w:rsid w:val="00177F4D"/>
    <w:rsid w:val="00180DDA"/>
    <w:rsid w:val="00181631"/>
    <w:rsid w:val="001B2A2D"/>
    <w:rsid w:val="001B737D"/>
    <w:rsid w:val="001C44A3"/>
    <w:rsid w:val="001D2385"/>
    <w:rsid w:val="001E0E15"/>
    <w:rsid w:val="001E3924"/>
    <w:rsid w:val="001E5581"/>
    <w:rsid w:val="001F528A"/>
    <w:rsid w:val="001F704E"/>
    <w:rsid w:val="00200BF0"/>
    <w:rsid w:val="002014DB"/>
    <w:rsid w:val="00201722"/>
    <w:rsid w:val="002125B0"/>
    <w:rsid w:val="00227D93"/>
    <w:rsid w:val="00233147"/>
    <w:rsid w:val="00243228"/>
    <w:rsid w:val="002455B8"/>
    <w:rsid w:val="00251483"/>
    <w:rsid w:val="00255CAA"/>
    <w:rsid w:val="00264305"/>
    <w:rsid w:val="002672B9"/>
    <w:rsid w:val="00277DF7"/>
    <w:rsid w:val="00293C45"/>
    <w:rsid w:val="002A0346"/>
    <w:rsid w:val="002A4487"/>
    <w:rsid w:val="002A7048"/>
    <w:rsid w:val="002B0C8F"/>
    <w:rsid w:val="002B49E9"/>
    <w:rsid w:val="002C632E"/>
    <w:rsid w:val="002D3E8B"/>
    <w:rsid w:val="002D4575"/>
    <w:rsid w:val="002D5C0C"/>
    <w:rsid w:val="002E03D1"/>
    <w:rsid w:val="002E6B74"/>
    <w:rsid w:val="002E6FCA"/>
    <w:rsid w:val="002F7C4B"/>
    <w:rsid w:val="00307381"/>
    <w:rsid w:val="00311662"/>
    <w:rsid w:val="00340D99"/>
    <w:rsid w:val="0034279D"/>
    <w:rsid w:val="0034492A"/>
    <w:rsid w:val="00353AE4"/>
    <w:rsid w:val="00356CD0"/>
    <w:rsid w:val="00362CD9"/>
    <w:rsid w:val="0036739D"/>
    <w:rsid w:val="00373023"/>
    <w:rsid w:val="003761CA"/>
    <w:rsid w:val="00380DAF"/>
    <w:rsid w:val="003972CE"/>
    <w:rsid w:val="003A65D4"/>
    <w:rsid w:val="003B28F5"/>
    <w:rsid w:val="003B622F"/>
    <w:rsid w:val="003B7B7D"/>
    <w:rsid w:val="003C3715"/>
    <w:rsid w:val="003C54CB"/>
    <w:rsid w:val="003C7A2A"/>
    <w:rsid w:val="003D2DC1"/>
    <w:rsid w:val="003D69D0"/>
    <w:rsid w:val="003E30A6"/>
    <w:rsid w:val="003E398C"/>
    <w:rsid w:val="003F2918"/>
    <w:rsid w:val="003F430E"/>
    <w:rsid w:val="0041088C"/>
    <w:rsid w:val="00412DD0"/>
    <w:rsid w:val="00420A38"/>
    <w:rsid w:val="00431B19"/>
    <w:rsid w:val="0043391F"/>
    <w:rsid w:val="004661AD"/>
    <w:rsid w:val="00477C40"/>
    <w:rsid w:val="004A6C1D"/>
    <w:rsid w:val="004C71C0"/>
    <w:rsid w:val="004D1D85"/>
    <w:rsid w:val="004D3C3A"/>
    <w:rsid w:val="004E1CD1"/>
    <w:rsid w:val="004F7EFC"/>
    <w:rsid w:val="00503A5D"/>
    <w:rsid w:val="005107EB"/>
    <w:rsid w:val="00511277"/>
    <w:rsid w:val="00521345"/>
    <w:rsid w:val="00526DF0"/>
    <w:rsid w:val="00545CC4"/>
    <w:rsid w:val="00551584"/>
    <w:rsid w:val="00551FFF"/>
    <w:rsid w:val="00554AC1"/>
    <w:rsid w:val="005565A8"/>
    <w:rsid w:val="005607A2"/>
    <w:rsid w:val="0057198B"/>
    <w:rsid w:val="00573CFE"/>
    <w:rsid w:val="0057460F"/>
    <w:rsid w:val="0059097D"/>
    <w:rsid w:val="005969F2"/>
    <w:rsid w:val="00597FAE"/>
    <w:rsid w:val="005B1B5D"/>
    <w:rsid w:val="005B1F81"/>
    <w:rsid w:val="005B32A3"/>
    <w:rsid w:val="005C0D44"/>
    <w:rsid w:val="005C566C"/>
    <w:rsid w:val="005C7E69"/>
    <w:rsid w:val="005D6817"/>
    <w:rsid w:val="005E262D"/>
    <w:rsid w:val="005F19D7"/>
    <w:rsid w:val="005F23D3"/>
    <w:rsid w:val="005F7E20"/>
    <w:rsid w:val="00605E43"/>
    <w:rsid w:val="006153BB"/>
    <w:rsid w:val="006233EF"/>
    <w:rsid w:val="006329D6"/>
    <w:rsid w:val="00646745"/>
    <w:rsid w:val="00653785"/>
    <w:rsid w:val="00655C44"/>
    <w:rsid w:val="006652C3"/>
    <w:rsid w:val="00665751"/>
    <w:rsid w:val="00674E0B"/>
    <w:rsid w:val="006755CE"/>
    <w:rsid w:val="00691FD0"/>
    <w:rsid w:val="00692148"/>
    <w:rsid w:val="006A189C"/>
    <w:rsid w:val="006A1A1E"/>
    <w:rsid w:val="006B33DF"/>
    <w:rsid w:val="006C5948"/>
    <w:rsid w:val="006D3734"/>
    <w:rsid w:val="006D3EB1"/>
    <w:rsid w:val="006F0A0A"/>
    <w:rsid w:val="006F2A74"/>
    <w:rsid w:val="007000D4"/>
    <w:rsid w:val="007118F5"/>
    <w:rsid w:val="0071226D"/>
    <w:rsid w:val="00712AA4"/>
    <w:rsid w:val="007146C4"/>
    <w:rsid w:val="00721AA1"/>
    <w:rsid w:val="00724B67"/>
    <w:rsid w:val="007441E7"/>
    <w:rsid w:val="007547F8"/>
    <w:rsid w:val="00765622"/>
    <w:rsid w:val="00770B6C"/>
    <w:rsid w:val="007717DD"/>
    <w:rsid w:val="00783FEA"/>
    <w:rsid w:val="007955E9"/>
    <w:rsid w:val="007967C4"/>
    <w:rsid w:val="007A3538"/>
    <w:rsid w:val="007A395D"/>
    <w:rsid w:val="007B6BD5"/>
    <w:rsid w:val="007C181A"/>
    <w:rsid w:val="007C346C"/>
    <w:rsid w:val="007E08EA"/>
    <w:rsid w:val="007E6479"/>
    <w:rsid w:val="007F7FF9"/>
    <w:rsid w:val="0080294B"/>
    <w:rsid w:val="008118B4"/>
    <w:rsid w:val="00814266"/>
    <w:rsid w:val="008211D3"/>
    <w:rsid w:val="0082480E"/>
    <w:rsid w:val="00850293"/>
    <w:rsid w:val="00851373"/>
    <w:rsid w:val="00851BA6"/>
    <w:rsid w:val="0085654D"/>
    <w:rsid w:val="00861160"/>
    <w:rsid w:val="0086654F"/>
    <w:rsid w:val="008865E8"/>
    <w:rsid w:val="00887EBF"/>
    <w:rsid w:val="008A356F"/>
    <w:rsid w:val="008A4653"/>
    <w:rsid w:val="008A4717"/>
    <w:rsid w:val="008A50CC"/>
    <w:rsid w:val="008B0F08"/>
    <w:rsid w:val="008B3040"/>
    <w:rsid w:val="008B3411"/>
    <w:rsid w:val="008C574F"/>
    <w:rsid w:val="008D1694"/>
    <w:rsid w:val="008D6C1F"/>
    <w:rsid w:val="008D79CB"/>
    <w:rsid w:val="008F07BC"/>
    <w:rsid w:val="0091760D"/>
    <w:rsid w:val="00923D5F"/>
    <w:rsid w:val="0092692B"/>
    <w:rsid w:val="00930561"/>
    <w:rsid w:val="00943E9C"/>
    <w:rsid w:val="009502F6"/>
    <w:rsid w:val="00953F4D"/>
    <w:rsid w:val="00960BB8"/>
    <w:rsid w:val="009639BA"/>
    <w:rsid w:val="00964F5C"/>
    <w:rsid w:val="00973B57"/>
    <w:rsid w:val="00975900"/>
    <w:rsid w:val="009831C0"/>
    <w:rsid w:val="0099161D"/>
    <w:rsid w:val="009970A9"/>
    <w:rsid w:val="009A08BA"/>
    <w:rsid w:val="009B018E"/>
    <w:rsid w:val="009C05F8"/>
    <w:rsid w:val="009D5AAA"/>
    <w:rsid w:val="009F4260"/>
    <w:rsid w:val="009F571E"/>
    <w:rsid w:val="00A0389B"/>
    <w:rsid w:val="00A25BCB"/>
    <w:rsid w:val="00A33A3C"/>
    <w:rsid w:val="00A446C9"/>
    <w:rsid w:val="00A62C13"/>
    <w:rsid w:val="00A635D6"/>
    <w:rsid w:val="00A77221"/>
    <w:rsid w:val="00A83D61"/>
    <w:rsid w:val="00A8553A"/>
    <w:rsid w:val="00A86739"/>
    <w:rsid w:val="00A93AED"/>
    <w:rsid w:val="00AE1319"/>
    <w:rsid w:val="00AE34BB"/>
    <w:rsid w:val="00AE7B7E"/>
    <w:rsid w:val="00AF0ABE"/>
    <w:rsid w:val="00B12AF9"/>
    <w:rsid w:val="00B2034B"/>
    <w:rsid w:val="00B226F2"/>
    <w:rsid w:val="00B238B5"/>
    <w:rsid w:val="00B266DC"/>
    <w:rsid w:val="00B274DF"/>
    <w:rsid w:val="00B474C3"/>
    <w:rsid w:val="00B55D43"/>
    <w:rsid w:val="00B56BDF"/>
    <w:rsid w:val="00B65812"/>
    <w:rsid w:val="00B766DC"/>
    <w:rsid w:val="00B85CD6"/>
    <w:rsid w:val="00B90A27"/>
    <w:rsid w:val="00B9554D"/>
    <w:rsid w:val="00BB17F7"/>
    <w:rsid w:val="00BB24F1"/>
    <w:rsid w:val="00BB2B9F"/>
    <w:rsid w:val="00BB7D9E"/>
    <w:rsid w:val="00BC2334"/>
    <w:rsid w:val="00BD3CB8"/>
    <w:rsid w:val="00BD4E6F"/>
    <w:rsid w:val="00BD555A"/>
    <w:rsid w:val="00BF2120"/>
    <w:rsid w:val="00BF32F0"/>
    <w:rsid w:val="00BF4DCE"/>
    <w:rsid w:val="00BF5A38"/>
    <w:rsid w:val="00C05CE5"/>
    <w:rsid w:val="00C12863"/>
    <w:rsid w:val="00C26139"/>
    <w:rsid w:val="00C517BE"/>
    <w:rsid w:val="00C6171E"/>
    <w:rsid w:val="00C746B4"/>
    <w:rsid w:val="00C80409"/>
    <w:rsid w:val="00C853F3"/>
    <w:rsid w:val="00CA2E96"/>
    <w:rsid w:val="00CA4C22"/>
    <w:rsid w:val="00CA6F2C"/>
    <w:rsid w:val="00CB3266"/>
    <w:rsid w:val="00CD582F"/>
    <w:rsid w:val="00CD6A13"/>
    <w:rsid w:val="00CF1871"/>
    <w:rsid w:val="00CF1CCE"/>
    <w:rsid w:val="00D01874"/>
    <w:rsid w:val="00D019CE"/>
    <w:rsid w:val="00D10702"/>
    <w:rsid w:val="00D1133E"/>
    <w:rsid w:val="00D17A34"/>
    <w:rsid w:val="00D26628"/>
    <w:rsid w:val="00D332B3"/>
    <w:rsid w:val="00D55207"/>
    <w:rsid w:val="00D61A48"/>
    <w:rsid w:val="00D80021"/>
    <w:rsid w:val="00D81801"/>
    <w:rsid w:val="00D854DE"/>
    <w:rsid w:val="00D92B45"/>
    <w:rsid w:val="00D95962"/>
    <w:rsid w:val="00DC389B"/>
    <w:rsid w:val="00DD2654"/>
    <w:rsid w:val="00DE025E"/>
    <w:rsid w:val="00DE0A3B"/>
    <w:rsid w:val="00DE2FEE"/>
    <w:rsid w:val="00DF1467"/>
    <w:rsid w:val="00DF25EC"/>
    <w:rsid w:val="00E00BE9"/>
    <w:rsid w:val="00E22A11"/>
    <w:rsid w:val="00E22D7A"/>
    <w:rsid w:val="00E31E5C"/>
    <w:rsid w:val="00E44DD2"/>
    <w:rsid w:val="00E4627A"/>
    <w:rsid w:val="00E515DB"/>
    <w:rsid w:val="00E558C3"/>
    <w:rsid w:val="00E55927"/>
    <w:rsid w:val="00E60540"/>
    <w:rsid w:val="00E77122"/>
    <w:rsid w:val="00E912A6"/>
    <w:rsid w:val="00EA4844"/>
    <w:rsid w:val="00EA4D9C"/>
    <w:rsid w:val="00EA5A97"/>
    <w:rsid w:val="00EB2248"/>
    <w:rsid w:val="00EB75EE"/>
    <w:rsid w:val="00ED0572"/>
    <w:rsid w:val="00ED6CA0"/>
    <w:rsid w:val="00EE143F"/>
    <w:rsid w:val="00EE3CC5"/>
    <w:rsid w:val="00EE4C1D"/>
    <w:rsid w:val="00EF3685"/>
    <w:rsid w:val="00F04140"/>
    <w:rsid w:val="00F04350"/>
    <w:rsid w:val="00F133DB"/>
    <w:rsid w:val="00F159EB"/>
    <w:rsid w:val="00F23FE3"/>
    <w:rsid w:val="00F25BF4"/>
    <w:rsid w:val="00F267DB"/>
    <w:rsid w:val="00F26B65"/>
    <w:rsid w:val="00F453AE"/>
    <w:rsid w:val="00F46F6F"/>
    <w:rsid w:val="00F51562"/>
    <w:rsid w:val="00F60608"/>
    <w:rsid w:val="00F62217"/>
    <w:rsid w:val="00FB17A9"/>
    <w:rsid w:val="00FB527C"/>
    <w:rsid w:val="00FB6F75"/>
    <w:rsid w:val="00FC0EB3"/>
    <w:rsid w:val="00FD675E"/>
    <w:rsid w:val="00FE5674"/>
    <w:rsid w:val="00FF3CB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4C71C0"/>
    <w:pPr>
      <w:spacing w:after="120"/>
      <w:jc w:val="both"/>
    </w:pPr>
    <w:rPr>
      <w:rFonts w:ascii="Calibri" w:hAnsi="Calibri"/>
    </w:rPr>
  </w:style>
  <w:style w:type="character" w:customStyle="1" w:styleId="BodyTextChar">
    <w:name w:val="Body Text Char"/>
    <w:link w:val="BodyText"/>
    <w:rsid w:val="004C71C0"/>
    <w:rPr>
      <w:rFonts w:cs="Calibri"/>
      <w:sz w:val="22"/>
      <w:szCs w:val="22"/>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36739D"/>
    <w:rPr>
      <w:rFonts w:asciiTheme="minorHAnsi" w:hAnsiTheme="minorHAnsi"/>
      <w:sz w:val="20"/>
      <w:szCs w:val="20"/>
    </w:rPr>
  </w:style>
  <w:style w:type="character" w:customStyle="1" w:styleId="FootnoteTextChar">
    <w:name w:val="Footnote Text Char"/>
    <w:link w:val="FootnoteText"/>
    <w:semiHidden/>
    <w:rsid w:val="0036739D"/>
    <w:rPr>
      <w:rFonts w:asciiTheme="minorHAnsi" w:hAnsiTheme="minorHAnsi" w:cs="Calibri"/>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Bibliography">
    <w:name w:val="Bibliography"/>
    <w:basedOn w:val="Normal"/>
    <w:next w:val="Normal"/>
    <w:uiPriority w:val="37"/>
    <w:unhideWhenUsed/>
    <w:rsid w:val="000974A1"/>
    <w:pPr>
      <w:tabs>
        <w:tab w:val="left" w:pos="384"/>
      </w:tabs>
      <w:ind w:left="384" w:hanging="384"/>
    </w:pPr>
  </w:style>
  <w:style w:type="paragraph" w:customStyle="1" w:styleId="TableHeader">
    <w:name w:val="Table Header"/>
    <w:basedOn w:val="Normal"/>
    <w:link w:val="TableHeaderChar"/>
    <w:qFormat/>
    <w:rsid w:val="00CD582F"/>
    <w:rPr>
      <w:rFonts w:asciiTheme="minorHAnsi" w:hAnsiTheme="minorHAnsi"/>
      <w:b/>
      <w:bCs/>
      <w:sz w:val="20"/>
    </w:rPr>
  </w:style>
  <w:style w:type="paragraph" w:customStyle="1" w:styleId="TableContents">
    <w:name w:val="Table Contents"/>
    <w:basedOn w:val="BodyText"/>
    <w:link w:val="TableContentsChar"/>
    <w:qFormat/>
    <w:rsid w:val="00CD582F"/>
    <w:pPr>
      <w:spacing w:after="60"/>
      <w:jc w:val="left"/>
    </w:pPr>
    <w:rPr>
      <w:sz w:val="20"/>
    </w:rPr>
  </w:style>
  <w:style w:type="character" w:customStyle="1" w:styleId="TableHeaderChar">
    <w:name w:val="Table Header Char"/>
    <w:basedOn w:val="DefaultParagraphFont"/>
    <w:link w:val="TableHeader"/>
    <w:rsid w:val="00CD582F"/>
    <w:rPr>
      <w:rFonts w:asciiTheme="minorHAnsi" w:hAnsiTheme="minorHAnsi" w:cs="Calibri"/>
      <w:b/>
      <w:bCs/>
      <w:szCs w:val="22"/>
    </w:rPr>
  </w:style>
  <w:style w:type="paragraph" w:customStyle="1" w:styleId="Figure0">
    <w:name w:val="Figure"/>
    <w:basedOn w:val="BodyText"/>
    <w:link w:val="FigureChar"/>
    <w:qFormat/>
    <w:rsid w:val="009F4260"/>
    <w:pPr>
      <w:keepNext/>
      <w:spacing w:before="240"/>
      <w:jc w:val="center"/>
    </w:pPr>
  </w:style>
  <w:style w:type="character" w:customStyle="1" w:styleId="TableContentsChar">
    <w:name w:val="Table Contents Char"/>
    <w:basedOn w:val="BodyTextChar"/>
    <w:link w:val="TableContents"/>
    <w:rsid w:val="00CD582F"/>
    <w:rPr>
      <w:rFonts w:cs="Calibri"/>
      <w:sz w:val="22"/>
      <w:szCs w:val="22"/>
    </w:rPr>
  </w:style>
  <w:style w:type="character" w:customStyle="1" w:styleId="FigureChar">
    <w:name w:val="Figure Char"/>
    <w:basedOn w:val="BodyTextChar"/>
    <w:link w:val="Figure0"/>
    <w:rsid w:val="009F4260"/>
    <w:rPr>
      <w:rFonts w:cs="Calibri"/>
      <w:sz w:val="22"/>
      <w:szCs w:val="22"/>
    </w:rPr>
  </w:style>
  <w:style w:type="character" w:styleId="EndnoteReference">
    <w:name w:val="endnote reference"/>
    <w:basedOn w:val="DefaultParagraphFont"/>
    <w:uiPriority w:val="99"/>
    <w:semiHidden/>
    <w:unhideWhenUsed/>
    <w:rsid w:val="00DE025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5332705">
      <w:bodyDiv w:val="1"/>
      <w:marLeft w:val="0"/>
      <w:marRight w:val="0"/>
      <w:marTop w:val="0"/>
      <w:marBottom w:val="0"/>
      <w:divBdr>
        <w:top w:val="none" w:sz="0" w:space="0" w:color="auto"/>
        <w:left w:val="none" w:sz="0" w:space="0" w:color="auto"/>
        <w:bottom w:val="none" w:sz="0" w:space="0" w:color="auto"/>
        <w:right w:val="none" w:sz="0" w:space="0" w:color="auto"/>
      </w:divBdr>
    </w:div>
    <w:div w:id="1111050468">
      <w:bodyDiv w:val="1"/>
      <w:marLeft w:val="0"/>
      <w:marRight w:val="0"/>
      <w:marTop w:val="0"/>
      <w:marBottom w:val="0"/>
      <w:divBdr>
        <w:top w:val="none" w:sz="0" w:space="0" w:color="auto"/>
        <w:left w:val="none" w:sz="0" w:space="0" w:color="auto"/>
        <w:bottom w:val="none" w:sz="0" w:space="0" w:color="auto"/>
        <w:right w:val="none" w:sz="0" w:space="0" w:color="auto"/>
      </w:divBdr>
    </w:div>
    <w:div w:id="1256599748">
      <w:bodyDiv w:val="1"/>
      <w:marLeft w:val="0"/>
      <w:marRight w:val="0"/>
      <w:marTop w:val="0"/>
      <w:marBottom w:val="0"/>
      <w:divBdr>
        <w:top w:val="none" w:sz="0" w:space="0" w:color="auto"/>
        <w:left w:val="none" w:sz="0" w:space="0" w:color="auto"/>
        <w:bottom w:val="none" w:sz="0" w:space="0" w:color="auto"/>
        <w:right w:val="none" w:sz="0" w:space="0" w:color="auto"/>
      </w:divBdr>
    </w:div>
    <w:div w:id="1525092133">
      <w:bodyDiv w:val="1"/>
      <w:marLeft w:val="0"/>
      <w:marRight w:val="0"/>
      <w:marTop w:val="0"/>
      <w:marBottom w:val="0"/>
      <w:divBdr>
        <w:top w:val="none" w:sz="0" w:space="0" w:color="auto"/>
        <w:left w:val="none" w:sz="0" w:space="0" w:color="auto"/>
        <w:bottom w:val="none" w:sz="0" w:space="0" w:color="auto"/>
        <w:right w:val="none" w:sz="0" w:space="0" w:color="auto"/>
      </w:divBdr>
    </w:div>
    <w:div w:id="1655260680">
      <w:bodyDiv w:val="1"/>
      <w:marLeft w:val="0"/>
      <w:marRight w:val="0"/>
      <w:marTop w:val="0"/>
      <w:marBottom w:val="0"/>
      <w:divBdr>
        <w:top w:val="none" w:sz="0" w:space="0" w:color="auto"/>
        <w:left w:val="none" w:sz="0" w:space="0" w:color="auto"/>
        <w:bottom w:val="none" w:sz="0" w:space="0" w:color="auto"/>
        <w:right w:val="none" w:sz="0" w:space="0" w:color="auto"/>
      </w:divBdr>
    </w:div>
    <w:div w:id="1841693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DBD2FCD-CF9F-450A-8968-DC4CE3E07C5C}">
  <ds:schemaRefs>
    <ds:schemaRef ds:uri="http://schemas.openxmlformats.org/officeDocument/2006/bibliography"/>
  </ds:schemaRefs>
</ds:datastoreItem>
</file>

<file path=customXml/itemProps2.xml><?xml version="1.0" encoding="utf-8"?>
<ds:datastoreItem xmlns:ds="http://schemas.openxmlformats.org/officeDocument/2006/customXml" ds:itemID="{072E6B1C-5797-440F-A5CA-0E5F7BFE38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9FEF68F-3BBF-4102-95A9-D897E0DC8512}">
  <ds:schemaRefs>
    <ds:schemaRef ds:uri="http://schemas.microsoft.com/office/2006/documentManagement/types"/>
    <ds:schemaRef ds:uri="http://schemas.microsoft.com/office/infopath/2007/PartnerControls"/>
    <ds:schemaRef ds:uri="06022411-6e02-423b-85fd-39e0748b9219"/>
    <ds:schemaRef ds:uri="http://purl.org/dc/elements/1.1/"/>
    <ds:schemaRef ds:uri="http://schemas.microsoft.com/office/2006/metadata/properties"/>
    <ds:schemaRef ds:uri="ac5f8115-f13f-4d01-aff4-515a67108c33"/>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FBD5D004-0F54-462F-8EC6-6F32BB74DED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2989</Words>
  <Characters>17038</Characters>
  <Application>Microsoft Office Word</Application>
  <DocSecurity>0</DocSecurity>
  <Lines>141</Lines>
  <Paragraphs>39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19988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8</cp:revision>
  <dcterms:created xsi:type="dcterms:W3CDTF">2021-09-13T13:07:00Z</dcterms:created>
  <dcterms:modified xsi:type="dcterms:W3CDTF">2021-09-14T15:41:00Z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ZOTERO_PREF_1">
    <vt:lpwstr>&lt;data data-version="3" zotero-version="5.0.96.3"&gt;&lt;session id="HfbkFG1R"/&gt;&lt;style id="http://www.zotero.org/styles/ieee" locale="en-GB" hasBibliography="1" bibliographyStyleHasBeenSet="1"/&gt;&lt;prefs&gt;&lt;pref name="fieldType" value="Field"/&gt;&lt;/prefs&gt;&lt;/data&gt;</vt:lpwstr>
  </property>
</Properties>
</file>