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840982D"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7C0C56">
        <w:t>VTS39-9.2.4</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DF1EAF">
        <w:rPr>
          <w:rFonts w:cs="Arial"/>
          <w:b/>
          <w:sz w:val="24"/>
          <w:szCs w:val="24"/>
          <w:highlight w:val="black"/>
        </w:rPr>
        <w:t>□</w:t>
      </w:r>
      <w:r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7C2731">
        <w:rPr>
          <w:rFonts w:cs="Arial"/>
          <w:b/>
          <w:sz w:val="24"/>
          <w:szCs w:val="24"/>
          <w:highlight w:val="black"/>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DF1EAF">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46C74537"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7C0C56">
        <w:t>9</w:t>
      </w:r>
    </w:p>
    <w:p w14:paraId="1AB3E246" w14:textId="703780CB"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7C0C56">
        <w:t>9.</w:t>
      </w:r>
      <w:bookmarkStart w:id="0" w:name="_GoBack"/>
      <w:bookmarkEnd w:id="0"/>
      <w:r w:rsidR="007C0C56">
        <w:t>2</w:t>
      </w:r>
    </w:p>
    <w:p w14:paraId="01FC5420" w14:textId="5717B072" w:rsidR="00362CD9" w:rsidRPr="00FC296D"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FC296D">
        <w:t xml:space="preserve">Steve </w:t>
      </w:r>
      <w:r w:rsidR="00FC296D" w:rsidRPr="00FC296D">
        <w:t>Guest</w:t>
      </w:r>
    </w:p>
    <w:p w14:paraId="60BCC120" w14:textId="77777777" w:rsidR="0080294B" w:rsidRDefault="0080294B" w:rsidP="00FE5674">
      <w:pPr>
        <w:pStyle w:val="BodyText"/>
        <w:tabs>
          <w:tab w:val="left" w:pos="2835"/>
        </w:tabs>
      </w:pPr>
    </w:p>
    <w:p w14:paraId="4834080C" w14:textId="1F7E4FFD" w:rsidR="00A446C9" w:rsidRDefault="00FC296D" w:rsidP="00A446C9">
      <w:pPr>
        <w:pStyle w:val="Title"/>
      </w:pPr>
      <w:r>
        <w:t xml:space="preserve">IALA </w:t>
      </w:r>
      <w:r w:rsidR="0027338D">
        <w:t xml:space="preserve">Recommendation </w:t>
      </w:r>
      <w:r>
        <w:t>V-128, Ed</w:t>
      </w:r>
      <w:r w:rsidR="001C684F">
        <w:t>.</w:t>
      </w:r>
      <w:r>
        <w:t xml:space="preserve"> 4</w:t>
      </w:r>
      <w:r w:rsidR="00DF1EAF">
        <w:t xml:space="preserve"> approval</w:t>
      </w:r>
    </w:p>
    <w:p w14:paraId="0F258596" w14:textId="50FB6E37" w:rsidR="00A446C9" w:rsidRDefault="00A446C9" w:rsidP="00A446C9">
      <w:pPr>
        <w:pStyle w:val="Heading1"/>
      </w:pPr>
      <w:r>
        <w:t>Summary</w:t>
      </w:r>
    </w:p>
    <w:p w14:paraId="2D829213" w14:textId="7BA33D98" w:rsidR="00BD4E6F" w:rsidRDefault="007C2731" w:rsidP="00B56BDF">
      <w:pPr>
        <w:pStyle w:val="BodyText"/>
      </w:pPr>
      <w:r>
        <w:t xml:space="preserve">Kongsberg </w:t>
      </w:r>
      <w:proofErr w:type="spellStart"/>
      <w:r>
        <w:t>Norcontrol</w:t>
      </w:r>
      <w:proofErr w:type="spellEnd"/>
      <w:r>
        <w:t xml:space="preserve"> IT AS objects to the </w:t>
      </w:r>
      <w:r w:rsidR="00B3223F">
        <w:t>quality</w:t>
      </w:r>
      <w:r w:rsidR="003066D6">
        <w:t xml:space="preserve"> and</w:t>
      </w:r>
      <w:r w:rsidR="00B3223F">
        <w:t xml:space="preserve"> </w:t>
      </w:r>
      <w:r w:rsidR="003066D6">
        <w:t xml:space="preserve">proposed approval process for </w:t>
      </w:r>
      <w:r>
        <w:t xml:space="preserve">Input paper </w:t>
      </w:r>
      <w:r w:rsidR="0027338D">
        <w:rPr>
          <w:color w:val="000000"/>
        </w:rPr>
        <w:t xml:space="preserve">VTS39-9.2.1 </w:t>
      </w:r>
      <w:r>
        <w:t>as Edition 4 of the IALA Recommendation V-128</w:t>
      </w:r>
      <w:r w:rsidR="00BD4E6F">
        <w:t>.</w:t>
      </w:r>
      <w:r w:rsidR="004F3E12">
        <w:t xml:space="preserve"> We are concerned that the approval of Input Paper 9.2.1 will:</w:t>
      </w:r>
    </w:p>
    <w:p w14:paraId="4729A1A7" w14:textId="61510114" w:rsidR="004F3E12" w:rsidRDefault="00037894" w:rsidP="002238FB">
      <w:pPr>
        <w:pStyle w:val="BodyText"/>
        <w:numPr>
          <w:ilvl w:val="0"/>
          <w:numId w:val="20"/>
        </w:numPr>
      </w:pPr>
      <w:r>
        <w:t xml:space="preserve">Harm </w:t>
      </w:r>
      <w:r w:rsidR="004F3E12">
        <w:t>implementation of VTS worldwide</w:t>
      </w:r>
    </w:p>
    <w:p w14:paraId="071A4CA6" w14:textId="187D02A6" w:rsidR="004F3E12" w:rsidRDefault="00037894" w:rsidP="002238FB">
      <w:pPr>
        <w:pStyle w:val="BodyText"/>
        <w:numPr>
          <w:ilvl w:val="0"/>
          <w:numId w:val="20"/>
        </w:numPr>
      </w:pPr>
      <w:r>
        <w:t xml:space="preserve">Harm </w:t>
      </w:r>
      <w:r w:rsidR="004F3E12">
        <w:t>IALA</w:t>
      </w:r>
      <w:r>
        <w:t>’s</w:t>
      </w:r>
      <w:r w:rsidR="004F3E12">
        <w:t xml:space="preserve"> reputation.</w:t>
      </w:r>
    </w:p>
    <w:p w14:paraId="3C575A26" w14:textId="77777777" w:rsidR="001C44A3" w:rsidRDefault="00BD4E6F" w:rsidP="00B56BDF">
      <w:pPr>
        <w:pStyle w:val="Heading2"/>
      </w:pPr>
      <w:r>
        <w:t>Purpose</w:t>
      </w:r>
      <w:r w:rsidR="004D1D85">
        <w:t xml:space="preserve"> of the document</w:t>
      </w:r>
    </w:p>
    <w:p w14:paraId="716DF0F6" w14:textId="340EF509" w:rsidR="007C2731" w:rsidRDefault="007C2731" w:rsidP="00E55927">
      <w:pPr>
        <w:pStyle w:val="BodyText"/>
      </w:pPr>
      <w:r>
        <w:t>The purpose of this In</w:t>
      </w:r>
      <w:r w:rsidR="00DF1EAF">
        <w:t xml:space="preserve">put </w:t>
      </w:r>
      <w:r>
        <w:t>Paper is to</w:t>
      </w:r>
      <w:r w:rsidR="0027338D">
        <w:t xml:space="preserve"> explain our rationale and to</w:t>
      </w:r>
      <w:r>
        <w:t>:</w:t>
      </w:r>
    </w:p>
    <w:p w14:paraId="11228012" w14:textId="6B44A113" w:rsidR="007C2731" w:rsidRDefault="007C2731" w:rsidP="002238FB">
      <w:pPr>
        <w:pStyle w:val="BodyText"/>
        <w:numPr>
          <w:ilvl w:val="0"/>
          <w:numId w:val="18"/>
        </w:numPr>
      </w:pPr>
      <w:r>
        <w:t xml:space="preserve">raise awareness within the VTS Committee about some of the short-comings of Input Paper </w:t>
      </w:r>
      <w:r w:rsidR="0027338D">
        <w:rPr>
          <w:color w:val="000000"/>
        </w:rPr>
        <w:t>VTS39-9.2.1 and</w:t>
      </w:r>
    </w:p>
    <w:p w14:paraId="7E2A4642" w14:textId="00BB95F7" w:rsidR="00E55927" w:rsidRPr="00B56BDF" w:rsidRDefault="007C2731" w:rsidP="002238FB">
      <w:pPr>
        <w:pStyle w:val="BodyText"/>
        <w:numPr>
          <w:ilvl w:val="0"/>
          <w:numId w:val="18"/>
        </w:numPr>
      </w:pPr>
      <w:proofErr w:type="gramStart"/>
      <w:r>
        <w:t>propose</w:t>
      </w:r>
      <w:proofErr w:type="gramEnd"/>
      <w:r>
        <w:t xml:space="preserve"> a new work package</w:t>
      </w:r>
      <w:r w:rsidR="00FC296D">
        <w:t xml:space="preserve"> </w:t>
      </w:r>
      <w:r w:rsidR="003066D6">
        <w:t xml:space="preserve">with associated </w:t>
      </w:r>
      <w:r w:rsidR="00FC296D">
        <w:t>approval process</w:t>
      </w:r>
      <w:r>
        <w:t>.</w:t>
      </w:r>
    </w:p>
    <w:p w14:paraId="36D645BE" w14:textId="77777777" w:rsidR="00B56BDF" w:rsidRDefault="00B56BDF" w:rsidP="00B56BDF">
      <w:pPr>
        <w:pStyle w:val="Heading2"/>
      </w:pPr>
      <w:r>
        <w:t>Related documents</w:t>
      </w:r>
    </w:p>
    <w:p w14:paraId="3CDB1D7B" w14:textId="77777777" w:rsidR="00DF1EAF" w:rsidRDefault="007C2731" w:rsidP="00E55927">
      <w:pPr>
        <w:pStyle w:val="BodyText"/>
      </w:pPr>
      <w:r>
        <w:t>The related documents are the VTS39</w:t>
      </w:r>
      <w:r w:rsidR="00DF1EAF">
        <w:t>:</w:t>
      </w:r>
    </w:p>
    <w:p w14:paraId="511C7DE6" w14:textId="77777777" w:rsidR="00DF1EAF" w:rsidRDefault="007C2731" w:rsidP="002238FB">
      <w:pPr>
        <w:pStyle w:val="BodyText"/>
        <w:numPr>
          <w:ilvl w:val="0"/>
          <w:numId w:val="19"/>
        </w:numPr>
      </w:pPr>
      <w:r>
        <w:t xml:space="preserve">Input Papers </w:t>
      </w:r>
      <w:r w:rsidR="00DF1EAF">
        <w:t>9.2.1</w:t>
      </w:r>
      <w:r>
        <w:t xml:space="preserve"> and </w:t>
      </w:r>
      <w:r w:rsidR="00DF1EAF">
        <w:t>9.2.2 and</w:t>
      </w:r>
    </w:p>
    <w:p w14:paraId="3774CBFE" w14:textId="45E70EC6" w:rsidR="00037894" w:rsidRDefault="00037894" w:rsidP="002238FB">
      <w:pPr>
        <w:pStyle w:val="BodyText"/>
        <w:numPr>
          <w:ilvl w:val="0"/>
          <w:numId w:val="19"/>
        </w:numPr>
      </w:pPr>
      <w:r>
        <w:t>Input Paper 3.1.4 and</w:t>
      </w:r>
    </w:p>
    <w:p w14:paraId="553E55ED" w14:textId="0BF3C051" w:rsidR="00E55927" w:rsidRPr="00B56BDF" w:rsidRDefault="00037894" w:rsidP="002238FB">
      <w:pPr>
        <w:pStyle w:val="BodyText"/>
        <w:numPr>
          <w:ilvl w:val="0"/>
          <w:numId w:val="19"/>
        </w:numPr>
      </w:pPr>
      <w:r>
        <w:t xml:space="preserve">IALA </w:t>
      </w:r>
      <w:r w:rsidRPr="00037894">
        <w:t>Secretariat e</w:t>
      </w:r>
      <w:r w:rsidR="00DF1EAF">
        <w:t xml:space="preserve">mail subject title; </w:t>
      </w:r>
      <w:r w:rsidR="00DF1EAF" w:rsidRPr="00DF1EAF">
        <w:t xml:space="preserve">VTS39 - Important information and </w:t>
      </w:r>
      <w:r w:rsidR="00DF1EAF">
        <w:t>first i</w:t>
      </w:r>
      <w:r w:rsidR="00DF1EAF" w:rsidRPr="00DF1EAF">
        <w:t>nvitation to VTS39</w:t>
      </w:r>
      <w:r w:rsidR="00E55927">
        <w:t>.</w:t>
      </w:r>
    </w:p>
    <w:p w14:paraId="53733F03" w14:textId="77777777" w:rsidR="00A446C9" w:rsidRDefault="00A446C9" w:rsidP="00A446C9">
      <w:pPr>
        <w:pStyle w:val="Heading1"/>
      </w:pPr>
      <w:r>
        <w:t>Background</w:t>
      </w:r>
    </w:p>
    <w:p w14:paraId="6FE500FD" w14:textId="77777777" w:rsidR="004F3E12" w:rsidRDefault="007C2731" w:rsidP="00A446C9">
      <w:pPr>
        <w:pStyle w:val="BodyText"/>
      </w:pPr>
      <w:r>
        <w:t xml:space="preserve">After </w:t>
      </w:r>
      <w:r w:rsidR="00DF1EAF">
        <w:t xml:space="preserve">concerns were raised </w:t>
      </w:r>
      <w:r>
        <w:t>at V</w:t>
      </w:r>
      <w:r w:rsidR="003066D6">
        <w:t>TS38, it was agreed to hold an i</w:t>
      </w:r>
      <w:r>
        <w:t>nter</w:t>
      </w:r>
      <w:r w:rsidR="008C478D">
        <w:t>-</w:t>
      </w:r>
      <w:r>
        <w:t xml:space="preserve">sessional meeting but </w:t>
      </w:r>
      <w:r w:rsidR="002A75DC">
        <w:t xml:space="preserve">it is important to note that the purpose of this meeting was limited to </w:t>
      </w:r>
      <w:r>
        <w:t>only review</w:t>
      </w:r>
      <w:r w:rsidR="004F3E12">
        <w:t>:</w:t>
      </w:r>
    </w:p>
    <w:p w14:paraId="70EDB1A7" w14:textId="77777777" w:rsidR="004F3E12" w:rsidRDefault="00C75136" w:rsidP="002238FB">
      <w:pPr>
        <w:pStyle w:val="BodyText"/>
        <w:numPr>
          <w:ilvl w:val="0"/>
          <w:numId w:val="21"/>
        </w:numPr>
      </w:pPr>
      <w:r>
        <w:t>Section O</w:t>
      </w:r>
      <w:r w:rsidR="007C2731">
        <w:t xml:space="preserve">ne (1) </w:t>
      </w:r>
      <w:r>
        <w:t>– Core Operational and Technical Requirements</w:t>
      </w:r>
    </w:p>
    <w:p w14:paraId="36C898AA" w14:textId="77777777" w:rsidR="004F3E12" w:rsidRDefault="004F3E12" w:rsidP="002238FB">
      <w:pPr>
        <w:pStyle w:val="BodyText"/>
        <w:numPr>
          <w:ilvl w:val="0"/>
          <w:numId w:val="21"/>
        </w:numPr>
      </w:pPr>
      <w:r>
        <w:t>C</w:t>
      </w:r>
      <w:r w:rsidR="00C75136">
        <w:t xml:space="preserve">omments </w:t>
      </w:r>
      <w:r>
        <w:t xml:space="preserve">previously </w:t>
      </w:r>
      <w:r w:rsidR="00C75136">
        <w:t xml:space="preserve">submitted to the other twelve </w:t>
      </w:r>
      <w:r w:rsidR="002A75DC">
        <w:t>(1</w:t>
      </w:r>
      <w:r w:rsidR="00C75136">
        <w:t>2</w:t>
      </w:r>
      <w:r w:rsidR="002A75DC">
        <w:t>)</w:t>
      </w:r>
      <w:r w:rsidR="007C2731">
        <w:t xml:space="preserve"> sections.</w:t>
      </w:r>
    </w:p>
    <w:p w14:paraId="07452EBC" w14:textId="7DB81D87" w:rsidR="00A446C9" w:rsidRDefault="002A75DC" w:rsidP="004F3E12">
      <w:pPr>
        <w:pStyle w:val="BodyText"/>
      </w:pPr>
      <w:r>
        <w:t xml:space="preserve">The VTS Committee should be aware that if the approval process outlined in </w:t>
      </w:r>
      <w:proofErr w:type="gramStart"/>
      <w:r w:rsidR="00C75136">
        <w:t>Related</w:t>
      </w:r>
      <w:proofErr w:type="gramEnd"/>
      <w:r w:rsidR="00C75136">
        <w:t xml:space="preserve"> documents </w:t>
      </w:r>
      <w:r w:rsidR="00037894">
        <w:t>c</w:t>
      </w:r>
      <w:r>
        <w:t>) above is followed</w:t>
      </w:r>
      <w:r w:rsidR="00C75136">
        <w:t>;</w:t>
      </w:r>
      <w:r>
        <w:t xml:space="preserve"> the vast majority of the new IALA Rec. V-128, Ed 4 will not have been </w:t>
      </w:r>
      <w:r w:rsidR="00037894">
        <w:t xml:space="preserve">peer </w:t>
      </w:r>
      <w:r>
        <w:t>reviewed</w:t>
      </w:r>
      <w:r w:rsidR="00C75136">
        <w:t xml:space="preserve"> by the VTS Committee</w:t>
      </w:r>
      <w:r w:rsidR="003066D6">
        <w:t xml:space="preserve"> at large and only a select few</w:t>
      </w:r>
      <w:r w:rsidR="007C2731">
        <w:t>.</w:t>
      </w:r>
    </w:p>
    <w:p w14:paraId="041E9135" w14:textId="77777777" w:rsidR="00A446C9" w:rsidRDefault="00A446C9" w:rsidP="00A446C9">
      <w:pPr>
        <w:pStyle w:val="Heading1"/>
      </w:pPr>
      <w:r>
        <w:lastRenderedPageBreak/>
        <w:t>Discussion</w:t>
      </w:r>
    </w:p>
    <w:p w14:paraId="0E9B2875" w14:textId="77777777" w:rsidR="00164D85" w:rsidRDefault="008C478D" w:rsidP="00A446C9">
      <w:pPr>
        <w:pStyle w:val="BodyText"/>
      </w:pPr>
      <w:r>
        <w:t xml:space="preserve">IALA Recommendation </w:t>
      </w:r>
      <w:r w:rsidR="002A75DC">
        <w:t xml:space="preserve">V-128 </w:t>
      </w:r>
      <w:r>
        <w:t xml:space="preserve">is </w:t>
      </w:r>
      <w:r w:rsidR="002A75DC">
        <w:t>one</w:t>
      </w:r>
      <w:r>
        <w:t xml:space="preserve"> of the main Recommendations/Guidelines produced by IALA. It is a primary reference used by VTS Authorities around the world and </w:t>
      </w:r>
      <w:r w:rsidR="003066D6">
        <w:t xml:space="preserve">it </w:t>
      </w:r>
      <w:r w:rsidR="00164D85">
        <w:t>is essential that it is:</w:t>
      </w:r>
    </w:p>
    <w:p w14:paraId="2EEF5F83" w14:textId="0B476A3F" w:rsidR="00164D85" w:rsidRDefault="00164D85" w:rsidP="002238FB">
      <w:pPr>
        <w:pStyle w:val="BodyText"/>
        <w:numPr>
          <w:ilvl w:val="0"/>
          <w:numId w:val="22"/>
        </w:numPr>
      </w:pPr>
      <w:r>
        <w:t>I</w:t>
      </w:r>
      <w:r w:rsidR="008C478D">
        <w:t>mpartial</w:t>
      </w:r>
      <w:r>
        <w:t xml:space="preserve"> and unbiased</w:t>
      </w:r>
    </w:p>
    <w:p w14:paraId="23B5467E" w14:textId="6AFCC710" w:rsidR="00F25BF4" w:rsidRDefault="00164D85" w:rsidP="002238FB">
      <w:pPr>
        <w:pStyle w:val="BodyText"/>
        <w:numPr>
          <w:ilvl w:val="0"/>
          <w:numId w:val="22"/>
        </w:numPr>
      </w:pPr>
      <w:r>
        <w:t>U</w:t>
      </w:r>
      <w:r w:rsidR="00B3223F">
        <w:t xml:space="preserve">ser-friendly </w:t>
      </w:r>
      <w:r w:rsidR="008C478D">
        <w:t xml:space="preserve">and </w:t>
      </w:r>
      <w:r w:rsidR="00B3223F">
        <w:t xml:space="preserve">most importantly </w:t>
      </w:r>
      <w:r w:rsidR="008C478D">
        <w:t>understandable by its target readership.</w:t>
      </w:r>
    </w:p>
    <w:p w14:paraId="32FBAA42" w14:textId="3F639410" w:rsidR="007839A5" w:rsidRDefault="008C478D" w:rsidP="00A446C9">
      <w:pPr>
        <w:pStyle w:val="BodyText"/>
      </w:pPr>
      <w:r>
        <w:t xml:space="preserve">It is Kongsberg </w:t>
      </w:r>
      <w:proofErr w:type="spellStart"/>
      <w:r>
        <w:t>Norcontrol</w:t>
      </w:r>
      <w:proofErr w:type="spellEnd"/>
      <w:r>
        <w:t xml:space="preserve"> </w:t>
      </w:r>
      <w:proofErr w:type="gramStart"/>
      <w:r>
        <w:t>IT’s</w:t>
      </w:r>
      <w:proofErr w:type="gramEnd"/>
      <w:r>
        <w:t xml:space="preserve"> opinion that Input Paper </w:t>
      </w:r>
      <w:r w:rsidR="002A75DC">
        <w:t>9.2.1 f</w:t>
      </w:r>
      <w:r>
        <w:t xml:space="preserve">ails in </w:t>
      </w:r>
      <w:r w:rsidR="00853205">
        <w:t>respect to the</w:t>
      </w:r>
      <w:r>
        <w:t xml:space="preserve"> above </w:t>
      </w:r>
      <w:r w:rsidR="00853205">
        <w:t>points</w:t>
      </w:r>
      <w:r>
        <w:t>.</w:t>
      </w:r>
    </w:p>
    <w:p w14:paraId="22CFCC9C" w14:textId="6851D147" w:rsidR="008C478D" w:rsidRDefault="00974BCF" w:rsidP="00A446C9">
      <w:pPr>
        <w:pStyle w:val="BodyText"/>
      </w:pPr>
      <w:r>
        <w:t xml:space="preserve">The likely result is that authorities </w:t>
      </w:r>
      <w:r w:rsidR="00164D85">
        <w:t>worldwide</w:t>
      </w:r>
      <w:r w:rsidR="00853205">
        <w:t xml:space="preserve">, especially those in emerging countries that are </w:t>
      </w:r>
      <w:r>
        <w:t xml:space="preserve">considering whether to implement a VTS </w:t>
      </w:r>
      <w:r w:rsidR="007839A5">
        <w:t xml:space="preserve">or not </w:t>
      </w:r>
      <w:r w:rsidR="00164D85">
        <w:t>will</w:t>
      </w:r>
      <w:r>
        <w:t xml:space="preserve"> be discouraged due to the huge size and complexity of the Recommendation.</w:t>
      </w:r>
    </w:p>
    <w:p w14:paraId="1D083D92" w14:textId="77777777" w:rsidR="00180DDA" w:rsidRDefault="00180DDA" w:rsidP="00A446C9">
      <w:pPr>
        <w:pStyle w:val="Heading1"/>
      </w:pPr>
      <w:r>
        <w:t>References</w:t>
      </w:r>
    </w:p>
    <w:p w14:paraId="41037E7C" w14:textId="18EB98AF" w:rsidR="00C75136" w:rsidRPr="00C75136" w:rsidRDefault="00C75136" w:rsidP="00C75136">
      <w:pPr>
        <w:pStyle w:val="BodyText"/>
        <w:rPr>
          <w:lang w:eastAsia="de-DE"/>
        </w:rPr>
      </w:pPr>
      <w:r>
        <w:rPr>
          <w:lang w:eastAsia="de-DE"/>
        </w:rPr>
        <w:t xml:space="preserve">The following references are given as examples of some of the short-comings </w:t>
      </w:r>
      <w:r w:rsidR="003066D6">
        <w:rPr>
          <w:lang w:eastAsia="de-DE"/>
        </w:rPr>
        <w:t>(</w:t>
      </w:r>
      <w:r w:rsidR="003066D6">
        <w:t>impartial, user-friendly and understandable</w:t>
      </w:r>
      <w:r w:rsidR="003066D6">
        <w:rPr>
          <w:lang w:eastAsia="de-DE"/>
        </w:rPr>
        <w:t>)</w:t>
      </w:r>
      <w:r w:rsidR="003F3944">
        <w:rPr>
          <w:lang w:eastAsia="de-DE"/>
        </w:rPr>
        <w:t xml:space="preserve"> </w:t>
      </w:r>
      <w:r w:rsidR="00E8195D">
        <w:rPr>
          <w:lang w:eastAsia="de-DE"/>
        </w:rPr>
        <w:t>from</w:t>
      </w:r>
      <w:r>
        <w:rPr>
          <w:lang w:eastAsia="de-DE"/>
        </w:rPr>
        <w:t xml:space="preserve"> Input Paper 9.2.1:</w:t>
      </w:r>
    </w:p>
    <w:p w14:paraId="602EDD48" w14:textId="06B60F04" w:rsidR="00180DDA" w:rsidRDefault="00C75136" w:rsidP="00180DDA">
      <w:pPr>
        <w:pStyle w:val="References"/>
      </w:pPr>
      <w:r>
        <w:t>Section 6 – RDF, Chap 6.2.2; 2</w:t>
      </w:r>
      <w:r w:rsidRPr="00C75136">
        <w:rPr>
          <w:vertAlign w:val="superscript"/>
        </w:rPr>
        <w:t>nd</w:t>
      </w:r>
      <w:r>
        <w:t xml:space="preserve"> bullet point on page </w:t>
      </w:r>
      <w:r w:rsidR="00760BC3">
        <w:t>80</w:t>
      </w:r>
      <w:r w:rsidR="003F3944">
        <w:t xml:space="preserve"> states “</w:t>
      </w:r>
      <w:r w:rsidR="003F3944" w:rsidRPr="003F3944">
        <w:rPr>
          <w:i/>
        </w:rPr>
        <w:t>The delay between signal detection and output for presentation should be no more than 3 seconds</w:t>
      </w:r>
      <w:r w:rsidR="003F3944">
        <w:t>”. Why 3 seconds</w:t>
      </w:r>
      <w:r w:rsidR="00C404A2">
        <w:t xml:space="preserve">? Why </w:t>
      </w:r>
      <w:r w:rsidR="00EF2DBC">
        <w:t>not 2.5 seconds or 5 seconds</w:t>
      </w:r>
      <w:r w:rsidR="00BC39C5">
        <w:t xml:space="preserve">, </w:t>
      </w:r>
      <w:proofErr w:type="spellStart"/>
      <w:r w:rsidR="00BC39C5">
        <w:t>etc</w:t>
      </w:r>
      <w:proofErr w:type="spellEnd"/>
      <w:r w:rsidR="00EF2DBC">
        <w:t>? W</w:t>
      </w:r>
      <w:r w:rsidR="003F3944">
        <w:t xml:space="preserve">hat is the basis </w:t>
      </w:r>
      <w:r w:rsidR="00EF2DBC">
        <w:t>for</w:t>
      </w:r>
      <w:r w:rsidR="003F3944">
        <w:t xml:space="preserve"> being so very specific</w:t>
      </w:r>
      <w:r w:rsidR="00EF2DBC">
        <w:t>, which will clearly favour one manufacturer over another</w:t>
      </w:r>
      <w:r w:rsidR="003F3944">
        <w:t>?</w:t>
      </w:r>
      <w:r w:rsidR="00853205">
        <w:t xml:space="preserve"> This should be written in such a way that it is linked to the operational requirements rather than some arbitrary figure that suits manufacturers.</w:t>
      </w:r>
    </w:p>
    <w:p w14:paraId="1EE17E93" w14:textId="26EE51AB" w:rsidR="00AA2FDF" w:rsidRDefault="008153EE" w:rsidP="008153EE">
      <w:pPr>
        <w:pStyle w:val="References"/>
        <w:rPr>
          <w:lang w:eastAsia="de-DE"/>
        </w:rPr>
      </w:pPr>
      <w:r>
        <w:t xml:space="preserve">Section 8 – Radio Communications in VTS, Chap 8.3.1 - Coverage; page </w:t>
      </w:r>
      <w:r w:rsidR="00AA2FDF">
        <w:t>86</w:t>
      </w:r>
      <w:r>
        <w:t xml:space="preserve"> </w:t>
      </w:r>
      <w:r w:rsidR="00AA2FDF">
        <w:t xml:space="preserve">describes the GMDSS Areas 1-4. Why? </w:t>
      </w:r>
      <w:r w:rsidR="00E8195D">
        <w:t xml:space="preserve">At best this Chapter will cause confusion especially when there is another chapter </w:t>
      </w:r>
      <w:r w:rsidR="00853205">
        <w:t>titled “</w:t>
      </w:r>
      <w:r w:rsidR="00E8195D">
        <w:t>Radio Communications Coverage</w:t>
      </w:r>
      <w:r w:rsidR="00853205">
        <w:t>” (8.4.1</w:t>
      </w:r>
      <w:r w:rsidR="00E8195D">
        <w:t xml:space="preserve">) </w:t>
      </w:r>
      <w:r w:rsidR="008C23D5">
        <w:t xml:space="preserve">also </w:t>
      </w:r>
      <w:r w:rsidR="00E8195D">
        <w:t>describing coverage.</w:t>
      </w:r>
    </w:p>
    <w:p w14:paraId="597BDF6E" w14:textId="191D1451" w:rsidR="00E8195D" w:rsidRDefault="00AA2FDF" w:rsidP="00AA2FDF">
      <w:pPr>
        <w:pStyle w:val="References"/>
        <w:rPr>
          <w:lang w:eastAsia="de-DE"/>
        </w:rPr>
      </w:pPr>
      <w:r>
        <w:t>Section 8 – Radio Communications in VTS, Chap 8.</w:t>
      </w:r>
      <w:r w:rsidR="00E8195D">
        <w:t>4</w:t>
      </w:r>
      <w:r>
        <w:t xml:space="preserve"> - </w:t>
      </w:r>
      <w:r w:rsidR="00E8195D">
        <w:t>Requirements</w:t>
      </w:r>
      <w:r>
        <w:t>; page 8</w:t>
      </w:r>
      <w:r w:rsidR="00E8195D">
        <w:t>7 states “</w:t>
      </w:r>
      <w:r w:rsidR="00E8195D" w:rsidRPr="00E8195D">
        <w:rPr>
          <w:i/>
        </w:rPr>
        <w:t>Shipborne equipment should meet the functional requirements of the relevant IMO performance standards and the ITU-R Radio Regulations (see section</w:t>
      </w:r>
      <w:r w:rsidR="00853205">
        <w:rPr>
          <w:i/>
        </w:rPr>
        <w:t xml:space="preserve"> 8.2, References above</w:t>
      </w:r>
      <w:r w:rsidR="00E8195D" w:rsidRPr="00E8195D">
        <w:rPr>
          <w:i/>
        </w:rPr>
        <w:t>). Shore based equipment should also conform to the appropriate local technical standards.</w:t>
      </w:r>
      <w:r w:rsidR="00E8195D">
        <w:t xml:space="preserve">”.  So in this chapter, IALA </w:t>
      </w:r>
      <w:r w:rsidR="00620524">
        <w:t xml:space="preserve">will be </w:t>
      </w:r>
      <w:r w:rsidR="00E8195D">
        <w:t>stating that it is a requirement for shore based Radio Communications equipment to comply with “</w:t>
      </w:r>
      <w:r w:rsidR="00E8195D" w:rsidRPr="00E8195D">
        <w:rPr>
          <w:i/>
        </w:rPr>
        <w:t>relevant IMO performance standards and the ITU-R Radio Regulations</w:t>
      </w:r>
      <w:r w:rsidR="00E8195D">
        <w:rPr>
          <w:i/>
        </w:rPr>
        <w:t xml:space="preserve">” </w:t>
      </w:r>
      <w:r w:rsidR="00E8195D">
        <w:t>and “</w:t>
      </w:r>
      <w:r w:rsidR="00E8195D" w:rsidRPr="00E8195D">
        <w:rPr>
          <w:i/>
        </w:rPr>
        <w:t>also conform to the appropriate local technical standards</w:t>
      </w:r>
      <w:r w:rsidR="00E8195D">
        <w:rPr>
          <w:i/>
        </w:rPr>
        <w:t>”</w:t>
      </w:r>
      <w:r w:rsidR="00620524">
        <w:t>.</w:t>
      </w:r>
      <w:r w:rsidR="00853205">
        <w:t xml:space="preserve"> </w:t>
      </w:r>
      <w:r w:rsidR="00AE5FCB">
        <w:t>What are the “</w:t>
      </w:r>
      <w:r w:rsidR="00AE5FCB" w:rsidRPr="00E8195D">
        <w:rPr>
          <w:i/>
        </w:rPr>
        <w:t>relevant IMO performance standards and the ITU-R Radio Regulations</w:t>
      </w:r>
      <w:r w:rsidR="00AE5FCB">
        <w:t xml:space="preserve">”? </w:t>
      </w:r>
      <w:r w:rsidR="00853205">
        <w:t xml:space="preserve">Is </w:t>
      </w:r>
      <w:r w:rsidR="00AE5FCB">
        <w:t>this</w:t>
      </w:r>
      <w:r w:rsidR="00853205">
        <w:t xml:space="preserve"> really what IALA wants to recommend?</w:t>
      </w:r>
    </w:p>
    <w:p w14:paraId="00EC0BCC" w14:textId="3AE4B0D1" w:rsidR="00180DDA" w:rsidRDefault="002A09D0" w:rsidP="00180DDA">
      <w:pPr>
        <w:pStyle w:val="References"/>
        <w:rPr>
          <w:lang w:eastAsia="de-DE"/>
        </w:rPr>
      </w:pPr>
      <w:r>
        <w:t>Section 8 – Radio Communications in VTS, Chap 8.4.4; page 87 states “</w:t>
      </w:r>
      <w:r w:rsidRPr="002A09D0">
        <w:rPr>
          <w:i/>
        </w:rPr>
        <w:t>The VTS Authority shall have the facility to automatically record radio communications and play back these recordings in synchronisation with the recorded traffic situation</w:t>
      </w:r>
      <w:r>
        <w:t>”. To my knowledge</w:t>
      </w:r>
      <w:r w:rsidR="00B3223F">
        <w:t>,</w:t>
      </w:r>
      <w:r>
        <w:t xml:space="preserve"> IALA </w:t>
      </w:r>
      <w:r w:rsidR="00B3223F">
        <w:t xml:space="preserve">rarely uses the word “shall” in </w:t>
      </w:r>
      <w:r w:rsidR="007839A5">
        <w:t xml:space="preserve">(Standards), </w:t>
      </w:r>
      <w:r w:rsidR="00B3223F">
        <w:t xml:space="preserve">Recommendations or Guidelines.  </w:t>
      </w:r>
      <w:r w:rsidR="00BC39C5">
        <w:t xml:space="preserve">Why is IALA mandating what a VTS Authority shall do? </w:t>
      </w:r>
      <w:r w:rsidR="00B3223F">
        <w:t>In fact, Input Paper 9.2.1 has used the word “shall” 17 times</w:t>
      </w:r>
      <w:r w:rsidR="00180DDA">
        <w:rPr>
          <w:lang w:eastAsia="de-DE"/>
        </w:rPr>
        <w:t>.</w:t>
      </w:r>
    </w:p>
    <w:p w14:paraId="2AF242A9" w14:textId="3AF9E021" w:rsidR="00CF13BF" w:rsidRDefault="00CF13BF" w:rsidP="00CF13BF">
      <w:pPr>
        <w:pStyle w:val="References"/>
        <w:rPr>
          <w:lang w:eastAsia="de-DE"/>
        </w:rPr>
      </w:pPr>
      <w:r>
        <w:t>Section 9 – Data Processing. This whole section is extremely technical</w:t>
      </w:r>
      <w:r w:rsidR="002862D6">
        <w:t>;</w:t>
      </w:r>
      <w:r>
        <w:t xml:space="preserve"> so much so that I defy any VTS authority </w:t>
      </w:r>
      <w:proofErr w:type="gramStart"/>
      <w:r>
        <w:t>who</w:t>
      </w:r>
      <w:proofErr w:type="gramEnd"/>
      <w:r>
        <w:t xml:space="preserve"> doesn’t have English as their mother tongue</w:t>
      </w:r>
      <w:r w:rsidR="002862D6">
        <w:t xml:space="preserve">, </w:t>
      </w:r>
      <w:r>
        <w:t xml:space="preserve">a highly developed Engineering background </w:t>
      </w:r>
      <w:r w:rsidR="002862D6">
        <w:t xml:space="preserve">and experience of VTS technologies </w:t>
      </w:r>
      <w:r>
        <w:t xml:space="preserve">to understand the </w:t>
      </w:r>
      <w:r w:rsidR="00DD20D0">
        <w:t>content</w:t>
      </w:r>
      <w:r>
        <w:t xml:space="preserve">. The result will be that the target readership will either ignore </w:t>
      </w:r>
      <w:r w:rsidR="00DD20D0">
        <w:t xml:space="preserve">the Section </w:t>
      </w:r>
      <w:r>
        <w:t>or misuse it</w:t>
      </w:r>
      <w:r w:rsidR="00DD20D0">
        <w:t>; b</w:t>
      </w:r>
      <w:r>
        <w:t>oth of which are dangerous.</w:t>
      </w:r>
    </w:p>
    <w:p w14:paraId="039F4EE4" w14:textId="201B8118" w:rsidR="00DD20D0" w:rsidRDefault="00CF13BF" w:rsidP="00620524">
      <w:pPr>
        <w:pStyle w:val="References"/>
        <w:numPr>
          <w:ilvl w:val="0"/>
          <w:numId w:val="0"/>
        </w:numPr>
        <w:ind w:left="1134" w:hanging="567"/>
        <w:rPr>
          <w:lang w:eastAsia="de-DE"/>
        </w:rPr>
      </w:pPr>
      <w:r>
        <w:t xml:space="preserve">An example is </w:t>
      </w:r>
      <w:r w:rsidR="00DD20D0">
        <w:t xml:space="preserve">Chapter 9.3.2.2 – Track Initiation </w:t>
      </w:r>
      <w:r>
        <w:t xml:space="preserve">on page </w:t>
      </w:r>
      <w:r w:rsidR="00DD20D0">
        <w:t>96</w:t>
      </w:r>
      <w:r>
        <w:t>, which states</w:t>
      </w:r>
      <w:r w:rsidR="00DD20D0">
        <w:t>:</w:t>
      </w:r>
    </w:p>
    <w:p w14:paraId="18F3AC89" w14:textId="56365B92" w:rsidR="00DD20D0" w:rsidRPr="00DD20D0" w:rsidRDefault="00DD20D0" w:rsidP="00620524">
      <w:pPr>
        <w:pStyle w:val="BodyText"/>
        <w:ind w:left="567"/>
        <w:rPr>
          <w:i/>
        </w:rPr>
      </w:pPr>
      <w:r>
        <w:t>“</w:t>
      </w:r>
      <w:r w:rsidRPr="00DD20D0">
        <w:rPr>
          <w:i/>
        </w:rPr>
        <w:t>The complexity of the track initiation process and the complexity of the sensor network employed in different classes of VTS system can be designed to modify the trade-off between instantaneous plot P</w:t>
      </w:r>
      <w:r w:rsidRPr="00DD20D0">
        <w:rPr>
          <w:i/>
          <w:vertAlign w:val="subscript"/>
        </w:rPr>
        <w:t>D</w:t>
      </w:r>
      <w:r w:rsidRPr="00DD20D0">
        <w:rPr>
          <w:i/>
        </w:rPr>
        <w:t>, initiation delay, track initiation range of targets and false track rate.  For example, for a given false track initiation rate, a complex initiation algorithm with highly specified multiple radars can operate predictably with plot P</w:t>
      </w:r>
      <w:r w:rsidRPr="00DD20D0">
        <w:rPr>
          <w:i/>
          <w:vertAlign w:val="subscript"/>
        </w:rPr>
        <w:t>D</w:t>
      </w:r>
      <w:r w:rsidRPr="00DD20D0">
        <w:rPr>
          <w:i/>
        </w:rPr>
        <w:t xml:space="preserve"> of 0.7 whereas to maintain control of the false track initiation rate in a simpler initiation process using a single low performance sensor, it might be more appropriate to operate with a plot P</w:t>
      </w:r>
      <w:r w:rsidRPr="00DD20D0">
        <w:rPr>
          <w:i/>
          <w:vertAlign w:val="subscript"/>
        </w:rPr>
        <w:t>D</w:t>
      </w:r>
      <w:r w:rsidRPr="00DD20D0">
        <w:rPr>
          <w:i/>
        </w:rPr>
        <w:t xml:space="preserve"> of 0.9 (</w:t>
      </w:r>
      <w:r w:rsidRPr="00DD20D0">
        <w:rPr>
          <w:i/>
        </w:rPr>
        <w:fldChar w:fldCharType="begin"/>
      </w:r>
      <w:r w:rsidRPr="00DD20D0">
        <w:rPr>
          <w:i/>
        </w:rPr>
        <w:instrText xml:space="preserve"> REF  _Ref351634665 \* Lower \h \r </w:instrText>
      </w:r>
      <w:r>
        <w:rPr>
          <w:i/>
        </w:rPr>
        <w:instrText xml:space="preserve"> \* MERGEFORMAT </w:instrText>
      </w:r>
      <w:r w:rsidRPr="00DD20D0">
        <w:rPr>
          <w:i/>
        </w:rPr>
      </w:r>
      <w:r w:rsidRPr="00DD20D0">
        <w:rPr>
          <w:i/>
        </w:rPr>
        <w:fldChar w:fldCharType="separate"/>
      </w:r>
      <w:r w:rsidR="00853205">
        <w:rPr>
          <w:i/>
        </w:rPr>
        <w:t>0</w:t>
      </w:r>
      <w:r w:rsidRPr="00DD20D0">
        <w:rPr>
          <w:i/>
        </w:rPr>
        <w:fldChar w:fldCharType="end"/>
      </w:r>
      <w:r w:rsidRPr="00DD20D0">
        <w:rPr>
          <w:i/>
        </w:rPr>
        <w:t>).</w:t>
      </w:r>
    </w:p>
    <w:p w14:paraId="572EB093" w14:textId="6621B527" w:rsidR="00DD20D0" w:rsidRPr="00DD20D0" w:rsidRDefault="00DD20D0" w:rsidP="00620524">
      <w:pPr>
        <w:pStyle w:val="Table"/>
        <w:numPr>
          <w:ilvl w:val="0"/>
          <w:numId w:val="0"/>
        </w:numPr>
        <w:ind w:left="567"/>
      </w:pPr>
      <w:bookmarkStart w:id="1" w:name="_Ref351634665"/>
      <w:bookmarkStart w:id="2" w:name="_Toc409604066"/>
      <w:bookmarkStart w:id="3" w:name="_Ref349544662"/>
      <w:r w:rsidRPr="00DD20D0">
        <w:lastRenderedPageBreak/>
        <w:t>Table 21 Suggested Radar Plot Detection Probabilities for Track Initiation</w:t>
      </w:r>
      <w:bookmarkEnd w:id="1"/>
      <w:bookmarkEnd w:id="2"/>
    </w:p>
    <w:tbl>
      <w:tblPr>
        <w:tblW w:w="5671" w:type="dxa"/>
        <w:jc w:val="center"/>
        <w:tblInd w:w="1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6"/>
        <w:gridCol w:w="1984"/>
        <w:gridCol w:w="1801"/>
      </w:tblGrid>
      <w:tr w:rsidR="00DD20D0" w:rsidRPr="00DD20D0" w14:paraId="63522011" w14:textId="77777777" w:rsidTr="00620524">
        <w:trPr>
          <w:cantSplit/>
          <w:trHeight w:val="404"/>
          <w:jc w:val="center"/>
        </w:trPr>
        <w:tc>
          <w:tcPr>
            <w:tcW w:w="5671" w:type="dxa"/>
            <w:gridSpan w:val="3"/>
            <w:shd w:val="clear" w:color="auto" w:fill="D9D9D9" w:themeFill="background1" w:themeFillShade="D9"/>
            <w:vAlign w:val="center"/>
          </w:tcPr>
          <w:bookmarkEnd w:id="3"/>
          <w:p w14:paraId="3538E912" w14:textId="77777777" w:rsidR="00DD20D0" w:rsidRPr="00DD20D0" w:rsidRDefault="00DD20D0" w:rsidP="00D87C3A">
            <w:pPr>
              <w:jc w:val="center"/>
              <w:rPr>
                <w:b/>
                <w:i/>
                <w:sz w:val="20"/>
              </w:rPr>
            </w:pPr>
            <w:r w:rsidRPr="00DD20D0">
              <w:rPr>
                <w:b/>
                <w:i/>
                <w:sz w:val="20"/>
              </w:rPr>
              <w:t>Recommendation Level</w:t>
            </w:r>
          </w:p>
        </w:tc>
      </w:tr>
      <w:tr w:rsidR="00DD20D0" w:rsidRPr="00DD20D0" w14:paraId="41CA4FA7" w14:textId="77777777" w:rsidTr="00620524">
        <w:trPr>
          <w:cantSplit/>
          <w:trHeight w:val="421"/>
          <w:jc w:val="center"/>
        </w:trPr>
        <w:tc>
          <w:tcPr>
            <w:tcW w:w="1886" w:type="dxa"/>
            <w:shd w:val="clear" w:color="auto" w:fill="D9D9D9" w:themeFill="background1" w:themeFillShade="D9"/>
            <w:vAlign w:val="center"/>
          </w:tcPr>
          <w:p w14:paraId="60A525C8" w14:textId="77777777" w:rsidR="00DD20D0" w:rsidRPr="00DD20D0" w:rsidRDefault="00DD20D0" w:rsidP="00D87C3A">
            <w:pPr>
              <w:jc w:val="center"/>
              <w:rPr>
                <w:b/>
                <w:i/>
                <w:sz w:val="20"/>
              </w:rPr>
            </w:pPr>
            <w:r w:rsidRPr="00DD20D0">
              <w:rPr>
                <w:b/>
                <w:i/>
                <w:sz w:val="20"/>
              </w:rPr>
              <w:t>Basic</w:t>
            </w:r>
          </w:p>
        </w:tc>
        <w:tc>
          <w:tcPr>
            <w:tcW w:w="1984" w:type="dxa"/>
            <w:shd w:val="clear" w:color="auto" w:fill="D9D9D9" w:themeFill="background1" w:themeFillShade="D9"/>
            <w:vAlign w:val="center"/>
          </w:tcPr>
          <w:p w14:paraId="3AA7624B" w14:textId="77777777" w:rsidR="00DD20D0" w:rsidRPr="00DD20D0" w:rsidRDefault="00DD20D0" w:rsidP="00D87C3A">
            <w:pPr>
              <w:jc w:val="center"/>
              <w:rPr>
                <w:b/>
                <w:i/>
                <w:sz w:val="20"/>
              </w:rPr>
            </w:pPr>
            <w:r w:rsidRPr="00DD20D0">
              <w:rPr>
                <w:b/>
                <w:i/>
                <w:sz w:val="20"/>
              </w:rPr>
              <w:t>Standard</w:t>
            </w:r>
          </w:p>
        </w:tc>
        <w:tc>
          <w:tcPr>
            <w:tcW w:w="1801" w:type="dxa"/>
            <w:shd w:val="clear" w:color="auto" w:fill="D9D9D9" w:themeFill="background1" w:themeFillShade="D9"/>
            <w:vAlign w:val="center"/>
          </w:tcPr>
          <w:p w14:paraId="42729BA8" w14:textId="77777777" w:rsidR="00DD20D0" w:rsidRPr="00DD20D0" w:rsidRDefault="00DD20D0" w:rsidP="00D87C3A">
            <w:pPr>
              <w:ind w:left="113" w:right="113"/>
              <w:jc w:val="center"/>
              <w:rPr>
                <w:b/>
                <w:bCs/>
                <w:i/>
                <w:sz w:val="20"/>
              </w:rPr>
            </w:pPr>
            <w:r w:rsidRPr="00DD20D0">
              <w:rPr>
                <w:b/>
                <w:bCs/>
                <w:i/>
                <w:sz w:val="20"/>
              </w:rPr>
              <w:t>Advanced</w:t>
            </w:r>
          </w:p>
        </w:tc>
      </w:tr>
      <w:tr w:rsidR="00DD20D0" w:rsidRPr="00DD20D0" w14:paraId="2C4B4F22" w14:textId="77777777" w:rsidTr="00620524">
        <w:trPr>
          <w:cantSplit/>
          <w:trHeight w:val="415"/>
          <w:jc w:val="center"/>
        </w:trPr>
        <w:tc>
          <w:tcPr>
            <w:tcW w:w="1886" w:type="dxa"/>
            <w:vAlign w:val="center"/>
          </w:tcPr>
          <w:p w14:paraId="095E886C" w14:textId="77777777" w:rsidR="00DD20D0" w:rsidRPr="00DD20D0" w:rsidRDefault="00DD20D0" w:rsidP="00D87C3A">
            <w:pPr>
              <w:jc w:val="center"/>
              <w:rPr>
                <w:i/>
                <w:sz w:val="20"/>
              </w:rPr>
            </w:pPr>
            <w:r w:rsidRPr="00DD20D0">
              <w:rPr>
                <w:i/>
                <w:sz w:val="20"/>
              </w:rPr>
              <w:t>0.9</w:t>
            </w:r>
          </w:p>
        </w:tc>
        <w:tc>
          <w:tcPr>
            <w:tcW w:w="1984" w:type="dxa"/>
            <w:vAlign w:val="center"/>
          </w:tcPr>
          <w:p w14:paraId="0AA4470B" w14:textId="77777777" w:rsidR="00DD20D0" w:rsidRPr="00DD20D0" w:rsidRDefault="00DD20D0" w:rsidP="00D87C3A">
            <w:pPr>
              <w:jc w:val="center"/>
              <w:rPr>
                <w:i/>
                <w:sz w:val="20"/>
              </w:rPr>
            </w:pPr>
            <w:r w:rsidRPr="00DD20D0">
              <w:rPr>
                <w:i/>
                <w:sz w:val="20"/>
              </w:rPr>
              <w:t>0.8</w:t>
            </w:r>
          </w:p>
        </w:tc>
        <w:tc>
          <w:tcPr>
            <w:tcW w:w="1801" w:type="dxa"/>
            <w:vAlign w:val="center"/>
          </w:tcPr>
          <w:p w14:paraId="5B462020" w14:textId="77777777" w:rsidR="00DD20D0" w:rsidRPr="00DD20D0" w:rsidRDefault="00DD20D0" w:rsidP="00D87C3A">
            <w:pPr>
              <w:jc w:val="center"/>
              <w:rPr>
                <w:i/>
                <w:sz w:val="20"/>
              </w:rPr>
            </w:pPr>
            <w:r w:rsidRPr="00DD20D0">
              <w:rPr>
                <w:i/>
                <w:sz w:val="20"/>
              </w:rPr>
              <w:t>0.7</w:t>
            </w:r>
          </w:p>
        </w:tc>
      </w:tr>
    </w:tbl>
    <w:p w14:paraId="60278738" w14:textId="77777777" w:rsidR="00DD20D0" w:rsidRPr="0018338F" w:rsidRDefault="00DD20D0" w:rsidP="00620524">
      <w:pPr>
        <w:ind w:left="567"/>
        <w:rPr>
          <w:lang w:eastAsia="de-DE"/>
        </w:rPr>
      </w:pPr>
    </w:p>
    <w:p w14:paraId="47F80966" w14:textId="2ADB2F1B" w:rsidR="002862D6" w:rsidRDefault="002862D6" w:rsidP="00620524">
      <w:pPr>
        <w:pStyle w:val="References"/>
        <w:numPr>
          <w:ilvl w:val="0"/>
          <w:numId w:val="0"/>
        </w:numPr>
        <w:ind w:left="567"/>
      </w:pPr>
      <w:r>
        <w:t>Not only is this difficult to understand</w:t>
      </w:r>
      <w:r w:rsidR="00AE5FCB">
        <w:t xml:space="preserve"> but </w:t>
      </w:r>
      <w:r>
        <w:t xml:space="preserve">it also leaves the reader believing that “Advanced” is better than “Basic”.  </w:t>
      </w:r>
      <w:r w:rsidR="00DD20D0">
        <w:t xml:space="preserve">The VTS Committee should </w:t>
      </w:r>
      <w:r>
        <w:t xml:space="preserve">also </w:t>
      </w:r>
      <w:r w:rsidR="00DD20D0">
        <w:t xml:space="preserve">be aware that the version of </w:t>
      </w:r>
      <w:r w:rsidR="00B9748F">
        <w:t xml:space="preserve">Input Paper 9.2.1 that was nearly approved at VTS38 had an additional line </w:t>
      </w:r>
      <w:r>
        <w:t xml:space="preserve">in the corresponding table </w:t>
      </w:r>
      <w:r w:rsidR="00B9748F">
        <w:t xml:space="preserve">called “Safety”. </w:t>
      </w:r>
      <w:r>
        <w:t>It is interesting that this line has been removed.</w:t>
      </w:r>
    </w:p>
    <w:p w14:paraId="7A8D2F27" w14:textId="77777777" w:rsidR="00A446C9" w:rsidRDefault="00A446C9" w:rsidP="00A446C9">
      <w:pPr>
        <w:pStyle w:val="Heading1"/>
      </w:pPr>
      <w:r>
        <w:t>Action requested of the Committee</w:t>
      </w:r>
    </w:p>
    <w:p w14:paraId="58F41111" w14:textId="07E5EBBF" w:rsidR="00362F62" w:rsidRDefault="00620524" w:rsidP="00362F62">
      <w:pPr>
        <w:pStyle w:val="References"/>
        <w:numPr>
          <w:ilvl w:val="0"/>
          <w:numId w:val="0"/>
        </w:numPr>
      </w:pPr>
      <w:r>
        <w:rPr>
          <w:lang w:eastAsia="de-DE"/>
        </w:rPr>
        <w:t>The above examples are just a selection</w:t>
      </w:r>
      <w:r w:rsidR="00AE5FCB">
        <w:rPr>
          <w:lang w:eastAsia="de-DE"/>
        </w:rPr>
        <w:t xml:space="preserve">. </w:t>
      </w:r>
      <w:r>
        <w:rPr>
          <w:lang w:eastAsia="de-DE"/>
        </w:rPr>
        <w:t xml:space="preserve"> </w:t>
      </w:r>
      <w:r w:rsidR="002862D6">
        <w:rPr>
          <w:lang w:eastAsia="de-DE"/>
        </w:rPr>
        <w:t>I know there are members of the VTS Committee who just want to approve Input Paper 9.2.1 because it has been worked on for more than 4 years</w:t>
      </w:r>
      <w:r w:rsidR="00AE5FCB">
        <w:rPr>
          <w:lang w:eastAsia="de-DE"/>
        </w:rPr>
        <w:t xml:space="preserve"> b</w:t>
      </w:r>
      <w:r w:rsidR="002862D6">
        <w:rPr>
          <w:lang w:eastAsia="de-DE"/>
        </w:rPr>
        <w:t xml:space="preserve">ut the VTS Committee is asked to consider whether that is justification for releasing an important Recommendation </w:t>
      </w:r>
      <w:r w:rsidR="001C684F">
        <w:rPr>
          <w:lang w:eastAsia="de-DE"/>
        </w:rPr>
        <w:t>that is poor quality</w:t>
      </w:r>
      <w:r w:rsidR="00362F62">
        <w:rPr>
          <w:lang w:eastAsia="de-DE"/>
        </w:rPr>
        <w:t xml:space="preserve"> and </w:t>
      </w:r>
      <w:r w:rsidR="00362F62">
        <w:t>not understandable by its target readership?</w:t>
      </w:r>
    </w:p>
    <w:p w14:paraId="1556E528" w14:textId="40AD5B56" w:rsidR="00F25BF4" w:rsidRDefault="00673B38" w:rsidP="00673B38">
      <w:pPr>
        <w:pStyle w:val="References"/>
        <w:numPr>
          <w:ilvl w:val="0"/>
          <w:numId w:val="0"/>
        </w:numPr>
      </w:pPr>
      <w:r>
        <w:t xml:space="preserve">Not all VTS systems need to be so complex and this Recommendation does not make that clear. This Recommendation will discourage implementation of VTS especially in emerging countries, it will harm IALA reputation and the </w:t>
      </w:r>
      <w:r w:rsidR="002A75DC">
        <w:t xml:space="preserve">VTS </w:t>
      </w:r>
      <w:r w:rsidR="00F25BF4">
        <w:t xml:space="preserve">Committee is </w:t>
      </w:r>
      <w:r>
        <w:t xml:space="preserve">therefore </w:t>
      </w:r>
      <w:r w:rsidR="00F25BF4">
        <w:t>requested to:</w:t>
      </w:r>
    </w:p>
    <w:p w14:paraId="41A1E375" w14:textId="16A1C038" w:rsidR="00F25BF4" w:rsidRDefault="008C478D" w:rsidP="002238FB">
      <w:pPr>
        <w:pStyle w:val="List1"/>
        <w:numPr>
          <w:ilvl w:val="0"/>
          <w:numId w:val="16"/>
        </w:numPr>
      </w:pPr>
      <w:r>
        <w:t xml:space="preserve">Not approve Input Paper </w:t>
      </w:r>
      <w:r w:rsidR="002A75DC">
        <w:t>9.2.1</w:t>
      </w:r>
    </w:p>
    <w:p w14:paraId="0F9D606B" w14:textId="2388A424" w:rsidR="008C478D" w:rsidRPr="00597FAE" w:rsidRDefault="008C478D" w:rsidP="002238FB">
      <w:pPr>
        <w:pStyle w:val="List1"/>
        <w:numPr>
          <w:ilvl w:val="0"/>
          <w:numId w:val="16"/>
        </w:numPr>
      </w:pPr>
      <w:r>
        <w:t>Add a new Work Package to produce an acceptable Edition 4</w:t>
      </w:r>
    </w:p>
    <w:p w14:paraId="7A9FD49F" w14:textId="21F38037" w:rsidR="00F25BF4" w:rsidRPr="00597FAE" w:rsidRDefault="008C478D" w:rsidP="00F25BF4">
      <w:pPr>
        <w:pStyle w:val="List1"/>
      </w:pPr>
      <w:r>
        <w:t>Follow the normal approval process including a page-by-page review.</w:t>
      </w:r>
    </w:p>
    <w:p w14:paraId="16AE6650" w14:textId="158A7282" w:rsidR="004D1D85" w:rsidRPr="004D1D85" w:rsidRDefault="004D1D85" w:rsidP="008C478D">
      <w:pPr>
        <w:pStyle w:val="AnnexHeading3"/>
        <w:numPr>
          <w:ilvl w:val="0"/>
          <w:numId w:val="0"/>
        </w:numPr>
        <w:rPr>
          <w:lang w:eastAsia="en-US"/>
        </w:rPr>
      </w:pPr>
    </w:p>
    <w:sectPr w:rsidR="004D1D85" w:rsidRPr="004D1D85"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FE3DF" w14:textId="77777777" w:rsidR="000875B3" w:rsidRDefault="000875B3" w:rsidP="00362CD9">
      <w:r>
        <w:separator/>
      </w:r>
    </w:p>
  </w:endnote>
  <w:endnote w:type="continuationSeparator" w:id="0">
    <w:p w14:paraId="765C39FA" w14:textId="77777777" w:rsidR="000875B3" w:rsidRDefault="000875B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7C0C5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93F29" w14:textId="77777777" w:rsidR="000875B3" w:rsidRDefault="000875B3" w:rsidP="00362CD9">
      <w:r>
        <w:separator/>
      </w:r>
    </w:p>
  </w:footnote>
  <w:footnote w:type="continuationSeparator" w:id="0">
    <w:p w14:paraId="41C2FB3A" w14:textId="77777777" w:rsidR="000875B3" w:rsidRDefault="000875B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3C4734"/>
    <w:multiLevelType w:val="hybridMultilevel"/>
    <w:tmpl w:val="D2B649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50231B7"/>
    <w:multiLevelType w:val="hybridMultilevel"/>
    <w:tmpl w:val="0436F228"/>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8736C7A"/>
    <w:multiLevelType w:val="hybridMultilevel"/>
    <w:tmpl w:val="0BB469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FE3834"/>
    <w:multiLevelType w:val="hybridMultilevel"/>
    <w:tmpl w:val="BC08285E"/>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D266CBC"/>
    <w:multiLevelType w:val="hybridMultilevel"/>
    <w:tmpl w:val="8A00B9FA"/>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num w:numId="1">
    <w:abstractNumId w:val="17"/>
  </w:num>
  <w:num w:numId="2">
    <w:abstractNumId w:val="13"/>
  </w:num>
  <w:num w:numId="3">
    <w:abstractNumId w:val="2"/>
  </w:num>
  <w:num w:numId="4">
    <w:abstractNumId w:val="19"/>
  </w:num>
  <w:num w:numId="5">
    <w:abstractNumId w:val="9"/>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8"/>
  </w:num>
  <w:num w:numId="20">
    <w:abstractNumId w:val="1"/>
  </w:num>
  <w:num w:numId="21">
    <w:abstractNumId w:val="20"/>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894"/>
    <w:rsid w:val="00037DF4"/>
    <w:rsid w:val="0004700E"/>
    <w:rsid w:val="00057396"/>
    <w:rsid w:val="00070C13"/>
    <w:rsid w:val="00084F33"/>
    <w:rsid w:val="000875B3"/>
    <w:rsid w:val="000A77A7"/>
    <w:rsid w:val="000B1707"/>
    <w:rsid w:val="000C1B3E"/>
    <w:rsid w:val="00164D85"/>
    <w:rsid w:val="00177F4D"/>
    <w:rsid w:val="00180DDA"/>
    <w:rsid w:val="001B2A2D"/>
    <w:rsid w:val="001B678C"/>
    <w:rsid w:val="001B737D"/>
    <w:rsid w:val="001C44A3"/>
    <w:rsid w:val="001C684F"/>
    <w:rsid w:val="001E0E15"/>
    <w:rsid w:val="001F528A"/>
    <w:rsid w:val="001F704E"/>
    <w:rsid w:val="002125B0"/>
    <w:rsid w:val="002238FB"/>
    <w:rsid w:val="00243228"/>
    <w:rsid w:val="00251483"/>
    <w:rsid w:val="00255CAA"/>
    <w:rsid w:val="00264305"/>
    <w:rsid w:val="0027338D"/>
    <w:rsid w:val="002862D6"/>
    <w:rsid w:val="002A0346"/>
    <w:rsid w:val="002A09D0"/>
    <w:rsid w:val="002A4487"/>
    <w:rsid w:val="002A75DC"/>
    <w:rsid w:val="002B49E9"/>
    <w:rsid w:val="002D3E8B"/>
    <w:rsid w:val="002D4575"/>
    <w:rsid w:val="002D5C0C"/>
    <w:rsid w:val="002E03D1"/>
    <w:rsid w:val="002E6B74"/>
    <w:rsid w:val="002E6FCA"/>
    <w:rsid w:val="003066D6"/>
    <w:rsid w:val="00356CD0"/>
    <w:rsid w:val="00362CD9"/>
    <w:rsid w:val="00362F62"/>
    <w:rsid w:val="003761CA"/>
    <w:rsid w:val="00380DAF"/>
    <w:rsid w:val="003B28F5"/>
    <w:rsid w:val="003B7B7D"/>
    <w:rsid w:val="003C54CB"/>
    <w:rsid w:val="003C7A2A"/>
    <w:rsid w:val="003D2DC1"/>
    <w:rsid w:val="003D69D0"/>
    <w:rsid w:val="003F2918"/>
    <w:rsid w:val="003F3944"/>
    <w:rsid w:val="003F430E"/>
    <w:rsid w:val="0041088C"/>
    <w:rsid w:val="00420457"/>
    <w:rsid w:val="00420A38"/>
    <w:rsid w:val="00431B19"/>
    <w:rsid w:val="004661AD"/>
    <w:rsid w:val="004D1D85"/>
    <w:rsid w:val="004D3C3A"/>
    <w:rsid w:val="004E1CD1"/>
    <w:rsid w:val="004F3E12"/>
    <w:rsid w:val="005107EB"/>
    <w:rsid w:val="00521345"/>
    <w:rsid w:val="00526DF0"/>
    <w:rsid w:val="00545CC4"/>
    <w:rsid w:val="00550387"/>
    <w:rsid w:val="00551FFF"/>
    <w:rsid w:val="005607A2"/>
    <w:rsid w:val="0057198B"/>
    <w:rsid w:val="00597FAE"/>
    <w:rsid w:val="005B32A3"/>
    <w:rsid w:val="005C0D44"/>
    <w:rsid w:val="005C566C"/>
    <w:rsid w:val="005C7E69"/>
    <w:rsid w:val="005E262D"/>
    <w:rsid w:val="005F23D3"/>
    <w:rsid w:val="005F7E20"/>
    <w:rsid w:val="00620524"/>
    <w:rsid w:val="0066320C"/>
    <w:rsid w:val="006652C3"/>
    <w:rsid w:val="00673B38"/>
    <w:rsid w:val="00681C9B"/>
    <w:rsid w:val="00691FD0"/>
    <w:rsid w:val="00692148"/>
    <w:rsid w:val="006B24D6"/>
    <w:rsid w:val="006C5948"/>
    <w:rsid w:val="006F2A74"/>
    <w:rsid w:val="007118F5"/>
    <w:rsid w:val="00712AA4"/>
    <w:rsid w:val="00721AA1"/>
    <w:rsid w:val="00724B67"/>
    <w:rsid w:val="007547F8"/>
    <w:rsid w:val="00760BC3"/>
    <w:rsid w:val="00765622"/>
    <w:rsid w:val="00770B6C"/>
    <w:rsid w:val="007761E8"/>
    <w:rsid w:val="007839A5"/>
    <w:rsid w:val="00783FEA"/>
    <w:rsid w:val="007C0C56"/>
    <w:rsid w:val="007C2731"/>
    <w:rsid w:val="0080294B"/>
    <w:rsid w:val="008153EE"/>
    <w:rsid w:val="00816953"/>
    <w:rsid w:val="0082480E"/>
    <w:rsid w:val="00850293"/>
    <w:rsid w:val="00851373"/>
    <w:rsid w:val="00851BA6"/>
    <w:rsid w:val="00853205"/>
    <w:rsid w:val="0085654D"/>
    <w:rsid w:val="00857CB8"/>
    <w:rsid w:val="00861160"/>
    <w:rsid w:val="0086654F"/>
    <w:rsid w:val="008A356F"/>
    <w:rsid w:val="008A4653"/>
    <w:rsid w:val="008A4717"/>
    <w:rsid w:val="008A50CC"/>
    <w:rsid w:val="008C23D5"/>
    <w:rsid w:val="008C478D"/>
    <w:rsid w:val="008D1694"/>
    <w:rsid w:val="008D79CB"/>
    <w:rsid w:val="008F07BC"/>
    <w:rsid w:val="0092692B"/>
    <w:rsid w:val="00943E9C"/>
    <w:rsid w:val="00953F4D"/>
    <w:rsid w:val="00960BB8"/>
    <w:rsid w:val="00964F5C"/>
    <w:rsid w:val="00974BCF"/>
    <w:rsid w:val="009831C0"/>
    <w:rsid w:val="00A0389B"/>
    <w:rsid w:val="00A446C9"/>
    <w:rsid w:val="00A635D6"/>
    <w:rsid w:val="00A8553A"/>
    <w:rsid w:val="00A93AED"/>
    <w:rsid w:val="00AA2FDF"/>
    <w:rsid w:val="00AE5FCB"/>
    <w:rsid w:val="00B226F2"/>
    <w:rsid w:val="00B274DF"/>
    <w:rsid w:val="00B3223F"/>
    <w:rsid w:val="00B56BDF"/>
    <w:rsid w:val="00B65812"/>
    <w:rsid w:val="00B85CD6"/>
    <w:rsid w:val="00B90A27"/>
    <w:rsid w:val="00B9554D"/>
    <w:rsid w:val="00B9748F"/>
    <w:rsid w:val="00BB2B9F"/>
    <w:rsid w:val="00BB7D9E"/>
    <w:rsid w:val="00BC39C5"/>
    <w:rsid w:val="00BD3CB8"/>
    <w:rsid w:val="00BD4E6F"/>
    <w:rsid w:val="00BF32F0"/>
    <w:rsid w:val="00BF4DCE"/>
    <w:rsid w:val="00C05CE5"/>
    <w:rsid w:val="00C21897"/>
    <w:rsid w:val="00C404A2"/>
    <w:rsid w:val="00C6171E"/>
    <w:rsid w:val="00C75136"/>
    <w:rsid w:val="00C83FBF"/>
    <w:rsid w:val="00CA6F2C"/>
    <w:rsid w:val="00CF13BF"/>
    <w:rsid w:val="00CF1871"/>
    <w:rsid w:val="00D1133E"/>
    <w:rsid w:val="00D17A34"/>
    <w:rsid w:val="00D26628"/>
    <w:rsid w:val="00D332B3"/>
    <w:rsid w:val="00D55207"/>
    <w:rsid w:val="00D5719D"/>
    <w:rsid w:val="00D92B45"/>
    <w:rsid w:val="00D95962"/>
    <w:rsid w:val="00DC389B"/>
    <w:rsid w:val="00DD20D0"/>
    <w:rsid w:val="00DE2FEE"/>
    <w:rsid w:val="00DF1EAF"/>
    <w:rsid w:val="00E00BE9"/>
    <w:rsid w:val="00E22A11"/>
    <w:rsid w:val="00E31E5C"/>
    <w:rsid w:val="00E558C3"/>
    <w:rsid w:val="00E55927"/>
    <w:rsid w:val="00E8195D"/>
    <w:rsid w:val="00E81999"/>
    <w:rsid w:val="00E912A6"/>
    <w:rsid w:val="00EA4844"/>
    <w:rsid w:val="00EA4D9C"/>
    <w:rsid w:val="00EA5A97"/>
    <w:rsid w:val="00EB75EE"/>
    <w:rsid w:val="00EE4C1D"/>
    <w:rsid w:val="00EF2DBC"/>
    <w:rsid w:val="00EF3685"/>
    <w:rsid w:val="00F159EB"/>
    <w:rsid w:val="00F25BF4"/>
    <w:rsid w:val="00F267DB"/>
    <w:rsid w:val="00F46F6F"/>
    <w:rsid w:val="00F60608"/>
    <w:rsid w:val="00F62217"/>
    <w:rsid w:val="00FB17A9"/>
    <w:rsid w:val="00FB527C"/>
    <w:rsid w:val="00FB6F75"/>
    <w:rsid w:val="00FC0EB3"/>
    <w:rsid w:val="00FC296D"/>
    <w:rsid w:val="00FD0D25"/>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D130D-CB2A-4C13-84C4-3AF515FD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Pages>
  <Words>1049</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19</cp:revision>
  <cp:lastPrinted>2015-03-13T12:24:00Z</cp:lastPrinted>
  <dcterms:created xsi:type="dcterms:W3CDTF">2015-03-09T19:53:00Z</dcterms:created>
  <dcterms:modified xsi:type="dcterms:W3CDTF">2015-03-13T13:57:00Z</dcterms:modified>
</cp:coreProperties>
</file>