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5191A2A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="000049D8" w:rsidRPr="007A395D">
        <w:rPr>
          <w:rFonts w:ascii="Calibri" w:hAnsi="Calibri"/>
        </w:rPr>
        <w:t xml:space="preserve">  </w:t>
      </w:r>
      <w:r w:rsidR="00D30FFC">
        <w:rPr>
          <w:rFonts w:ascii="Calibri" w:hAnsi="Calibri"/>
        </w:rPr>
        <w:t>DTEC4</w:t>
      </w:r>
      <w:r w:rsidRPr="007A395D">
        <w:rPr>
          <w:rFonts w:ascii="Calibri" w:hAnsi="Calibri"/>
        </w:rPr>
        <w:t>-</w:t>
      </w:r>
      <w:r w:rsidR="00435EA1">
        <w:rPr>
          <w:rFonts w:ascii="Calibri" w:hAnsi="Calibri"/>
        </w:rPr>
        <w:t>6.2.0.1</w:t>
      </w:r>
      <w:r w:rsidR="00050473">
        <w:rPr>
          <w:rFonts w:ascii="Calibri" w:hAnsi="Calibri"/>
        </w:rPr>
        <w:t>4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29EBE53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C35942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5847426" w:rsidR="0080294B" w:rsidRPr="007A395D" w:rsidRDefault="00D30FF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5D625997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</w:p>
    <w:p w14:paraId="1AB3E246" w14:textId="2BDB8A23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="007E6CB3" w:rsidRPr="007E6CB3">
        <w:rPr>
          <w:rFonts w:ascii="Calibri" w:hAnsi="Calibri"/>
          <w:lang w:val="en-US"/>
        </w:rPr>
        <w:t>DTEC 6.3.7</w:t>
      </w:r>
    </w:p>
    <w:p w14:paraId="01FC5420" w14:textId="6E193D27" w:rsidR="00362CD9" w:rsidRDefault="00362CD9" w:rsidP="002558BD">
      <w:pPr>
        <w:pStyle w:val="BodyText"/>
        <w:tabs>
          <w:tab w:val="left" w:pos="2835"/>
        </w:tabs>
        <w:spacing w:after="0"/>
        <w:jc w:val="left"/>
        <w:rPr>
          <w:rFonts w:ascii="Calibri" w:hAnsi="Calibri"/>
          <w:lang w:eastAsia="ja-JP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2558BD">
        <w:rPr>
          <w:rFonts w:ascii="Calibri" w:hAnsi="Calibri"/>
          <w:lang w:eastAsia="ja-JP"/>
        </w:rPr>
        <w:t xml:space="preserve">Stefan Pielmeier, Albatros-Tech representing </w:t>
      </w:r>
      <w:proofErr w:type="spellStart"/>
      <w:r w:rsidR="002558BD">
        <w:rPr>
          <w:rFonts w:ascii="Calibri" w:hAnsi="Calibri"/>
          <w:lang w:eastAsia="ja-JP"/>
        </w:rPr>
        <w:t>Sternula</w:t>
      </w:r>
      <w:proofErr w:type="spellEnd"/>
      <w:r w:rsidR="002558BD">
        <w:rPr>
          <w:rFonts w:ascii="Calibri" w:hAnsi="Calibri"/>
          <w:lang w:eastAsia="ja-JP"/>
        </w:rPr>
        <w:t xml:space="preserve"> A/S, </w:t>
      </w:r>
    </w:p>
    <w:p w14:paraId="452D99BA" w14:textId="05C4E6B3" w:rsidR="002558BD" w:rsidRPr="007A395D" w:rsidRDefault="002558BD" w:rsidP="002558BD">
      <w:pPr>
        <w:pStyle w:val="BodyText"/>
        <w:tabs>
          <w:tab w:val="left" w:pos="2835"/>
        </w:tabs>
        <w:spacing w:after="0"/>
        <w:jc w:val="left"/>
        <w:rPr>
          <w:rFonts w:ascii="Calibri" w:hAnsi="Calibri"/>
          <w:color w:val="FF0000"/>
        </w:rPr>
      </w:pPr>
      <w:r>
        <w:rPr>
          <w:rFonts w:ascii="Calibri" w:hAnsi="Calibri"/>
          <w:lang w:eastAsia="ja-JP"/>
        </w:rPr>
        <w:tab/>
        <w:t>In the role as chair for the RTCM Special Committee SC139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73B18BD5" w14:textId="23DCC9DA" w:rsidR="002558BD" w:rsidRDefault="002558BD" w:rsidP="002558BD">
      <w:pPr>
        <w:pStyle w:val="Title"/>
        <w:rPr>
          <w:rFonts w:ascii="Calibri" w:hAnsi="Calibri"/>
          <w:color w:val="0070C0"/>
          <w:lang w:eastAsia="ja-JP"/>
        </w:rPr>
      </w:pPr>
      <w:r>
        <w:rPr>
          <w:rFonts w:ascii="Calibri" w:hAnsi="Calibri"/>
          <w:color w:val="0070C0"/>
          <w:lang w:eastAsia="ja-JP"/>
        </w:rPr>
        <w:t>New Standard published on Maritime Messaging Service</w:t>
      </w:r>
    </w:p>
    <w:p w14:paraId="56490FAC" w14:textId="79BB24B6" w:rsidR="002558BD" w:rsidRPr="002558BD" w:rsidRDefault="00DA1E06" w:rsidP="002558BD">
      <w:pPr>
        <w:pStyle w:val="Title"/>
        <w:rPr>
          <w:rFonts w:ascii="Calibri" w:hAnsi="Calibri"/>
          <w:color w:val="0070C0"/>
          <w:lang w:eastAsia="ja-JP"/>
        </w:rPr>
      </w:pPr>
      <w:r>
        <w:rPr>
          <w:rFonts w:ascii="Calibri" w:hAnsi="Calibri"/>
          <w:color w:val="0070C0"/>
          <w:lang w:eastAsia="ja-JP"/>
        </w:rPr>
        <w:t>i</w:t>
      </w:r>
      <w:r w:rsidR="002558BD">
        <w:rPr>
          <w:rFonts w:ascii="Calibri" w:hAnsi="Calibri"/>
          <w:color w:val="0070C0"/>
          <w:lang w:eastAsia="ja-JP"/>
        </w:rPr>
        <w:t>n the context of the Maritime Connectivity Platform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0A458302" w14:textId="61FF7DB3" w:rsidR="007E6CB3" w:rsidRDefault="002558BD" w:rsidP="007E6CB3">
      <w:pPr>
        <w:spacing w:after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RTCM </w:t>
      </w:r>
      <w:r w:rsidR="005963F0">
        <w:rPr>
          <w:rFonts w:asciiTheme="minorHAnsi" w:hAnsiTheme="minorHAnsi" w:cstheme="minorHAnsi"/>
        </w:rPr>
        <w:t xml:space="preserve">with the input from the Maritime Connectivity Consortium </w:t>
      </w:r>
      <w:r>
        <w:rPr>
          <w:rFonts w:asciiTheme="minorHAnsi" w:hAnsiTheme="minorHAnsi" w:cstheme="minorHAnsi"/>
        </w:rPr>
        <w:t>since 202</w:t>
      </w:r>
      <w:r w:rsidR="005963F0">
        <w:rPr>
          <w:rFonts w:asciiTheme="minorHAnsi" w:hAnsiTheme="minorHAnsi" w:cstheme="minorHAnsi"/>
        </w:rPr>
        <w:t>3</w:t>
      </w:r>
      <w:r>
        <w:rPr>
          <w:rFonts w:asciiTheme="minorHAnsi" w:hAnsiTheme="minorHAnsi" w:cstheme="minorHAnsi"/>
        </w:rPr>
        <w:t xml:space="preserve"> is developing a new standard on </w:t>
      </w:r>
      <w:r w:rsidR="007C16DF">
        <w:rPr>
          <w:rFonts w:asciiTheme="minorHAnsi" w:hAnsiTheme="minorHAnsi" w:cstheme="minorHAnsi"/>
        </w:rPr>
        <w:t xml:space="preserve">a </w:t>
      </w:r>
      <w:r>
        <w:rPr>
          <w:rFonts w:asciiTheme="minorHAnsi" w:hAnsiTheme="minorHAnsi" w:cstheme="minorHAnsi"/>
        </w:rPr>
        <w:t xml:space="preserve">Maritime Messaging Service to complement the Maritime Connectivity Platform with a </w:t>
      </w:r>
      <w:r w:rsidR="007C16DF">
        <w:rPr>
          <w:rFonts w:asciiTheme="minorHAnsi" w:hAnsiTheme="minorHAnsi" w:cstheme="minorHAnsi"/>
        </w:rPr>
        <w:t xml:space="preserve">not-only-internet based </w:t>
      </w:r>
      <w:r>
        <w:rPr>
          <w:rFonts w:asciiTheme="minorHAnsi" w:hAnsiTheme="minorHAnsi" w:cstheme="minorHAnsi"/>
        </w:rPr>
        <w:t>means of transport for digital maritime services.</w:t>
      </w:r>
    </w:p>
    <w:p w14:paraId="15D0D00D" w14:textId="54669196" w:rsidR="002558BD" w:rsidRDefault="002558BD" w:rsidP="007E6CB3">
      <w:pPr>
        <w:spacing w:after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The work led to the first version of that new standard being published</w:t>
      </w:r>
      <w:r w:rsidR="0042372D">
        <w:rPr>
          <w:rFonts w:asciiTheme="minorHAnsi" w:hAnsiTheme="minorHAnsi" w:cstheme="minorHAnsi"/>
        </w:rPr>
        <w:t xml:space="preserve"> today 2025-03-07.</w:t>
      </w:r>
    </w:p>
    <w:p w14:paraId="5E645690" w14:textId="11F1C6A1" w:rsidR="002558BD" w:rsidRDefault="002558BD" w:rsidP="007E6CB3">
      <w:pPr>
        <w:spacing w:after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RTCM is encouraging the maritime world to consider using that standard broadly for the transport of all </w:t>
      </w:r>
      <w:r w:rsidR="00EF2D76">
        <w:rPr>
          <w:rFonts w:asciiTheme="minorHAnsi" w:hAnsiTheme="minorHAnsi" w:cstheme="minorHAnsi"/>
        </w:rPr>
        <w:t>kinds</w:t>
      </w:r>
      <w:r>
        <w:rPr>
          <w:rFonts w:asciiTheme="minorHAnsi" w:hAnsiTheme="minorHAnsi" w:cstheme="minorHAnsi"/>
        </w:rPr>
        <w:t xml:space="preserve"> of maritime services,</w:t>
      </w:r>
      <w:r w:rsidR="0042372D">
        <w:rPr>
          <w:rFonts w:asciiTheme="minorHAnsi" w:hAnsiTheme="minorHAnsi" w:cstheme="minorHAnsi"/>
        </w:rPr>
        <w:t xml:space="preserve"> embracing </w:t>
      </w:r>
      <w:r>
        <w:rPr>
          <w:rFonts w:asciiTheme="minorHAnsi" w:hAnsiTheme="minorHAnsi" w:cstheme="minorHAnsi"/>
        </w:rPr>
        <w:t>also S-100 based servi</w:t>
      </w:r>
      <w:r w:rsidR="0042372D">
        <w:rPr>
          <w:rFonts w:asciiTheme="minorHAnsi" w:hAnsiTheme="minorHAnsi" w:cstheme="minorHAnsi"/>
        </w:rPr>
        <w:t>ces through the IEC 63173-2 SECOM interface</w:t>
      </w:r>
      <w:r>
        <w:rPr>
          <w:rFonts w:asciiTheme="minorHAnsi" w:hAnsiTheme="minorHAnsi" w:cstheme="minorHAnsi"/>
        </w:rPr>
        <w:t>.</w:t>
      </w:r>
    </w:p>
    <w:p w14:paraId="7BAEB0C2" w14:textId="7DF70F66" w:rsidR="002558BD" w:rsidRPr="007E6CB3" w:rsidRDefault="002558BD" w:rsidP="007E6CB3">
      <w:pPr>
        <w:spacing w:after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The MMS is a </w:t>
      </w:r>
      <w:r w:rsidR="00B40B1D">
        <w:rPr>
          <w:rFonts w:asciiTheme="minorHAnsi" w:hAnsiTheme="minorHAnsi" w:cstheme="minorHAnsi"/>
        </w:rPr>
        <w:t xml:space="preserve">robust, </w:t>
      </w:r>
      <w:r>
        <w:rPr>
          <w:rFonts w:asciiTheme="minorHAnsi" w:hAnsiTheme="minorHAnsi" w:cstheme="minorHAnsi"/>
        </w:rPr>
        <w:t xml:space="preserve">resilient, flexible </w:t>
      </w:r>
      <w:r w:rsidR="00EF2D76">
        <w:rPr>
          <w:rFonts w:asciiTheme="minorHAnsi" w:hAnsiTheme="minorHAnsi" w:cstheme="minorHAnsi"/>
        </w:rPr>
        <w:t>subscription-based</w:t>
      </w:r>
      <w:r w:rsidR="004D0BBA">
        <w:rPr>
          <w:rFonts w:asciiTheme="minorHAnsi" w:hAnsiTheme="minorHAnsi" w:cstheme="minorHAnsi"/>
        </w:rPr>
        <w:t xml:space="preserve"> store-and-forward </w:t>
      </w:r>
      <w:r>
        <w:rPr>
          <w:rFonts w:asciiTheme="minorHAnsi" w:hAnsiTheme="minorHAnsi" w:cstheme="minorHAnsi"/>
        </w:rPr>
        <w:t xml:space="preserve">overlay network, </w:t>
      </w:r>
      <w:r w:rsidR="004D0BBA">
        <w:rPr>
          <w:rFonts w:asciiTheme="minorHAnsi" w:hAnsiTheme="minorHAnsi" w:cstheme="minorHAnsi"/>
        </w:rPr>
        <w:t xml:space="preserve">designed to </w:t>
      </w:r>
      <w:r>
        <w:rPr>
          <w:rFonts w:asciiTheme="minorHAnsi" w:hAnsiTheme="minorHAnsi" w:cstheme="minorHAnsi"/>
        </w:rPr>
        <w:t xml:space="preserve">allow transport of </w:t>
      </w:r>
      <w:r w:rsidR="004D0BBA">
        <w:rPr>
          <w:rFonts w:asciiTheme="minorHAnsi" w:hAnsiTheme="minorHAnsi" w:cstheme="minorHAnsi"/>
        </w:rPr>
        <w:t xml:space="preserve">trusted </w:t>
      </w:r>
      <w:r>
        <w:rPr>
          <w:rFonts w:asciiTheme="minorHAnsi" w:hAnsiTheme="minorHAnsi" w:cstheme="minorHAnsi"/>
        </w:rPr>
        <w:t xml:space="preserve">digital maritime services </w:t>
      </w:r>
      <w:r w:rsidR="004D0BBA">
        <w:rPr>
          <w:rFonts w:asciiTheme="minorHAnsi" w:hAnsiTheme="minorHAnsi" w:cstheme="minorHAnsi"/>
        </w:rPr>
        <w:t>over VDES, NAVDAT and internet connections</w:t>
      </w:r>
      <w:r w:rsidR="0042372D">
        <w:rPr>
          <w:rFonts w:asciiTheme="minorHAnsi" w:hAnsiTheme="minorHAnsi" w:cstheme="minorHAnsi"/>
        </w:rPr>
        <w:t>, embracing all forms of direct communication enabled by these (e.g. ship-to-ship, ship-to-</w:t>
      </w:r>
      <w:proofErr w:type="spellStart"/>
      <w:r w:rsidR="0042372D">
        <w:rPr>
          <w:rFonts w:asciiTheme="minorHAnsi" w:hAnsiTheme="minorHAnsi" w:cstheme="minorHAnsi"/>
        </w:rPr>
        <w:t>AtoN</w:t>
      </w:r>
      <w:proofErr w:type="spellEnd"/>
      <w:r w:rsidR="0042372D">
        <w:rPr>
          <w:rFonts w:asciiTheme="minorHAnsi" w:hAnsiTheme="minorHAnsi" w:cstheme="minorHAnsi"/>
        </w:rPr>
        <w:t xml:space="preserve"> directly)</w:t>
      </w:r>
      <w:r w:rsidR="004D0BBA">
        <w:rPr>
          <w:rFonts w:asciiTheme="minorHAnsi" w:hAnsiTheme="minorHAnsi" w:cstheme="minorHAnsi"/>
        </w:rPr>
        <w:t>.</w:t>
      </w:r>
    </w:p>
    <w:p w14:paraId="3C575A26" w14:textId="3E8F6B8B" w:rsidR="001C44A3" w:rsidRPr="00605E43" w:rsidRDefault="002558BD" w:rsidP="00C35942">
      <w:pPr>
        <w:pStyle w:val="Heading1"/>
      </w:pPr>
      <w:r>
        <w:t>Action proposed to the committee</w:t>
      </w:r>
    </w:p>
    <w:p w14:paraId="164D4D9D" w14:textId="19968866" w:rsidR="004D0BBA" w:rsidRDefault="004D0BBA" w:rsidP="004D0BBA">
      <w:pPr>
        <w:pStyle w:val="Heading2"/>
      </w:pPr>
      <w:r>
        <w:t>Update of G1117</w:t>
      </w:r>
    </w:p>
    <w:p w14:paraId="5D612AD9" w14:textId="16601531" w:rsidR="002A2D92" w:rsidRDefault="002A2D92" w:rsidP="002A2D92">
      <w:pPr>
        <w:pStyle w:val="BodyText"/>
        <w:rPr>
          <w:rFonts w:asciiTheme="minorHAnsi" w:hAnsiTheme="minorHAnsi" w:cstheme="minorHAnsi"/>
        </w:rPr>
      </w:pPr>
      <w:r w:rsidRPr="002A2D92">
        <w:rPr>
          <w:rFonts w:asciiTheme="minorHAnsi" w:hAnsiTheme="minorHAnsi" w:cstheme="minorHAnsi"/>
        </w:rPr>
        <w:t xml:space="preserve">Update G1117 to be in line with the standard for the short introduction to </w:t>
      </w:r>
      <w:r w:rsidR="00EF2D76" w:rsidRPr="002A2D92">
        <w:rPr>
          <w:rFonts w:asciiTheme="minorHAnsi" w:hAnsiTheme="minorHAnsi" w:cstheme="minorHAnsi"/>
        </w:rPr>
        <w:t>MMS and</w:t>
      </w:r>
      <w:r w:rsidRPr="002A2D92">
        <w:rPr>
          <w:rFonts w:asciiTheme="minorHAnsi" w:hAnsiTheme="minorHAnsi" w:cstheme="minorHAnsi"/>
        </w:rPr>
        <w:t xml:space="preserve"> refer to the new standard for details.</w:t>
      </w:r>
    </w:p>
    <w:p w14:paraId="347D0AFE" w14:textId="6C7538D4" w:rsidR="004D0BBA" w:rsidRDefault="004D0BBA" w:rsidP="004D0BBA">
      <w:pPr>
        <w:pStyle w:val="Heading2"/>
      </w:pPr>
      <w:r>
        <w:t>Update of Standards and Recommendations</w:t>
      </w:r>
    </w:p>
    <w:p w14:paraId="56AFEE5D" w14:textId="358BF732" w:rsidR="00E67723" w:rsidRDefault="00E67723" w:rsidP="002A2D92">
      <w:pPr>
        <w:pStyle w:val="BodyTex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Consider updat</w:t>
      </w:r>
      <w:r w:rsidR="00E04B33">
        <w:rPr>
          <w:rFonts w:asciiTheme="minorHAnsi" w:hAnsiTheme="minorHAnsi" w:cstheme="minorHAnsi"/>
        </w:rPr>
        <w:t>ing the related standards and recommendations.</w:t>
      </w:r>
    </w:p>
    <w:p w14:paraId="61977151" w14:textId="5F5C9863" w:rsidR="004D0BBA" w:rsidRDefault="004D0BBA" w:rsidP="004D0BBA">
      <w:pPr>
        <w:pStyle w:val="Heading2"/>
      </w:pPr>
      <w:r>
        <w:t>Use of the MMS</w:t>
      </w:r>
    </w:p>
    <w:p w14:paraId="37ABF2A4" w14:textId="70E5E29E" w:rsidR="004D0BBA" w:rsidRDefault="004D0BBA" w:rsidP="004D0BBA">
      <w:pPr>
        <w:pStyle w:val="BodyTex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The committee is invited </w:t>
      </w:r>
      <w:r w:rsidR="00FB24D8">
        <w:rPr>
          <w:rFonts w:asciiTheme="minorHAnsi" w:hAnsiTheme="minorHAnsi" w:cstheme="minorHAnsi"/>
        </w:rPr>
        <w:t>considering</w:t>
      </w:r>
      <w:r>
        <w:rPr>
          <w:rFonts w:asciiTheme="minorHAnsi" w:hAnsiTheme="minorHAnsi" w:cstheme="minorHAnsi"/>
        </w:rPr>
        <w:t xml:space="preserve"> the MMS in its upcoming </w:t>
      </w:r>
      <w:r w:rsidR="00E45CC3">
        <w:rPr>
          <w:rFonts w:asciiTheme="minorHAnsi" w:hAnsiTheme="minorHAnsi" w:cstheme="minorHAnsi"/>
        </w:rPr>
        <w:t>guidelines</w:t>
      </w:r>
      <w:r>
        <w:rPr>
          <w:rFonts w:asciiTheme="minorHAnsi" w:hAnsiTheme="minorHAnsi" w:cstheme="minorHAnsi"/>
        </w:rPr>
        <w:t xml:space="preserve"> for:</w:t>
      </w:r>
    </w:p>
    <w:p w14:paraId="6065F8C3" w14:textId="608551C3" w:rsidR="004D0BBA" w:rsidRDefault="004D0BBA" w:rsidP="004D0BBA">
      <w:pPr>
        <w:pStyle w:val="BodyText"/>
        <w:numPr>
          <w:ilvl w:val="0"/>
          <w:numId w:val="45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VDES authentication (transport of certificates)</w:t>
      </w:r>
      <w:r w:rsidR="00FB24D8">
        <w:rPr>
          <w:rFonts w:asciiTheme="minorHAnsi" w:hAnsiTheme="minorHAnsi" w:cstheme="minorHAnsi"/>
        </w:rPr>
        <w:t>, e.g. by defining an MMS Maritime Identity Registry query and revocation list update service,</w:t>
      </w:r>
    </w:p>
    <w:p w14:paraId="2EB06BBA" w14:textId="753EB3F7" w:rsidR="004D0BBA" w:rsidRDefault="00FB24D8" w:rsidP="004D0BBA">
      <w:pPr>
        <w:pStyle w:val="BodyText"/>
        <w:numPr>
          <w:ilvl w:val="0"/>
          <w:numId w:val="45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VDES resource sharing for terrestrial and satellite networks, as an inter-network routing resource that can allow/disallow the transport of services based on roaming agreements between terrestrial or satellite network providers, and</w:t>
      </w:r>
    </w:p>
    <w:p w14:paraId="3A489B6E" w14:textId="1BC48844" w:rsidR="00FB24D8" w:rsidRDefault="00FB24D8" w:rsidP="004D0BBA">
      <w:pPr>
        <w:pStyle w:val="BodyText"/>
        <w:numPr>
          <w:ilvl w:val="0"/>
          <w:numId w:val="45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VDES shore infrastructure guideline, </w:t>
      </w:r>
      <w:proofErr w:type="gramStart"/>
      <w:r>
        <w:rPr>
          <w:rFonts w:asciiTheme="minorHAnsi" w:hAnsiTheme="minorHAnsi" w:cstheme="minorHAnsi"/>
        </w:rPr>
        <w:t>taking into account</w:t>
      </w:r>
      <w:proofErr w:type="gramEnd"/>
      <w:r>
        <w:rPr>
          <w:rFonts w:asciiTheme="minorHAnsi" w:hAnsiTheme="minorHAnsi" w:cstheme="minorHAnsi"/>
        </w:rPr>
        <w:t xml:space="preserve"> the </w:t>
      </w:r>
      <w:r w:rsidR="00E45CC3">
        <w:rPr>
          <w:rFonts w:asciiTheme="minorHAnsi" w:hAnsiTheme="minorHAnsi" w:cstheme="minorHAnsi"/>
        </w:rPr>
        <w:t>mobility, routing and policing capabilities of MMS in the VDES Gateway node (as defined in MMS).</w:t>
      </w:r>
    </w:p>
    <w:p w14:paraId="68B6B50D" w14:textId="11C75955" w:rsidR="00E45CC3" w:rsidRDefault="00E45CC3" w:rsidP="00E45CC3">
      <w:pPr>
        <w:pStyle w:val="Heading2"/>
      </w:pPr>
      <w:r>
        <w:t>Feedback</w:t>
      </w:r>
    </w:p>
    <w:p w14:paraId="4BBA003A" w14:textId="77777777" w:rsidR="00A00958" w:rsidRDefault="00E45CC3" w:rsidP="00E45CC3">
      <w:pPr>
        <w:pStyle w:val="BodyTex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The DTEC committee is </w:t>
      </w:r>
      <w:r w:rsidR="00A00958">
        <w:rPr>
          <w:rFonts w:asciiTheme="minorHAnsi" w:hAnsiTheme="minorHAnsi" w:cstheme="minorHAnsi"/>
        </w:rPr>
        <w:t xml:space="preserve">invited </w:t>
      </w:r>
      <w:r>
        <w:rPr>
          <w:rFonts w:asciiTheme="minorHAnsi" w:hAnsiTheme="minorHAnsi" w:cstheme="minorHAnsi"/>
        </w:rPr>
        <w:t>to feedback</w:t>
      </w:r>
      <w:r w:rsidR="00A00958">
        <w:rPr>
          <w:rFonts w:asciiTheme="minorHAnsi" w:hAnsiTheme="minorHAnsi" w:cstheme="minorHAnsi"/>
        </w:rPr>
        <w:t>:</w:t>
      </w:r>
    </w:p>
    <w:p w14:paraId="3F121262" w14:textId="32545B87" w:rsidR="00A00958" w:rsidRDefault="00A00958" w:rsidP="00A00958">
      <w:pPr>
        <w:pStyle w:val="BodyText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questions,</w:t>
      </w:r>
    </w:p>
    <w:p w14:paraId="4EAD41A0" w14:textId="4098C032" w:rsidR="00A00958" w:rsidRDefault="00E45CC3" w:rsidP="00A00958">
      <w:pPr>
        <w:pStyle w:val="BodyText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findings, </w:t>
      </w:r>
    </w:p>
    <w:p w14:paraId="42E08A81" w14:textId="7A12079D" w:rsidR="00A00958" w:rsidRDefault="00E45CC3" w:rsidP="00A00958">
      <w:pPr>
        <w:pStyle w:val="BodyText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concerns</w:t>
      </w:r>
      <w:r w:rsidR="00A00958">
        <w:rPr>
          <w:rFonts w:asciiTheme="minorHAnsi" w:hAnsiTheme="minorHAnsi" w:cstheme="minorHAnsi"/>
        </w:rPr>
        <w:t>,</w:t>
      </w:r>
    </w:p>
    <w:p w14:paraId="446F77A1" w14:textId="248553B7" w:rsidR="00A00958" w:rsidRDefault="00E45CC3" w:rsidP="00A00958">
      <w:pPr>
        <w:pStyle w:val="BodyText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improvement proposals</w:t>
      </w:r>
      <w:r w:rsidR="00A00958">
        <w:rPr>
          <w:rFonts w:asciiTheme="minorHAnsi" w:hAnsiTheme="minorHAnsi" w:cstheme="minorHAnsi"/>
        </w:rPr>
        <w:t>, and/or</w:t>
      </w:r>
    </w:p>
    <w:p w14:paraId="0E984BDD" w14:textId="697C0EB4" w:rsidR="00A00958" w:rsidRPr="00A00958" w:rsidRDefault="00A00958" w:rsidP="00A00958">
      <w:pPr>
        <w:pStyle w:val="BodyText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additionally needed forms of transport</w:t>
      </w:r>
    </w:p>
    <w:p w14:paraId="7FE7550C" w14:textId="6706E551" w:rsidR="00E45CC3" w:rsidRPr="004D0BBA" w:rsidRDefault="00E45CC3" w:rsidP="00A00958">
      <w:pPr>
        <w:pStyle w:val="BodyTex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to RTCM. </w:t>
      </w:r>
    </w:p>
    <w:p w14:paraId="36D645BE" w14:textId="77777777" w:rsidR="00B56BDF" w:rsidRPr="007A395D" w:rsidRDefault="00B56BDF" w:rsidP="00C35942">
      <w:pPr>
        <w:pStyle w:val="Heading1"/>
      </w:pPr>
      <w:r w:rsidRPr="007A395D">
        <w:t>Related documents</w:t>
      </w:r>
    </w:p>
    <w:p w14:paraId="16AE6650" w14:textId="3CB903A6" w:rsidR="004D1D85" w:rsidRDefault="00E04B33" w:rsidP="00DA7959">
      <w:pPr>
        <w:pStyle w:val="BodyText"/>
        <w:rPr>
          <w:rFonts w:ascii="Calibri" w:hAnsi="Calibri"/>
          <w:lang w:eastAsia="en-US"/>
        </w:rPr>
      </w:pPr>
      <w:r>
        <w:rPr>
          <w:rFonts w:ascii="Calibri" w:hAnsi="Calibri"/>
          <w:lang w:eastAsia="ja-JP"/>
        </w:rPr>
        <w:t>IALA Guideline G1117.</w:t>
      </w:r>
      <w:r w:rsidR="00DA7959" w:rsidRPr="007A395D">
        <w:rPr>
          <w:rFonts w:ascii="Calibri" w:hAnsi="Calibri"/>
          <w:lang w:eastAsia="en-US"/>
        </w:rPr>
        <w:t xml:space="preserve"> </w:t>
      </w:r>
    </w:p>
    <w:p w14:paraId="10D50186" w14:textId="302FE258" w:rsidR="00285B4B" w:rsidRDefault="00285B4B" w:rsidP="00DA7959">
      <w:pPr>
        <w:pStyle w:val="BodyText"/>
        <w:rPr>
          <w:rFonts w:ascii="Calibri" w:hAnsi="Calibri"/>
          <w:lang w:eastAsia="en-US"/>
        </w:rPr>
      </w:pPr>
      <w:r>
        <w:rPr>
          <w:rFonts w:ascii="Calibri" w:hAnsi="Calibri"/>
          <w:lang w:eastAsia="en-US"/>
        </w:rPr>
        <w:t>The published RTCM STANDARD 13900.0</w:t>
      </w:r>
      <w:r w:rsidR="0042372D">
        <w:rPr>
          <w:rFonts w:ascii="Calibri" w:hAnsi="Calibri"/>
          <w:lang w:eastAsia="en-US"/>
        </w:rPr>
        <w:t xml:space="preserve">, attached here </w:t>
      </w:r>
      <w:r>
        <w:rPr>
          <w:rFonts w:ascii="Calibri" w:hAnsi="Calibri"/>
          <w:lang w:eastAsia="en-US"/>
        </w:rPr>
        <w:t>for the work in the DTEC committee.</w:t>
      </w:r>
    </w:p>
    <w:p w14:paraId="60C9D519" w14:textId="5A476857" w:rsidR="00285B4B" w:rsidRPr="007A395D" w:rsidRDefault="005B4A2F" w:rsidP="00DA7959">
      <w:pPr>
        <w:pStyle w:val="BodyText"/>
        <w:rPr>
          <w:rFonts w:ascii="Calibri" w:hAnsi="Calibri"/>
          <w:lang w:eastAsia="en-US"/>
        </w:rPr>
      </w:pPr>
      <w:r>
        <w:rPr>
          <w:rFonts w:ascii="Calibri" w:hAnsi="Calibri"/>
          <w:lang w:eastAsia="en-US"/>
        </w:rPr>
        <w:object w:dxaOrig="1105" w:dyaOrig="731" w14:anchorId="1DE37D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5.45pt;height:36.4pt" o:ole="">
            <v:imagedata r:id="rId11" o:title=""/>
          </v:shape>
          <o:OLEObject Type="Embed" ProgID="Acrobat.Document.DC" ShapeID="_x0000_i1027" DrawAspect="Icon" ObjectID="_1803193538" r:id="rId12"/>
        </w:object>
      </w:r>
    </w:p>
    <w:sectPr w:rsidR="00285B4B" w:rsidRPr="007A395D" w:rsidSect="0082480E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FFC066" w14:textId="77777777" w:rsidR="007006D5" w:rsidRDefault="007006D5" w:rsidP="00362CD9">
      <w:r>
        <w:separator/>
      </w:r>
    </w:p>
  </w:endnote>
  <w:endnote w:type="continuationSeparator" w:id="0">
    <w:p w14:paraId="14C86D7E" w14:textId="77777777" w:rsidR="007006D5" w:rsidRDefault="007006D5" w:rsidP="00362CD9">
      <w:r>
        <w:continuationSeparator/>
      </w:r>
    </w:p>
  </w:endnote>
  <w:endnote w:type="continuationNotice" w:id="1">
    <w:p w14:paraId="44B1C5D5" w14:textId="77777777" w:rsidR="007006D5" w:rsidRDefault="007006D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A723B5" w14:textId="77777777" w:rsidR="007006D5" w:rsidRDefault="007006D5" w:rsidP="00362CD9">
      <w:r>
        <w:separator/>
      </w:r>
    </w:p>
  </w:footnote>
  <w:footnote w:type="continuationSeparator" w:id="0">
    <w:p w14:paraId="7352042D" w14:textId="77777777" w:rsidR="007006D5" w:rsidRDefault="007006D5" w:rsidP="00362CD9">
      <w:r>
        <w:continuationSeparator/>
      </w:r>
    </w:p>
  </w:footnote>
  <w:footnote w:type="continuationNotice" w:id="1">
    <w:p w14:paraId="71DE53EF" w14:textId="77777777" w:rsidR="007006D5" w:rsidRDefault="007006D5"/>
  </w:footnote>
  <w:footnote w:id="2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00000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7" type="#_x0000_t136" alt="" style="position:absolute;margin-left:0;margin-top:0;width:623.85pt;height:65.65pt;rotation:315;z-index:-25165823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000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6" type="#_x0000_t136" alt="" style="position:absolute;left:0;text-align:left;margin-left:0;margin-top:0;width:623.85pt;height:65.65pt;rotation:315;z-index:-251658237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0000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alt="" style="position:absolute;left:0;text-align:left;margin-left:0;margin-top:0;width:623.85pt;height:65.65pt;rotation:315;z-index:-251658239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5497EEC"/>
    <w:multiLevelType w:val="hybridMultilevel"/>
    <w:tmpl w:val="E506C016"/>
    <w:lvl w:ilvl="0" w:tplc="C80045B0">
      <w:start w:val="16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8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4BCB6B77"/>
    <w:multiLevelType w:val="hybridMultilevel"/>
    <w:tmpl w:val="3258CE0C"/>
    <w:lvl w:ilvl="0" w:tplc="3C785C38">
      <w:start w:val="16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5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3"/>
  </w:num>
  <w:num w:numId="5" w16cid:durableId="561792413">
    <w:abstractNumId w:val="16"/>
  </w:num>
  <w:num w:numId="6" w16cid:durableId="732193860">
    <w:abstractNumId w:val="4"/>
  </w:num>
  <w:num w:numId="7" w16cid:durableId="1589921380">
    <w:abstractNumId w:val="25"/>
  </w:num>
  <w:num w:numId="8" w16cid:durableId="985203158">
    <w:abstractNumId w:val="11"/>
  </w:num>
  <w:num w:numId="9" w16cid:durableId="1542129151">
    <w:abstractNumId w:val="8"/>
  </w:num>
  <w:num w:numId="10" w16cid:durableId="1075708541">
    <w:abstractNumId w:val="18"/>
  </w:num>
  <w:num w:numId="11" w16cid:durableId="1538543149">
    <w:abstractNumId w:val="17"/>
  </w:num>
  <w:num w:numId="12" w16cid:durableId="1219785225">
    <w:abstractNumId w:val="15"/>
  </w:num>
  <w:num w:numId="13" w16cid:durableId="34818179">
    <w:abstractNumId w:val="24"/>
  </w:num>
  <w:num w:numId="14" w16cid:durableId="2060668843">
    <w:abstractNumId w:val="5"/>
  </w:num>
  <w:num w:numId="15" w16cid:durableId="1387685509">
    <w:abstractNumId w:val="26"/>
  </w:num>
  <w:num w:numId="16" w16cid:durableId="1578244919">
    <w:abstractNumId w:val="14"/>
  </w:num>
  <w:num w:numId="17" w16cid:durableId="1451389082">
    <w:abstractNumId w:val="6"/>
  </w:num>
  <w:num w:numId="18" w16cid:durableId="646936776">
    <w:abstractNumId w:val="21"/>
  </w:num>
  <w:num w:numId="19" w16cid:durableId="1439712991">
    <w:abstractNumId w:val="14"/>
  </w:num>
  <w:num w:numId="20" w16cid:durableId="841822363">
    <w:abstractNumId w:val="14"/>
  </w:num>
  <w:num w:numId="21" w16cid:durableId="1603949306">
    <w:abstractNumId w:val="14"/>
  </w:num>
  <w:num w:numId="22" w16cid:durableId="34040181">
    <w:abstractNumId w:val="14"/>
  </w:num>
  <w:num w:numId="23" w16cid:durableId="966854312">
    <w:abstractNumId w:val="22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20"/>
  </w:num>
  <w:num w:numId="34" w16cid:durableId="1037776188">
    <w:abstractNumId w:val="20"/>
  </w:num>
  <w:num w:numId="35" w16cid:durableId="1356810456">
    <w:abstractNumId w:val="20"/>
  </w:num>
  <w:num w:numId="36" w16cid:durableId="612519778">
    <w:abstractNumId w:val="12"/>
  </w:num>
  <w:num w:numId="37" w16cid:durableId="714161437">
    <w:abstractNumId w:val="5"/>
  </w:num>
  <w:num w:numId="38" w16cid:durableId="1329673660">
    <w:abstractNumId w:val="15"/>
  </w:num>
  <w:num w:numId="39" w16cid:durableId="109478696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3"/>
  </w:num>
  <w:num w:numId="45" w16cid:durableId="626818910">
    <w:abstractNumId w:val="19"/>
  </w:num>
  <w:num w:numId="46" w16cid:durableId="1018000524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50473"/>
    <w:rsid w:val="00070C13"/>
    <w:rsid w:val="000715C9"/>
    <w:rsid w:val="00084F33"/>
    <w:rsid w:val="000A2309"/>
    <w:rsid w:val="000A72B8"/>
    <w:rsid w:val="000A77A7"/>
    <w:rsid w:val="000B1707"/>
    <w:rsid w:val="000B622B"/>
    <w:rsid w:val="000C1B3E"/>
    <w:rsid w:val="000C349E"/>
    <w:rsid w:val="000F2584"/>
    <w:rsid w:val="000F72BA"/>
    <w:rsid w:val="00110AE7"/>
    <w:rsid w:val="00110C3F"/>
    <w:rsid w:val="00145519"/>
    <w:rsid w:val="00146E5F"/>
    <w:rsid w:val="00177F4D"/>
    <w:rsid w:val="00180DDA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8BD"/>
    <w:rsid w:val="00255CAA"/>
    <w:rsid w:val="00264305"/>
    <w:rsid w:val="00285B4B"/>
    <w:rsid w:val="002A0346"/>
    <w:rsid w:val="002A2D92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30866"/>
    <w:rsid w:val="003460B7"/>
    <w:rsid w:val="00356CD0"/>
    <w:rsid w:val="00362CD9"/>
    <w:rsid w:val="003704BE"/>
    <w:rsid w:val="00371694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2372D"/>
    <w:rsid w:val="00431B19"/>
    <w:rsid w:val="00431FC3"/>
    <w:rsid w:val="00432203"/>
    <w:rsid w:val="00435EA1"/>
    <w:rsid w:val="004661AD"/>
    <w:rsid w:val="00481DE9"/>
    <w:rsid w:val="004A6C1D"/>
    <w:rsid w:val="004D0BBA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73D62"/>
    <w:rsid w:val="00590E05"/>
    <w:rsid w:val="005963F0"/>
    <w:rsid w:val="005969F2"/>
    <w:rsid w:val="00597FAE"/>
    <w:rsid w:val="005B32A3"/>
    <w:rsid w:val="005B4A2F"/>
    <w:rsid w:val="005C0D44"/>
    <w:rsid w:val="005C566C"/>
    <w:rsid w:val="005C7E69"/>
    <w:rsid w:val="005E262D"/>
    <w:rsid w:val="005E36C5"/>
    <w:rsid w:val="005F23D3"/>
    <w:rsid w:val="005F5367"/>
    <w:rsid w:val="005F7E20"/>
    <w:rsid w:val="00605BAE"/>
    <w:rsid w:val="00605E43"/>
    <w:rsid w:val="006153BB"/>
    <w:rsid w:val="00620503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006D5"/>
    <w:rsid w:val="007025E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16DF"/>
    <w:rsid w:val="007C346C"/>
    <w:rsid w:val="007D53F7"/>
    <w:rsid w:val="007E6479"/>
    <w:rsid w:val="007E6CB3"/>
    <w:rsid w:val="0080294B"/>
    <w:rsid w:val="0082480E"/>
    <w:rsid w:val="00850293"/>
    <w:rsid w:val="00851373"/>
    <w:rsid w:val="00851BA6"/>
    <w:rsid w:val="0085654D"/>
    <w:rsid w:val="00861160"/>
    <w:rsid w:val="0086654F"/>
    <w:rsid w:val="00891767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9E02C4"/>
    <w:rsid w:val="009E60FF"/>
    <w:rsid w:val="00A00958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40B1D"/>
    <w:rsid w:val="00B56BDF"/>
    <w:rsid w:val="00B65812"/>
    <w:rsid w:val="00B85CD6"/>
    <w:rsid w:val="00B90723"/>
    <w:rsid w:val="00B90A27"/>
    <w:rsid w:val="00B9554D"/>
    <w:rsid w:val="00BA75DF"/>
    <w:rsid w:val="00BB2B9F"/>
    <w:rsid w:val="00BB7D9E"/>
    <w:rsid w:val="00BC2334"/>
    <w:rsid w:val="00BD3CB8"/>
    <w:rsid w:val="00BD4E6F"/>
    <w:rsid w:val="00BF32F0"/>
    <w:rsid w:val="00BF4DCE"/>
    <w:rsid w:val="00C05CE5"/>
    <w:rsid w:val="00C35942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0FFC"/>
    <w:rsid w:val="00D332B3"/>
    <w:rsid w:val="00D55207"/>
    <w:rsid w:val="00D81801"/>
    <w:rsid w:val="00D92B45"/>
    <w:rsid w:val="00D95962"/>
    <w:rsid w:val="00DA1E06"/>
    <w:rsid w:val="00DA7959"/>
    <w:rsid w:val="00DC389B"/>
    <w:rsid w:val="00DE0BBD"/>
    <w:rsid w:val="00DE2FEE"/>
    <w:rsid w:val="00DF1467"/>
    <w:rsid w:val="00DF56A1"/>
    <w:rsid w:val="00E00241"/>
    <w:rsid w:val="00E00BE9"/>
    <w:rsid w:val="00E04B33"/>
    <w:rsid w:val="00E2276C"/>
    <w:rsid w:val="00E22A11"/>
    <w:rsid w:val="00E31E5C"/>
    <w:rsid w:val="00E44DD2"/>
    <w:rsid w:val="00E45CC3"/>
    <w:rsid w:val="00E558C3"/>
    <w:rsid w:val="00E55927"/>
    <w:rsid w:val="00E60540"/>
    <w:rsid w:val="00E67723"/>
    <w:rsid w:val="00E912A6"/>
    <w:rsid w:val="00EA4844"/>
    <w:rsid w:val="00EA4D9C"/>
    <w:rsid w:val="00EA5A97"/>
    <w:rsid w:val="00EB2248"/>
    <w:rsid w:val="00EB75EE"/>
    <w:rsid w:val="00EC0046"/>
    <w:rsid w:val="00ED73F7"/>
    <w:rsid w:val="00EE3CC5"/>
    <w:rsid w:val="00EE4C1D"/>
    <w:rsid w:val="00EF2D76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24D8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EastAsia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uiPriority w:val="10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9" ma:contentTypeDescription="Create a new document." ma:contentTypeScope="" ma:versionID="75c9f3f451866b0d3c9120c8a094ca6d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15aae6c7c4885604f29bd56d2cee64f9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B6E22C6C-C021-4F70-9DF6-BBE4225F48BA}"/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387</Words>
  <Characters>2213</Characters>
  <Application>Microsoft Office Word</Application>
  <DocSecurity>0</DocSecurity>
  <Lines>52</Lines>
  <Paragraphs>42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21</cp:revision>
  <dcterms:created xsi:type="dcterms:W3CDTF">2025-02-21T12:00:00Z</dcterms:created>
  <dcterms:modified xsi:type="dcterms:W3CDTF">2025-03-11T09:19:00Z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