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B3903" w14:textId="2F106E2E" w:rsidR="0065150E" w:rsidRDefault="00177E2F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 w:rsidRPr="00177E2F">
        <w:rPr>
          <w:color w:val="00558C"/>
          <w:sz w:val="24"/>
          <w:szCs w:val="24"/>
        </w:rPr>
        <w:t>DTEC-6.2.1.</w:t>
      </w:r>
      <w:r w:rsidR="00A0047F">
        <w:rPr>
          <w:color w:val="00558C"/>
          <w:sz w:val="24"/>
          <w:szCs w:val="24"/>
        </w:rPr>
        <w:t>4</w:t>
      </w:r>
    </w:p>
    <w:p w14:paraId="7C8B3904" w14:textId="77777777" w:rsidR="0065150E" w:rsidRDefault="0065150E">
      <w:pPr>
        <w:pStyle w:val="BodyText"/>
        <w:tabs>
          <w:tab w:val="left" w:pos="2835"/>
        </w:tabs>
        <w:rPr>
          <w:rFonts w:ascii="Calibri" w:hAnsi="Calibri"/>
        </w:rPr>
      </w:pPr>
    </w:p>
    <w:p w14:paraId="7C8B3905" w14:textId="77777777" w:rsidR="0065150E" w:rsidRDefault="00177E2F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7C8B3906" w14:textId="77777777" w:rsidR="0065150E" w:rsidRDefault="00177E2F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7C8B3907" w14:textId="79BF4D81" w:rsidR="0065150E" w:rsidRDefault="00177E2F">
      <w:pPr>
        <w:pStyle w:val="BodyText"/>
        <w:tabs>
          <w:tab w:val="left" w:pos="1843"/>
        </w:tabs>
        <w:rPr>
          <w:rFonts w:ascii="Calibri" w:hAnsi="Calibri" w:cs="Arial"/>
          <w:b/>
        </w:rPr>
      </w:pPr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ARM</w:t>
      </w:r>
      <w:r>
        <w:rPr>
          <w:rFonts w:cs="Arial"/>
        </w:rPr>
        <w:tab/>
      </w:r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bookmarkStart w:id="0" w:name="_Hlk81060441"/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</w:t>
      </w:r>
      <w:bookmarkEnd w:id="0"/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Input</w:t>
      </w:r>
    </w:p>
    <w:p w14:paraId="7C8B3908" w14:textId="3A09ABB1" w:rsidR="0065150E" w:rsidRDefault="00177E2F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MS Gothic" w:eastAsia="MS Gothic" w:hAnsi="MS Gothic" w:cs="Arial"/>
          <w:b/>
        </w:rPr>
        <w:t>☒</w:t>
      </w:r>
      <w:r>
        <w:rPr>
          <w:rFonts w:cs="Arial"/>
        </w:rPr>
        <w:t xml:space="preserve"> DTEC</w:t>
      </w:r>
      <w:r>
        <w:rPr>
          <w:rFonts w:cs="Arial"/>
          <w:b/>
        </w:rPr>
        <w:tab/>
      </w:r>
      <w:r>
        <w:rPr>
          <w:rFonts w:ascii="MS Gothic" w:eastAsia="MS Gothic" w:hAnsi="MS Gothic" w:cs="Arial"/>
          <w:b/>
        </w:rPr>
        <w:t>☐</w:t>
      </w:r>
      <w:r>
        <w:rPr>
          <w:rFonts w:cs="Arial"/>
        </w:rPr>
        <w:t xml:space="preserve"> VTS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☒ Information</w:t>
      </w:r>
    </w:p>
    <w:p w14:paraId="7C8B3909" w14:textId="77777777" w:rsidR="0065150E" w:rsidRDefault="0065150E">
      <w:pPr>
        <w:pStyle w:val="BodyText"/>
        <w:tabs>
          <w:tab w:val="left" w:pos="2835"/>
        </w:tabs>
        <w:rPr>
          <w:rFonts w:ascii="Calibri" w:hAnsi="Calibri"/>
        </w:rPr>
      </w:pPr>
    </w:p>
    <w:p w14:paraId="7C8B390A" w14:textId="4FBDF8B8" w:rsidR="0065150E" w:rsidRDefault="00177E2F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Agenda item</w:t>
      </w:r>
      <w:r>
        <w:t xml:space="preserve"> </w:t>
      </w:r>
      <w:r>
        <w:rPr>
          <w:rStyle w:val="FootnoteReference"/>
          <w:sz w:val="22"/>
        </w:rPr>
        <w:footnoteReference w:id="1"/>
      </w:r>
      <w:r>
        <w:tab/>
      </w:r>
      <w:r>
        <w:tab/>
      </w:r>
      <w:r>
        <w:tab/>
        <w:t>6.2</w:t>
      </w:r>
    </w:p>
    <w:p w14:paraId="7C8B390B" w14:textId="77777777" w:rsidR="0065150E" w:rsidRDefault="00177E2F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  <w:t>…………………………………</w:t>
      </w:r>
    </w:p>
    <w:p w14:paraId="7C8B390C" w14:textId="77777777" w:rsidR="0065150E" w:rsidRDefault="00177E2F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AIVeNautics co</w:t>
      </w:r>
      <w:r>
        <w:rPr>
          <w:color w:val="000000"/>
        </w:rPr>
        <w:t>rp.</w:t>
      </w:r>
    </w:p>
    <w:p w14:paraId="7C8B390D" w14:textId="77777777" w:rsidR="0065150E" w:rsidRDefault="00177E2F">
      <w:pPr>
        <w:pStyle w:val="BodyText"/>
        <w:tabs>
          <w:tab w:val="left" w:pos="7860"/>
        </w:tabs>
        <w:rPr>
          <w:rFonts w:ascii="Calibri" w:hAnsi="Calibri"/>
        </w:rPr>
      </w:pPr>
      <w:r>
        <w:tab/>
      </w:r>
    </w:p>
    <w:p w14:paraId="7C8B390E" w14:textId="77777777" w:rsidR="0065150E" w:rsidRDefault="00177E2F">
      <w:pPr>
        <w:pStyle w:val="Title"/>
      </w:pPr>
      <w:r>
        <w:t>Report on mcp related work conducted in international projects</w:t>
      </w:r>
    </w:p>
    <w:p w14:paraId="7C8B390F" w14:textId="77777777" w:rsidR="0065150E" w:rsidRDefault="00177E2F">
      <w:pPr>
        <w:pStyle w:val="Heading1"/>
      </w:pPr>
      <w:r>
        <w:t>Summary</w:t>
      </w:r>
    </w:p>
    <w:p w14:paraId="7C8B3910" w14:textId="77777777" w:rsidR="0065150E" w:rsidRDefault="00177E2F">
      <w:pPr>
        <w:pStyle w:val="BodyText"/>
        <w:rPr>
          <w:rFonts w:ascii="Calibri" w:hAnsi="Calibri"/>
        </w:rPr>
      </w:pPr>
      <w:r>
        <w:t>This information paper simply informs about MCP related work conducted by AIVeNautics corp. and their Danish partner company Digital Maritime Consultancy (DMC) in two international projects</w:t>
      </w:r>
    </w:p>
    <w:p w14:paraId="7C8B3911" w14:textId="77777777" w:rsidR="0065150E" w:rsidRDefault="00177E2F">
      <w:pPr>
        <w:pStyle w:val="BodyText"/>
        <w:rPr>
          <w:rFonts w:ascii="Calibri" w:hAnsi="Calibri"/>
        </w:rPr>
      </w:pPr>
      <w:r>
        <w:tab/>
        <w:t>The EU BSR project MaDaMe</w:t>
      </w:r>
    </w:p>
    <w:p w14:paraId="7C8B3912" w14:textId="77777777" w:rsidR="0065150E" w:rsidRDefault="00177E2F">
      <w:pPr>
        <w:pStyle w:val="BodyText"/>
        <w:rPr>
          <w:rFonts w:ascii="Calibri" w:hAnsi="Calibri"/>
        </w:rPr>
      </w:pPr>
      <w:r>
        <w:tab/>
        <w:t>The GMDRT2 project sponsored by the Korean Ministry of Ocean and Fisheries</w:t>
      </w:r>
    </w:p>
    <w:p w14:paraId="7C8B3913" w14:textId="77777777" w:rsidR="0065150E" w:rsidRDefault="00177E2F">
      <w:pPr>
        <w:pStyle w:val="Heading1"/>
      </w:pPr>
      <w:r>
        <w:t>Background</w:t>
      </w:r>
    </w:p>
    <w:p w14:paraId="7C8B3914" w14:textId="77777777" w:rsidR="0065150E" w:rsidRDefault="00177E2F">
      <w:pPr>
        <w:pStyle w:val="BodyText"/>
        <w:rPr>
          <w:rFonts w:ascii="Calibri" w:hAnsi="Calibri"/>
        </w:rPr>
      </w:pPr>
      <w:r>
        <w:t>Both project have a focus on MCP - but the main overlap / collaboration has been on the Maritime Messaging service (MMS). AIVeNautics/DMC have collectively contributed to the following activities:</w:t>
      </w:r>
    </w:p>
    <w:p w14:paraId="7C8B3915" w14:textId="77777777" w:rsidR="0065150E" w:rsidRDefault="00177E2F">
      <w:pPr>
        <w:pStyle w:val="BodyText"/>
        <w:numPr>
          <w:ilvl w:val="1"/>
          <w:numId w:val="25"/>
        </w:numPr>
      </w:pPr>
      <w:r>
        <w:t>Contribution to the process of making the MMS an RTCM standard</w:t>
      </w:r>
    </w:p>
    <w:p w14:paraId="7C8B3916" w14:textId="77777777" w:rsidR="0065150E" w:rsidRDefault="00177E2F">
      <w:pPr>
        <w:pStyle w:val="BodyText"/>
        <w:numPr>
          <w:ilvl w:val="2"/>
          <w:numId w:val="25"/>
        </w:numPr>
      </w:pPr>
      <w:r>
        <w:t>This includes contribution in the MMS working group of the MCP consortium - which produces input to the MMS working group in RTCM</w:t>
      </w:r>
    </w:p>
    <w:p w14:paraId="7C8B3917" w14:textId="77777777" w:rsidR="0065150E" w:rsidRDefault="00177E2F">
      <w:pPr>
        <w:pStyle w:val="BodyText"/>
        <w:numPr>
          <w:ilvl w:val="2"/>
          <w:numId w:val="25"/>
        </w:numPr>
      </w:pPr>
      <w:r>
        <w:t>Participate and support the MMS working group in RTCM</w:t>
      </w:r>
    </w:p>
    <w:p w14:paraId="7C8B3918" w14:textId="77777777" w:rsidR="0065150E" w:rsidRDefault="00177E2F">
      <w:pPr>
        <w:pStyle w:val="BodyText"/>
        <w:numPr>
          <w:ilvl w:val="1"/>
          <w:numId w:val="25"/>
        </w:numPr>
      </w:pPr>
      <w:r>
        <w:t>Within the MCP consortium - work on the development of an open source reference implementation of the MMS</w:t>
      </w:r>
    </w:p>
    <w:p w14:paraId="7C8B3919" w14:textId="77777777" w:rsidR="0065150E" w:rsidRDefault="00177E2F">
      <w:pPr>
        <w:pStyle w:val="BodyText"/>
        <w:numPr>
          <w:ilvl w:val="1"/>
          <w:numId w:val="25"/>
        </w:numPr>
      </w:pPr>
      <w:r>
        <w:t>Within the projects conduct tests and trials of the MMS, both using IP connections and VDES. Separate reports on this will be planned.</w:t>
      </w:r>
    </w:p>
    <w:p w14:paraId="7C8B391A" w14:textId="77777777" w:rsidR="0065150E" w:rsidRDefault="00177E2F">
      <w:pPr>
        <w:pStyle w:val="BodyText"/>
        <w:numPr>
          <w:ilvl w:val="1"/>
          <w:numId w:val="25"/>
        </w:numPr>
      </w:pPr>
      <w:r>
        <w:t>Setting up a "large" commercial MMS network - that will become operational in the near future</w:t>
      </w:r>
    </w:p>
    <w:p w14:paraId="7C8B391B" w14:textId="77777777" w:rsidR="0065150E" w:rsidRDefault="00177E2F">
      <w:pPr>
        <w:pStyle w:val="BodyText"/>
        <w:numPr>
          <w:ilvl w:val="1"/>
          <w:numId w:val="25"/>
        </w:numPr>
      </w:pPr>
      <w:r>
        <w:t>Developing an SECOM/MMS gateway - in order to access SECOM subscription services over MMS.</w:t>
      </w:r>
    </w:p>
    <w:p w14:paraId="7C8B391C" w14:textId="77777777" w:rsidR="0065150E" w:rsidRDefault="00177E2F">
      <w:pPr>
        <w:pStyle w:val="BodyText"/>
        <w:numPr>
          <w:ilvl w:val="1"/>
          <w:numId w:val="25"/>
        </w:numPr>
      </w:pPr>
      <w:r>
        <w:t>An app (ChatSea) has been developed, that can connect to the MMS network</w:t>
      </w:r>
    </w:p>
    <w:p w14:paraId="7C8B391D" w14:textId="77777777" w:rsidR="0065150E" w:rsidRDefault="00177E2F">
      <w:pPr>
        <w:pStyle w:val="BodyText"/>
      </w:pPr>
      <w:r>
        <w:lastRenderedPageBreak/>
        <w:t>This collaboration between a European and Korean project - continues a strong history. During the period from around 2008 - 2018, the main work on MCP was carried out in a number of European projects - and one very large Korean project, namely, EfficienSea, EfficienSea 2, Monalisa, Monalisa2, STM validation project and SMART Navigation project.</w:t>
      </w:r>
    </w:p>
    <w:p w14:paraId="7C8B391E" w14:textId="77777777" w:rsidR="0065150E" w:rsidRDefault="0065150E">
      <w:pPr>
        <w:pStyle w:val="BodyText"/>
      </w:pPr>
    </w:p>
    <w:p w14:paraId="7C8B391F" w14:textId="77777777" w:rsidR="0065150E" w:rsidRDefault="00177E2F">
      <w:pPr>
        <w:pStyle w:val="Heading2"/>
        <w:ind w:left="0" w:firstLine="0"/>
      </w:pPr>
      <w:r>
        <w:t>The AIVeNautics/DMC MMS network</w:t>
      </w:r>
    </w:p>
    <w:p w14:paraId="7C8B3920" w14:textId="77777777" w:rsidR="0065150E" w:rsidRDefault="00177E2F">
      <w:pPr>
        <w:pStyle w:val="BodyText"/>
      </w:pPr>
      <w:r>
        <w:t>The network comprises of MMS routers in several countries around the globe. The setup is designed to be very resilient - and monitoring of the performance of the individual nodes are established in a system that also visualises the geographical location of the routers, as can be seen on the figure below;</w:t>
      </w:r>
    </w:p>
    <w:p w14:paraId="7C8B3921" w14:textId="25BE1DCF" w:rsidR="0065150E" w:rsidRDefault="00A0047F">
      <w:pPr>
        <w:pStyle w:val="BodyText"/>
      </w:pPr>
      <w:r>
        <w:rPr>
          <w:noProof/>
        </w:rPr>
        <w:pict w14:anchorId="103A57E3">
          <v:rect id="Frame1" o:spid="_x0000_s1027" style="position:absolute;left:0;text-align:left;margin-left:0;margin-top:.05pt;width:510.25pt;height:328.5pt;z-index:8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" o:allowincell="f" stroked="f" strokeweight="0">
            <v:textbox inset="0,0,0,0">
              <w:txbxContent>
                <w:p w14:paraId="7C8B394D" w14:textId="77777777" w:rsidR="0065150E" w:rsidRDefault="00177E2F">
                  <w:pPr>
                    <w:pStyle w:val="Figure0"/>
                  </w:pPr>
                  <w:r>
                    <w:rPr>
                      <w:noProof/>
                    </w:rPr>
                    <w:drawing>
                      <wp:inline distT="0" distB="0" distL="0" distR="0" wp14:anchorId="7C8B394F" wp14:editId="7C8B3950">
                        <wp:extent cx="6480175" cy="4001135"/>
                        <wp:effectExtent l="0" t="0" r="0" b="0"/>
                        <wp:docPr id="3" name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80175" cy="40011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Figure </w:t>
                  </w:r>
                  <w:fldSimple w:instr=" SEQ Figure \* ARABIC ">
                    <w:r>
                      <w:t>1</w:t>
                    </w:r>
                  </w:fldSimple>
                  <w:r>
                    <w:t>: AIVeNautics/DMC MMS router network</w:t>
                  </w:r>
                </w:p>
              </w:txbxContent>
            </v:textbox>
            <w10:wrap type="square" side="largest"/>
          </v:rect>
        </w:pict>
      </w:r>
    </w:p>
    <w:p w14:paraId="7C8B3922" w14:textId="77777777" w:rsidR="0065150E" w:rsidRDefault="00177E2F">
      <w:pPr>
        <w:pStyle w:val="BodyText"/>
      </w:pPr>
      <w:r>
        <w:t>Given the relatively large number of nodes - ensures efficient availability of the MMS network to users from wherever they connect to the network.</w:t>
      </w:r>
    </w:p>
    <w:p w14:paraId="7C8B3923" w14:textId="77777777" w:rsidR="0065150E" w:rsidRDefault="00177E2F">
      <w:pPr>
        <w:pStyle w:val="Heading2"/>
        <w:ind w:left="0" w:firstLine="0"/>
      </w:pPr>
      <w:r>
        <w:t>ChatSea app</w:t>
      </w:r>
    </w:p>
    <w:p w14:paraId="7C8B3924" w14:textId="77777777" w:rsidR="0065150E" w:rsidRDefault="00177E2F">
      <w:pPr>
        <w:pStyle w:val="BodyText"/>
      </w:pPr>
      <w:r>
        <w:t>The ChatSea app is under development - and the prototype is capable of;</w:t>
      </w:r>
    </w:p>
    <w:p w14:paraId="7C8B3925" w14:textId="77777777" w:rsidR="0065150E" w:rsidRDefault="00177E2F">
      <w:pPr>
        <w:pStyle w:val="BodyText"/>
        <w:numPr>
          <w:ilvl w:val="0"/>
          <w:numId w:val="26"/>
        </w:numPr>
      </w:pPr>
      <w:r>
        <w:t>Sending messages to other devices/users on the MMS network using their MRN as address.</w:t>
      </w:r>
    </w:p>
    <w:p w14:paraId="7C8B3926" w14:textId="77777777" w:rsidR="0065150E" w:rsidRDefault="00177E2F">
      <w:pPr>
        <w:pStyle w:val="BodyText"/>
        <w:numPr>
          <w:ilvl w:val="0"/>
          <w:numId w:val="26"/>
        </w:numPr>
      </w:pPr>
      <w:r>
        <w:t>Receiving and rendering S-124 messages send over the MMS network</w:t>
      </w:r>
    </w:p>
    <w:p w14:paraId="7C8B3927" w14:textId="6D2F6320" w:rsidR="0065150E" w:rsidRDefault="00177E2F">
      <w:pPr>
        <w:rPr>
          <w:color w:val="000000"/>
        </w:rPr>
      </w:pPr>
      <w:bookmarkStart w:id="1" w:name="docs-internal-guid-5e7b2734-7fff-fa09-92"/>
      <w:bookmarkStart w:id="2" w:name="docs-internal-guid-9500a581-7fff-c908-e3"/>
      <w:bookmarkEnd w:id="1"/>
      <w:bookmarkEnd w:id="2"/>
      <w:r>
        <w:rPr>
          <w:noProof/>
        </w:rPr>
        <w:lastRenderedPageBreak/>
        <w:drawing>
          <wp:inline distT="0" distB="0" distL="0" distR="0" wp14:anchorId="7C8B3934" wp14:editId="7C8B3935">
            <wp:extent cx="2126615" cy="4562475"/>
            <wp:effectExtent l="0" t="0" r="0" b="0"/>
            <wp:docPr id="2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456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0047F">
        <w:pict w14:anchorId="1571626D">
          <v:rect id="Frame2" o:spid="_x0000_s1028" style="width:171.55pt;height:38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d="f" strokeweight="0">
            <v:textbox inset="0,0,0,0">
              <w:txbxContent>
                <w:p w14:paraId="7C8B394E" w14:textId="77777777" w:rsidR="0065150E" w:rsidRDefault="00177E2F">
                  <w:pPr>
                    <w:pStyle w:val="Figure0"/>
                  </w:pPr>
                  <w:r>
                    <w:rPr>
                      <w:noProof/>
                    </w:rPr>
                    <w:drawing>
                      <wp:inline distT="0" distB="0" distL="0" distR="0" wp14:anchorId="7C8B3951" wp14:editId="7C8B3952">
                        <wp:extent cx="2178685" cy="4540885"/>
                        <wp:effectExtent l="0" t="0" r="0" b="0"/>
                        <wp:docPr id="5" name="Image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age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8685" cy="45408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Figure </w:t>
                  </w:r>
                  <w:fldSimple w:instr=" SEQ Figure \* ARABIC ">
                    <w:r>
                      <w:t>2</w:t>
                    </w:r>
                  </w:fldSimple>
                  <w:r>
                    <w:t>: ChatSea showing Navigational Warnings (S-124)</w:t>
                  </w:r>
                </w:p>
              </w:txbxContent>
            </v:textbox>
            <w10:anchorlock/>
          </v:rect>
        </w:pict>
      </w:r>
    </w:p>
    <w:p w14:paraId="7C8B3928" w14:textId="77777777" w:rsidR="0065150E" w:rsidRDefault="0065150E">
      <w:pPr>
        <w:pStyle w:val="BodyText"/>
      </w:pPr>
    </w:p>
    <w:p w14:paraId="7C8B3929" w14:textId="77777777" w:rsidR="0065150E" w:rsidRDefault="00177E2F">
      <w:pPr>
        <w:pStyle w:val="Heading2"/>
        <w:ind w:left="0" w:firstLine="0"/>
      </w:pPr>
      <w:r>
        <w:t>SECOM/MMS Gateway</w:t>
      </w:r>
    </w:p>
    <w:p w14:paraId="7C8B392A" w14:textId="77777777" w:rsidR="0065150E" w:rsidRDefault="00177E2F">
      <w:pPr>
        <w:pStyle w:val="BodyText"/>
      </w:pPr>
      <w:r>
        <w:t>A SECOM/MMS gateway has been developed, which enables SECOM subscribe services to be used through the MMS network. The ChatSea app connects to the gateway - and receives S-124 from SECOM services through that.</w:t>
      </w:r>
    </w:p>
    <w:p w14:paraId="7C8B392B" w14:textId="77777777" w:rsidR="0065150E" w:rsidRDefault="00177E2F">
      <w:pPr>
        <w:pStyle w:val="BodyText"/>
      </w:pPr>
      <w:r>
        <w:t>It is planned to develop a SECOM/MMS gateway that implements all SECOM interfaces - and not just the subscribe interface. This will open up for usage of more complex SECOM services over MMS - like route exchange and VTS traffic clearance.</w:t>
      </w:r>
    </w:p>
    <w:p w14:paraId="7C8B392C" w14:textId="77777777" w:rsidR="0065150E" w:rsidRDefault="0065150E">
      <w:pPr>
        <w:pStyle w:val="BodyText"/>
      </w:pPr>
    </w:p>
    <w:p w14:paraId="7C8B392D" w14:textId="77777777" w:rsidR="0065150E" w:rsidRDefault="00177E2F">
      <w:pPr>
        <w:pStyle w:val="Heading1"/>
      </w:pPr>
      <w:r>
        <w:t>References</w:t>
      </w:r>
    </w:p>
    <w:p w14:paraId="7C8B392E" w14:textId="77777777" w:rsidR="0065150E" w:rsidRDefault="00177E2F">
      <w:pPr>
        <w:pStyle w:val="Reference"/>
      </w:pPr>
      <w:r>
        <w:t>MaDaMe web page: https://interreg-baltic.eu/project/madame/</w:t>
      </w:r>
    </w:p>
    <w:p w14:paraId="7C8B392F" w14:textId="77777777" w:rsidR="0065150E" w:rsidRDefault="00177E2F">
      <w:pPr>
        <w:pStyle w:val="Reference"/>
      </w:pPr>
      <w:r>
        <w:t>Open source reference implementation of MMS: https://github.com/maritimeconnectivity/MMS</w:t>
      </w:r>
    </w:p>
    <w:p w14:paraId="7C8B3930" w14:textId="77777777" w:rsidR="0065150E" w:rsidRDefault="00177E2F">
      <w:pPr>
        <w:pStyle w:val="Heading1"/>
      </w:pPr>
      <w:r>
        <w:t>Action requested of the Committee</w:t>
      </w:r>
    </w:p>
    <w:p w14:paraId="7C8B3931" w14:textId="77777777" w:rsidR="0065150E" w:rsidRDefault="00177E2F">
      <w:pPr>
        <w:pStyle w:val="BodyText"/>
        <w:rPr>
          <w:rFonts w:ascii="Calibri" w:hAnsi="Calibri"/>
        </w:rPr>
      </w:pPr>
      <w:r>
        <w:t>The authors would like to encourage projects and organisations to join the efforts to realise the ambition of the MCP - to become a global platform to support secure and reliable information exchange in the maritime domain.</w:t>
      </w:r>
    </w:p>
    <w:sectPr w:rsidR="0065150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3949" w14:textId="77777777" w:rsidR="00177E2F" w:rsidRDefault="00177E2F">
      <w:pPr>
        <w:spacing w:line="240" w:lineRule="auto"/>
      </w:pPr>
      <w:r>
        <w:separator/>
      </w:r>
    </w:p>
  </w:endnote>
  <w:endnote w:type="continuationSeparator" w:id="0">
    <w:p w14:paraId="7C8B394B" w14:textId="77777777" w:rsidR="00177E2F" w:rsidRDefault="00177E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charset w:val="01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1"/>
    <w:family w:val="auto"/>
    <w:pitch w:val="variable"/>
  </w:font>
  <w:font w:name="OpenSymbol">
    <w:altName w:val="Arial Unicode MS"/>
    <w:charset w:val="01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393C" w14:textId="77777777" w:rsidR="0065150E" w:rsidRDefault="006515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393D" w14:textId="77777777" w:rsidR="0065150E" w:rsidRDefault="0065150E">
    <w:pPr>
      <w:pStyle w:val="Footerportrait"/>
    </w:pPr>
  </w:p>
  <w:p w14:paraId="7C8B393E" w14:textId="484A3A21" w:rsidR="0065150E" w:rsidRDefault="00177E2F">
    <w:pPr>
      <w:pStyle w:val="Footerportrait"/>
    </w:pPr>
    <w:r>
      <w:fldChar w:fldCharType="begin"/>
    </w:r>
    <w:r>
      <w:instrText xml:space="preserve"> STYLEREF "Title" </w:instrText>
    </w:r>
    <w:r>
      <w:fldChar w:fldCharType="separate"/>
    </w:r>
    <w:r w:rsidR="00A0047F">
      <w:rPr>
        <w:noProof/>
      </w:rPr>
      <w:t>Report on mcp related work conducted in international projects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3</w:t>
    </w:r>
    <w:r>
      <w:rPr>
        <w:rStyle w:val="PageNumber"/>
        <w:szCs w:val="15"/>
      </w:rPr>
      <w:fldChar w:fldCharType="end"/>
    </w:r>
  </w:p>
  <w:p w14:paraId="7C8B393F" w14:textId="77777777" w:rsidR="0065150E" w:rsidRDefault="0065150E">
    <w:pPr>
      <w:pStyle w:val="Footer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3943" w14:textId="77777777" w:rsidR="0065150E" w:rsidRDefault="00177E2F">
    <w:pPr>
      <w:pStyle w:val="Footerportrait"/>
    </w:pPr>
    <w:r>
      <w:tab/>
    </w:r>
  </w:p>
  <w:p w14:paraId="7C8B3944" w14:textId="6C089CE5" w:rsidR="0065150E" w:rsidRDefault="00177E2F">
    <w:pPr>
      <w:pStyle w:val="Footerportrait"/>
    </w:pPr>
    <w:r>
      <w:fldChar w:fldCharType="begin"/>
    </w:r>
    <w:r>
      <w:instrText xml:space="preserve"> STYLEREF "Title" </w:instrText>
    </w:r>
    <w:r>
      <w:fldChar w:fldCharType="separate"/>
    </w:r>
    <w:r w:rsidR="00A0047F">
      <w:rPr>
        <w:noProof/>
      </w:rPr>
      <w:t>Report on mcp related work conducted in international projects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7C8B3945" w14:textId="77777777" w:rsidR="0065150E" w:rsidRDefault="0065150E">
    <w:pPr>
      <w:pStyle w:val="Footer"/>
    </w:pPr>
  </w:p>
  <w:p w14:paraId="7C8B3946" w14:textId="77777777" w:rsidR="0065150E" w:rsidRDefault="0065150E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B3938" w14:textId="77777777" w:rsidR="0065150E" w:rsidRDefault="00177E2F">
      <w:r>
        <w:separator/>
      </w:r>
    </w:p>
  </w:footnote>
  <w:footnote w:type="continuationSeparator" w:id="0">
    <w:p w14:paraId="7C8B3939" w14:textId="77777777" w:rsidR="0065150E" w:rsidRDefault="00177E2F">
      <w:r>
        <w:continuationSeparator/>
      </w:r>
    </w:p>
  </w:footnote>
  <w:footnote w:id="1">
    <w:p w14:paraId="7C8B394C" w14:textId="77777777" w:rsidR="0065150E" w:rsidRDefault="00177E2F">
      <w:pPr>
        <w:pStyle w:val="FootnoteText"/>
      </w:pPr>
      <w:r>
        <w:rPr>
          <w:rStyle w:val="FootnoteCharacters"/>
        </w:rPr>
        <w:footnoteRef/>
      </w:r>
      <w:r>
        <w:tab/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393A" w14:textId="77777777" w:rsidR="0065150E" w:rsidRDefault="006515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393B" w14:textId="77777777" w:rsidR="0065150E" w:rsidRDefault="00177E2F">
    <w:pPr>
      <w:pStyle w:val="Header"/>
      <w:jc w:val="right"/>
    </w:pPr>
    <w:r>
      <w:rPr>
        <w:noProof/>
      </w:rPr>
      <w:drawing>
        <wp:anchor distT="0" distB="0" distL="114300" distR="114300" simplePos="0" relativeHeight="4" behindDoc="1" locked="0" layoutInCell="0" allowOverlap="1" wp14:anchorId="7C8B3947" wp14:editId="7C8B3948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4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3940" w14:textId="77777777" w:rsidR="0065150E" w:rsidRDefault="00177E2F">
    <w:pPr>
      <w:pStyle w:val="Header"/>
      <w:jc w:val="center"/>
    </w:pPr>
    <w:r>
      <w:rPr>
        <w:noProof/>
      </w:rPr>
      <w:drawing>
        <wp:anchor distT="0" distB="0" distL="114300" distR="114300" simplePos="0" relativeHeight="2" behindDoc="1" locked="0" layoutInCell="0" allowOverlap="1" wp14:anchorId="7C8B3949" wp14:editId="7C8B394A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429268183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C8B3941" w14:textId="77777777" w:rsidR="0065150E" w:rsidRDefault="0065150E">
    <w:pPr>
      <w:pStyle w:val="Header"/>
      <w:jc w:val="center"/>
    </w:pPr>
  </w:p>
  <w:p w14:paraId="7C8B3942" w14:textId="77777777" w:rsidR="0065150E" w:rsidRDefault="0065150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70751"/>
    <w:multiLevelType w:val="multilevel"/>
    <w:tmpl w:val="DD602F4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4235BA"/>
    <w:multiLevelType w:val="multilevel"/>
    <w:tmpl w:val="CEE49DE0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2" w15:restartNumberingAfterBreak="0">
    <w:nsid w:val="0B380809"/>
    <w:multiLevelType w:val="multilevel"/>
    <w:tmpl w:val="C41CDD5A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C11269C"/>
    <w:multiLevelType w:val="multilevel"/>
    <w:tmpl w:val="D2662984"/>
    <w:lvl w:ilvl="0">
      <w:start w:val="1"/>
      <w:numFmt w:val="decimal"/>
      <w:pStyle w:val="Equation1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16516363"/>
    <w:multiLevelType w:val="multilevel"/>
    <w:tmpl w:val="23E46B52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575284"/>
    <w:multiLevelType w:val="multilevel"/>
    <w:tmpl w:val="A56E1A82"/>
    <w:lvl w:ilvl="0">
      <w:start w:val="1"/>
      <w:numFmt w:val="decimal"/>
      <w:pStyle w:val="Appendix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DE0453C"/>
    <w:multiLevelType w:val="multilevel"/>
    <w:tmpl w:val="B606B10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7" w15:restartNumberingAfterBreak="0">
    <w:nsid w:val="22C75A4B"/>
    <w:multiLevelType w:val="multilevel"/>
    <w:tmpl w:val="849CDA88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764516A"/>
    <w:multiLevelType w:val="multilevel"/>
    <w:tmpl w:val="48E607B2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9A18CB"/>
    <w:multiLevelType w:val="multilevel"/>
    <w:tmpl w:val="D382DDCC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4A6835"/>
    <w:multiLevelType w:val="multilevel"/>
    <w:tmpl w:val="30743A38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3A2B4764"/>
    <w:multiLevelType w:val="multilevel"/>
    <w:tmpl w:val="38A680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ECD0182"/>
    <w:multiLevelType w:val="multilevel"/>
    <w:tmpl w:val="08227550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C32EB"/>
    <w:multiLevelType w:val="multilevel"/>
    <w:tmpl w:val="54A6FC20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abstractNum w:abstractNumId="14" w15:restartNumberingAfterBreak="0">
    <w:nsid w:val="42E6386B"/>
    <w:multiLevelType w:val="multilevel"/>
    <w:tmpl w:val="30523660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45D530C1"/>
    <w:multiLevelType w:val="multilevel"/>
    <w:tmpl w:val="29BC82C2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88455E"/>
    <w:multiLevelType w:val="multilevel"/>
    <w:tmpl w:val="F516FABE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0D130DD"/>
    <w:multiLevelType w:val="multilevel"/>
    <w:tmpl w:val="A692A4CA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18" w15:restartNumberingAfterBreak="0">
    <w:nsid w:val="5CAB5426"/>
    <w:multiLevelType w:val="multilevel"/>
    <w:tmpl w:val="FE2A17C2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E69359A"/>
    <w:multiLevelType w:val="multilevel"/>
    <w:tmpl w:val="4A16AF2E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630D31A5"/>
    <w:multiLevelType w:val="multilevel"/>
    <w:tmpl w:val="8AE86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69E961C5"/>
    <w:multiLevelType w:val="multilevel"/>
    <w:tmpl w:val="1106793A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6BFC7EE9"/>
    <w:multiLevelType w:val="multilevel"/>
    <w:tmpl w:val="0944B80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8407A8"/>
    <w:multiLevelType w:val="multilevel"/>
    <w:tmpl w:val="D0C0DFB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4590E"/>
    <w:multiLevelType w:val="multilevel"/>
    <w:tmpl w:val="7E585682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9F915F0"/>
    <w:multiLevelType w:val="multilevel"/>
    <w:tmpl w:val="84BEFACE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888880249">
    <w:abstractNumId w:val="0"/>
  </w:num>
  <w:num w:numId="2" w16cid:durableId="1796096304">
    <w:abstractNumId w:val="11"/>
  </w:num>
  <w:num w:numId="3" w16cid:durableId="1687365504">
    <w:abstractNumId w:val="12"/>
  </w:num>
  <w:num w:numId="4" w16cid:durableId="623540550">
    <w:abstractNumId w:val="19"/>
  </w:num>
  <w:num w:numId="5" w16cid:durableId="545067507">
    <w:abstractNumId w:val="4"/>
  </w:num>
  <w:num w:numId="6" w16cid:durableId="2052537936">
    <w:abstractNumId w:val="2"/>
  </w:num>
  <w:num w:numId="7" w16cid:durableId="1247306514">
    <w:abstractNumId w:val="16"/>
  </w:num>
  <w:num w:numId="8" w16cid:durableId="392319246">
    <w:abstractNumId w:val="7"/>
  </w:num>
  <w:num w:numId="9" w16cid:durableId="1956671078">
    <w:abstractNumId w:val="22"/>
  </w:num>
  <w:num w:numId="10" w16cid:durableId="1963265104">
    <w:abstractNumId w:val="23"/>
  </w:num>
  <w:num w:numId="11" w16cid:durableId="759566074">
    <w:abstractNumId w:val="24"/>
  </w:num>
  <w:num w:numId="12" w16cid:durableId="558396462">
    <w:abstractNumId w:val="15"/>
  </w:num>
  <w:num w:numId="13" w16cid:durableId="620460541">
    <w:abstractNumId w:val="13"/>
  </w:num>
  <w:num w:numId="14" w16cid:durableId="110321951">
    <w:abstractNumId w:val="9"/>
  </w:num>
  <w:num w:numId="15" w16cid:durableId="1655177596">
    <w:abstractNumId w:val="1"/>
  </w:num>
  <w:num w:numId="16" w16cid:durableId="2064256133">
    <w:abstractNumId w:val="8"/>
  </w:num>
  <w:num w:numId="17" w16cid:durableId="12845835">
    <w:abstractNumId w:val="14"/>
  </w:num>
  <w:num w:numId="18" w16cid:durableId="2103254898">
    <w:abstractNumId w:val="18"/>
  </w:num>
  <w:num w:numId="19" w16cid:durableId="1449397600">
    <w:abstractNumId w:val="5"/>
  </w:num>
  <w:num w:numId="20" w16cid:durableId="1272670227">
    <w:abstractNumId w:val="3"/>
  </w:num>
  <w:num w:numId="21" w16cid:durableId="1004865743">
    <w:abstractNumId w:val="25"/>
  </w:num>
  <w:num w:numId="22" w16cid:durableId="1228608486">
    <w:abstractNumId w:val="17"/>
  </w:num>
  <w:num w:numId="23" w16cid:durableId="797452946">
    <w:abstractNumId w:val="21"/>
  </w:num>
  <w:num w:numId="24" w16cid:durableId="959720964">
    <w:abstractNumId w:val="10"/>
  </w:num>
  <w:num w:numId="25" w16cid:durableId="1815683804">
    <w:abstractNumId w:val="6"/>
  </w:num>
  <w:num w:numId="26" w16cid:durableId="29787986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65150E"/>
    <w:rsid w:val="00177E2F"/>
    <w:rsid w:val="00371694"/>
    <w:rsid w:val="0065150E"/>
    <w:rsid w:val="00A0047F"/>
    <w:rsid w:val="00A8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7C8B3903"/>
  <w15:docId w15:val="{F4978FB7-588D-4057-A12B-27D49750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1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umberingSymbols">
    <w:name w:val="Numbering Symbol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1">
    <w:name w:val="List 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1">
    <w:name w:val="Equation1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paragraph" w:customStyle="1" w:styleId="HeaderLeft">
    <w:name w:val="Header Left"/>
    <w:basedOn w:val="Header"/>
    <w:qFormat/>
  </w:style>
  <w:style w:type="paragraph" w:customStyle="1" w:styleId="Figure0">
    <w:name w:val="Figure"/>
    <w:basedOn w:val="Caption"/>
    <w:qFormat/>
  </w:style>
  <w:style w:type="paragraph" w:customStyle="1" w:styleId="FrameContents">
    <w:name w:val="Frame Contents"/>
    <w:basedOn w:val="Normal"/>
    <w:qFormat/>
  </w:style>
  <w:style w:type="numbering" w:styleId="ArticleSection">
    <w:name w:val="Outline List 3"/>
    <w:qFormat/>
    <w:rsid w:val="0025741F"/>
  </w:style>
  <w:style w:type="numbering" w:customStyle="1" w:styleId="Bullet">
    <w:name w:val="Bullet •"/>
    <w:qFormat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F2F40D-50E5-484E-953C-76386E29F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567</Words>
  <Characters>3028</Characters>
  <Application>Microsoft Office Word</Application>
  <DocSecurity>0</DocSecurity>
  <Lines>64</Lines>
  <Paragraphs>46</Paragraphs>
  <ScaleCrop>false</ScaleCrop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Alisa Nechyporuk</cp:lastModifiedBy>
  <cp:revision>61</cp:revision>
  <dcterms:created xsi:type="dcterms:W3CDTF">2021-08-28T15:13:00Z</dcterms:created>
  <dcterms:modified xsi:type="dcterms:W3CDTF">2025-03-07T20:10:00Z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