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CD5408" w14:paraId="3035FC1D" w14:textId="77777777" w:rsidTr="00284E22">
        <w:trPr>
          <w:trHeight w:val="1287"/>
          <w:jc w:val="center"/>
        </w:trPr>
        <w:tc>
          <w:tcPr>
            <w:tcW w:w="2667" w:type="dxa"/>
            <w:tcBorders>
              <w:top w:val="nil"/>
              <w:bottom w:val="nil"/>
              <w:right w:val="nil"/>
            </w:tcBorders>
            <w:hideMark/>
          </w:tcPr>
          <w:p w14:paraId="1FC9C89D" w14:textId="77777777" w:rsidR="00CD5408" w:rsidRDefault="0016334B">
            <w:pPr>
              <w:ind w:hanging="10"/>
              <w:jc w:val="left"/>
            </w:pPr>
            <w:r>
              <w:rPr>
                <w:noProof/>
                <w:lang w:eastAsia="en-GB"/>
              </w:rPr>
              <mc:AlternateContent>
                <mc:Choice Requires="wps">
                  <w:drawing>
                    <wp:anchor distT="0" distB="0" distL="114300" distR="114300" simplePos="0" relativeHeight="251657728" behindDoc="0" locked="0" layoutInCell="1" allowOverlap="1" wp14:anchorId="1259DDE7" wp14:editId="1CA29620">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A525A"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1B21EDE7" w14:textId="77777777" w:rsidR="00CD5408" w:rsidRDefault="0016334B">
            <w:pPr>
              <w:jc w:val="left"/>
            </w:pPr>
            <w:r>
              <w:rPr>
                <w:noProof/>
                <w:lang w:eastAsia="en-GB"/>
              </w:rPr>
              <w:drawing>
                <wp:inline distT="0" distB="0" distL="0" distR="0" wp14:anchorId="24660DBD" wp14:editId="7A29C367">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7FB0799A" w14:textId="77777777" w:rsidR="00CD5408" w:rsidRDefault="00CD5408">
            <w:pPr>
              <w:jc w:val="right"/>
            </w:pPr>
            <w:r>
              <w:rPr>
                <w:b/>
                <w:i/>
                <w:sz w:val="48"/>
                <w:szCs w:val="48"/>
              </w:rPr>
              <w:t>E</w:t>
            </w:r>
          </w:p>
        </w:tc>
      </w:tr>
    </w:tbl>
    <w:p w14:paraId="22159F0E" w14:textId="77777777" w:rsidR="00284E22" w:rsidRDefault="00284E22" w:rsidP="00284E22">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284E22" w14:paraId="4556C377" w14:textId="77777777" w:rsidTr="0008124E">
        <w:trPr>
          <w:jc w:val="center"/>
        </w:trPr>
        <w:tc>
          <w:tcPr>
            <w:tcW w:w="4692" w:type="dxa"/>
          </w:tcPr>
          <w:p w14:paraId="3283B09B" w14:textId="77777777" w:rsidR="00284E22" w:rsidRDefault="00284E22" w:rsidP="0008124E">
            <w:pPr>
              <w:spacing w:line="120" w:lineRule="exact"/>
              <w:jc w:val="left"/>
            </w:pPr>
          </w:p>
          <w:p w14:paraId="011AFFF5" w14:textId="77777777" w:rsidR="00284E22" w:rsidRDefault="00EE7F4C" w:rsidP="0008124E">
            <w:pPr>
              <w:jc w:val="left"/>
            </w:pPr>
            <w:bookmarkStart w:id="1" w:name="sub_committee"/>
            <w:bookmarkEnd w:id="1"/>
            <w:r>
              <w:t>MARITIME SAFETY COMMITTEE</w:t>
            </w:r>
          </w:p>
          <w:p w14:paraId="03D9FEB9" w14:textId="77777777" w:rsidR="00284E22" w:rsidRDefault="00975656" w:rsidP="0008124E">
            <w:pPr>
              <w:jc w:val="left"/>
            </w:pPr>
            <w:bookmarkStart w:id="2" w:name="session"/>
            <w:bookmarkEnd w:id="2"/>
            <w:r>
              <w:t>99th</w:t>
            </w:r>
            <w:r w:rsidR="00284E22">
              <w:t xml:space="preserve"> session </w:t>
            </w:r>
          </w:p>
          <w:p w14:paraId="5D0DB2D5" w14:textId="77777777" w:rsidR="00284E22" w:rsidRDefault="00284E22" w:rsidP="00975656">
            <w:pPr>
              <w:spacing w:after="58"/>
              <w:jc w:val="left"/>
            </w:pPr>
            <w:r>
              <w:t xml:space="preserve">Agenda item </w:t>
            </w:r>
            <w:bookmarkStart w:id="3" w:name="agenda"/>
            <w:bookmarkEnd w:id="3"/>
            <w:r w:rsidR="00975656">
              <w:t>21</w:t>
            </w:r>
          </w:p>
        </w:tc>
        <w:tc>
          <w:tcPr>
            <w:tcW w:w="4465" w:type="dxa"/>
          </w:tcPr>
          <w:p w14:paraId="7192807B" w14:textId="77777777" w:rsidR="00284E22" w:rsidRPr="006C2BFB" w:rsidRDefault="00284E22" w:rsidP="0008124E">
            <w:pPr>
              <w:spacing w:line="120" w:lineRule="exact"/>
              <w:jc w:val="right"/>
            </w:pPr>
          </w:p>
          <w:p w14:paraId="1C57ED3D" w14:textId="77777777" w:rsidR="00284E22" w:rsidRPr="00EE7F4C" w:rsidRDefault="00284E22" w:rsidP="0008124E">
            <w:pPr>
              <w:tabs>
                <w:tab w:val="clear" w:pos="851"/>
              </w:tabs>
              <w:jc w:val="right"/>
              <w:rPr>
                <w:lang w:val="fr-FR"/>
              </w:rPr>
            </w:pPr>
            <w:bookmarkStart w:id="4" w:name="symbol"/>
            <w:bookmarkEnd w:id="4"/>
            <w:r w:rsidRPr="00EE7F4C">
              <w:rPr>
                <w:lang w:val="fr-FR"/>
              </w:rPr>
              <w:t>Document Symbol</w:t>
            </w:r>
          </w:p>
          <w:p w14:paraId="74350F0E" w14:textId="77777777" w:rsidR="00284E22" w:rsidRPr="00EE7F4C" w:rsidRDefault="00284E22" w:rsidP="0008124E">
            <w:pPr>
              <w:tabs>
                <w:tab w:val="clear" w:pos="851"/>
              </w:tabs>
              <w:jc w:val="right"/>
              <w:rPr>
                <w:lang w:val="fr-FR"/>
              </w:rPr>
            </w:pPr>
            <w:bookmarkStart w:id="5" w:name="date"/>
            <w:bookmarkEnd w:id="5"/>
            <w:r w:rsidRPr="00EE7F4C">
              <w:rPr>
                <w:lang w:val="fr-FR"/>
              </w:rPr>
              <w:t xml:space="preserve">Document date, i.e. 1 </w:t>
            </w:r>
            <w:proofErr w:type="spellStart"/>
            <w:r w:rsidRPr="00EE7F4C">
              <w:rPr>
                <w:lang w:val="fr-FR"/>
              </w:rPr>
              <w:t>January</w:t>
            </w:r>
            <w:proofErr w:type="spellEnd"/>
            <w:r w:rsidRPr="00EE7F4C">
              <w:rPr>
                <w:lang w:val="fr-FR"/>
              </w:rPr>
              <w:t xml:space="preserve"> 2016</w:t>
            </w:r>
          </w:p>
          <w:p w14:paraId="328F7A62" w14:textId="77777777" w:rsidR="00284E22" w:rsidRDefault="00284E22" w:rsidP="0008124E">
            <w:pPr>
              <w:tabs>
                <w:tab w:val="clear" w:pos="851"/>
              </w:tabs>
              <w:spacing w:after="58"/>
              <w:ind w:left="-924"/>
              <w:jc w:val="right"/>
            </w:pPr>
            <w:bookmarkStart w:id="6" w:name="language"/>
            <w:bookmarkEnd w:id="6"/>
            <w:r>
              <w:t>Language: i.e. Original: ENGLISH</w:t>
            </w:r>
          </w:p>
        </w:tc>
      </w:tr>
    </w:tbl>
    <w:p w14:paraId="2C95791C" w14:textId="77777777" w:rsidR="00284E22" w:rsidRDefault="00284E22" w:rsidP="00284E22">
      <w:pPr>
        <w:tabs>
          <w:tab w:val="clear" w:pos="851"/>
        </w:tabs>
      </w:pPr>
    </w:p>
    <w:p w14:paraId="7D53E895" w14:textId="77777777" w:rsidR="00284E22" w:rsidRPr="0012232C" w:rsidRDefault="00EE7F4C" w:rsidP="00284E22">
      <w:pPr>
        <w:tabs>
          <w:tab w:val="clear" w:pos="851"/>
        </w:tabs>
        <w:jc w:val="center"/>
        <w:rPr>
          <w:rFonts w:ascii="Arial Bold" w:hAnsi="Arial Bold"/>
          <w:b/>
          <w:caps/>
        </w:rPr>
      </w:pPr>
      <w:r>
        <w:rPr>
          <w:rFonts w:ascii="Arial Bold" w:hAnsi="Arial Bold"/>
          <w:b/>
          <w:caps/>
        </w:rPr>
        <w:t>ANY OTHER BUSINESS</w:t>
      </w:r>
    </w:p>
    <w:p w14:paraId="170E8BED" w14:textId="77777777" w:rsidR="00284E22" w:rsidRDefault="00284E22" w:rsidP="00284E22">
      <w:pPr>
        <w:tabs>
          <w:tab w:val="clear" w:pos="851"/>
        </w:tabs>
        <w:jc w:val="center"/>
        <w:rPr>
          <w:b/>
        </w:rPr>
      </w:pPr>
    </w:p>
    <w:p w14:paraId="241AB6E0" w14:textId="77777777" w:rsidR="00252AF8" w:rsidRDefault="00252AF8" w:rsidP="00284E22">
      <w:pPr>
        <w:tabs>
          <w:tab w:val="clear" w:pos="851"/>
        </w:tabs>
        <w:jc w:val="center"/>
        <w:rPr>
          <w:b/>
        </w:rPr>
      </w:pPr>
      <w:r>
        <w:rPr>
          <w:b/>
        </w:rPr>
        <w:t>Draft updates to MSC/Circ.1065</w:t>
      </w:r>
    </w:p>
    <w:p w14:paraId="2FE6768F" w14:textId="77777777" w:rsidR="00252AF8" w:rsidRDefault="00252AF8" w:rsidP="00284E22">
      <w:pPr>
        <w:tabs>
          <w:tab w:val="clear" w:pos="851"/>
        </w:tabs>
        <w:jc w:val="center"/>
        <w:rPr>
          <w:b/>
        </w:rPr>
      </w:pPr>
    </w:p>
    <w:p w14:paraId="375F14DB" w14:textId="77777777" w:rsidR="00286AB1" w:rsidRDefault="00975656" w:rsidP="00975656">
      <w:pPr>
        <w:tabs>
          <w:tab w:val="clear" w:pos="851"/>
        </w:tabs>
        <w:jc w:val="center"/>
        <w:rPr>
          <w:b/>
        </w:rPr>
      </w:pPr>
      <w:r>
        <w:rPr>
          <w:b/>
        </w:rPr>
        <w:t>Submitted by the International Association</w:t>
      </w:r>
      <w:r w:rsidR="00286AB1">
        <w:rPr>
          <w:b/>
        </w:rPr>
        <w:t xml:space="preserve"> of Marine Aids to Navigation </w:t>
      </w:r>
    </w:p>
    <w:p w14:paraId="55AFE548" w14:textId="77777777" w:rsidR="00284E22" w:rsidRDefault="00286AB1" w:rsidP="00975656">
      <w:pPr>
        <w:tabs>
          <w:tab w:val="clear" w:pos="851"/>
        </w:tabs>
        <w:jc w:val="center"/>
        <w:rPr>
          <w:b/>
        </w:rPr>
      </w:pPr>
      <w:r>
        <w:rPr>
          <w:b/>
        </w:rPr>
        <w:t>and Lighthouse Authorities (IALA)</w:t>
      </w:r>
      <w:r w:rsidR="00975656">
        <w:rPr>
          <w:b/>
        </w:rPr>
        <w:t xml:space="preserve"> </w:t>
      </w:r>
    </w:p>
    <w:p w14:paraId="57FBDF2F" w14:textId="77777777" w:rsidR="00284E22" w:rsidRPr="00AD6AE2" w:rsidRDefault="00284E22" w:rsidP="00284E22">
      <w:pPr>
        <w:tabs>
          <w:tab w:val="clear" w:pos="851"/>
        </w:tabs>
        <w:rPr>
          <w:b/>
        </w:rPr>
      </w:pPr>
    </w:p>
    <w:p w14:paraId="74ADFAB8" w14:textId="77777777" w:rsidR="00296ABD" w:rsidRDefault="00296ABD" w:rsidP="00771EB2">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A804CC" w:rsidRPr="00FF7C33" w14:paraId="547515EF" w14:textId="77777777">
        <w:trPr>
          <w:jc w:val="center"/>
        </w:trPr>
        <w:tc>
          <w:tcPr>
            <w:tcW w:w="9000" w:type="dxa"/>
            <w:gridSpan w:val="2"/>
            <w:tcMar>
              <w:top w:w="85" w:type="dxa"/>
              <w:left w:w="85" w:type="dxa"/>
              <w:bottom w:w="85" w:type="dxa"/>
              <w:right w:w="85" w:type="dxa"/>
            </w:tcMar>
          </w:tcPr>
          <w:p w14:paraId="51784D38" w14:textId="77777777" w:rsidR="00A804CC" w:rsidRPr="00FF7C33" w:rsidRDefault="00A804CC">
            <w:pPr>
              <w:spacing w:line="120" w:lineRule="exact"/>
              <w:rPr>
                <w:bCs/>
              </w:rPr>
            </w:pPr>
          </w:p>
          <w:p w14:paraId="0F37383C" w14:textId="77777777" w:rsidR="00A804CC" w:rsidRPr="00FF7C33" w:rsidRDefault="00A804CC" w:rsidP="00771EB2">
            <w:pPr>
              <w:tabs>
                <w:tab w:val="clear" w:pos="851"/>
              </w:tabs>
              <w:spacing w:after="58"/>
              <w:jc w:val="center"/>
              <w:rPr>
                <w:b/>
              </w:rPr>
            </w:pPr>
            <w:r w:rsidRPr="00FF7C33">
              <w:rPr>
                <w:b/>
              </w:rPr>
              <w:t>SUMMARY</w:t>
            </w:r>
          </w:p>
        </w:tc>
      </w:tr>
      <w:tr w:rsidR="00A804CC" w:rsidRPr="00FF7C33" w14:paraId="05C80C3D" w14:textId="77777777">
        <w:trPr>
          <w:jc w:val="center"/>
        </w:trPr>
        <w:tc>
          <w:tcPr>
            <w:tcW w:w="2245" w:type="dxa"/>
            <w:tcMar>
              <w:top w:w="85" w:type="dxa"/>
              <w:left w:w="85" w:type="dxa"/>
              <w:bottom w:w="85" w:type="dxa"/>
              <w:right w:w="85" w:type="dxa"/>
            </w:tcMar>
          </w:tcPr>
          <w:p w14:paraId="2AD75E3F" w14:textId="77777777" w:rsidR="00A804CC" w:rsidRPr="00FF7C33" w:rsidRDefault="00A804CC" w:rsidP="00C4608F">
            <w:pPr>
              <w:spacing w:after="58"/>
              <w:rPr>
                <w:bCs/>
              </w:rPr>
            </w:pPr>
            <w:r w:rsidRPr="00FF7C33">
              <w:rPr>
                <w:bCs/>
                <w:i/>
              </w:rPr>
              <w:t>Executive summary:</w:t>
            </w:r>
          </w:p>
        </w:tc>
        <w:tc>
          <w:tcPr>
            <w:tcW w:w="6755" w:type="dxa"/>
            <w:tcMar>
              <w:top w:w="85" w:type="dxa"/>
              <w:left w:w="85" w:type="dxa"/>
              <w:bottom w:w="85" w:type="dxa"/>
              <w:right w:w="85" w:type="dxa"/>
            </w:tcMar>
          </w:tcPr>
          <w:p w14:paraId="23476A5C" w14:textId="0CF5BEB9" w:rsidR="00A804CC" w:rsidRPr="008279B4" w:rsidRDefault="00252AF8" w:rsidP="00FF4E4C">
            <w:pPr>
              <w:tabs>
                <w:tab w:val="clear" w:pos="851"/>
              </w:tabs>
              <w:spacing w:after="58"/>
              <w:rPr>
                <w:bCs/>
              </w:rPr>
            </w:pPr>
            <w:bookmarkStart w:id="7" w:name="Execsum"/>
            <w:bookmarkEnd w:id="7"/>
            <w:r>
              <w:rPr>
                <w:bCs/>
              </w:rPr>
              <w:t xml:space="preserve">This document provides draft updates to </w:t>
            </w:r>
            <w:r w:rsidR="00181B1A">
              <w:rPr>
                <w:bCs/>
              </w:rPr>
              <w:t xml:space="preserve">MSC/Circ.1065 on </w:t>
            </w:r>
            <w:r w:rsidR="004E0AD1">
              <w:rPr>
                <w:bCs/>
              </w:rPr>
              <w:t xml:space="preserve">the </w:t>
            </w:r>
            <w:r w:rsidR="004E0AD1" w:rsidRPr="004E0AD1">
              <w:rPr>
                <w:bCs/>
                <w:i/>
                <w:iCs/>
              </w:rPr>
              <w:t>IALA Standards for training and certification of Vessel Traffic Service (VTS) personnel</w:t>
            </w:r>
            <w:r w:rsidR="008279B4">
              <w:rPr>
                <w:bCs/>
              </w:rPr>
              <w:t xml:space="preserve"> following the publication of IALA Model Course</w:t>
            </w:r>
            <w:r w:rsidR="00E32A64">
              <w:rPr>
                <w:bCs/>
              </w:rPr>
              <w:t xml:space="preserve"> </w:t>
            </w:r>
            <w:r w:rsidR="008279B4">
              <w:t>V-103/5 on the revalidation process for VTS qualification and certification</w:t>
            </w:r>
            <w:r w:rsidR="00CF1FF5">
              <w:t>.</w:t>
            </w:r>
          </w:p>
        </w:tc>
      </w:tr>
      <w:tr w:rsidR="00FD403B" w:rsidRPr="00FF7C33" w14:paraId="5CDAAA2F" w14:textId="77777777">
        <w:trPr>
          <w:jc w:val="center"/>
        </w:trPr>
        <w:tc>
          <w:tcPr>
            <w:tcW w:w="2245" w:type="dxa"/>
            <w:tcMar>
              <w:top w:w="85" w:type="dxa"/>
              <w:left w:w="85" w:type="dxa"/>
              <w:bottom w:w="85" w:type="dxa"/>
              <w:right w:w="85" w:type="dxa"/>
            </w:tcMar>
          </w:tcPr>
          <w:p w14:paraId="668A3834" w14:textId="77777777" w:rsidR="00FD403B" w:rsidRPr="00FF7C33" w:rsidRDefault="00FD403B" w:rsidP="00C4608F">
            <w:pPr>
              <w:spacing w:after="58"/>
              <w:rPr>
                <w:bCs/>
              </w:rPr>
            </w:pPr>
            <w:r w:rsidRPr="00FF7C33">
              <w:rPr>
                <w:bCs/>
                <w:i/>
              </w:rPr>
              <w:t xml:space="preserve">Strategic </w:t>
            </w:r>
            <w:r w:rsidR="00E27F2D" w:rsidRPr="00FF7C33">
              <w:rPr>
                <w:bCs/>
                <w:i/>
              </w:rPr>
              <w:t>d</w:t>
            </w:r>
            <w:r w:rsidRPr="00FF7C33">
              <w:rPr>
                <w:bCs/>
                <w:i/>
              </w:rPr>
              <w:t>irection</w:t>
            </w:r>
            <w:r w:rsidR="008B11BA" w:rsidRPr="00FF7C33">
              <w:rPr>
                <w:bCs/>
                <w:i/>
              </w:rPr>
              <w:t>:</w:t>
            </w:r>
          </w:p>
        </w:tc>
        <w:tc>
          <w:tcPr>
            <w:tcW w:w="6755" w:type="dxa"/>
            <w:tcMar>
              <w:top w:w="85" w:type="dxa"/>
              <w:left w:w="85" w:type="dxa"/>
              <w:bottom w:w="85" w:type="dxa"/>
              <w:right w:w="85" w:type="dxa"/>
            </w:tcMar>
          </w:tcPr>
          <w:p w14:paraId="5F9B1DFF" w14:textId="77777777" w:rsidR="00FD403B" w:rsidRPr="00FF7C33" w:rsidRDefault="00FD403B" w:rsidP="00771EB2">
            <w:pPr>
              <w:tabs>
                <w:tab w:val="clear" w:pos="851"/>
              </w:tabs>
              <w:spacing w:after="58"/>
              <w:rPr>
                <w:bCs/>
              </w:rPr>
            </w:pPr>
            <w:bookmarkStart w:id="8" w:name="StraDir"/>
            <w:bookmarkEnd w:id="8"/>
          </w:p>
        </w:tc>
      </w:tr>
      <w:tr w:rsidR="008B11BA" w:rsidRPr="00FF7C33" w14:paraId="05616834" w14:textId="77777777">
        <w:trPr>
          <w:jc w:val="center"/>
        </w:trPr>
        <w:tc>
          <w:tcPr>
            <w:tcW w:w="2245" w:type="dxa"/>
            <w:tcMar>
              <w:top w:w="85" w:type="dxa"/>
              <w:left w:w="85" w:type="dxa"/>
              <w:bottom w:w="85" w:type="dxa"/>
              <w:right w:w="85" w:type="dxa"/>
            </w:tcMar>
          </w:tcPr>
          <w:p w14:paraId="4BBFB227" w14:textId="77777777" w:rsidR="008B11BA" w:rsidRPr="00FF7C33" w:rsidRDefault="00E27F2D" w:rsidP="00C4608F">
            <w:pPr>
              <w:spacing w:after="58"/>
              <w:rPr>
                <w:bCs/>
              </w:rPr>
            </w:pPr>
            <w:r w:rsidRPr="00FF7C33">
              <w:rPr>
                <w:bCs/>
                <w:i/>
              </w:rPr>
              <w:t>High-level a</w:t>
            </w:r>
            <w:r w:rsidR="008B11BA" w:rsidRPr="00FF7C33">
              <w:rPr>
                <w:bCs/>
                <w:i/>
              </w:rPr>
              <w:t>ction:</w:t>
            </w:r>
          </w:p>
        </w:tc>
        <w:tc>
          <w:tcPr>
            <w:tcW w:w="6755" w:type="dxa"/>
            <w:tcMar>
              <w:top w:w="85" w:type="dxa"/>
              <w:left w:w="85" w:type="dxa"/>
              <w:bottom w:w="85" w:type="dxa"/>
              <w:right w:w="85" w:type="dxa"/>
            </w:tcMar>
          </w:tcPr>
          <w:p w14:paraId="14225D49" w14:textId="77777777" w:rsidR="008B11BA" w:rsidRPr="00FF7C33" w:rsidRDefault="008B11BA" w:rsidP="00771EB2">
            <w:pPr>
              <w:tabs>
                <w:tab w:val="clear" w:pos="851"/>
              </w:tabs>
              <w:spacing w:after="58"/>
              <w:rPr>
                <w:bCs/>
              </w:rPr>
            </w:pPr>
            <w:bookmarkStart w:id="9" w:name="HighAct"/>
            <w:bookmarkEnd w:id="9"/>
          </w:p>
        </w:tc>
      </w:tr>
      <w:tr w:rsidR="00D725D6" w:rsidRPr="00FF7C33" w14:paraId="0554879C" w14:textId="77777777">
        <w:trPr>
          <w:jc w:val="center"/>
        </w:trPr>
        <w:tc>
          <w:tcPr>
            <w:tcW w:w="2245" w:type="dxa"/>
            <w:tcMar>
              <w:top w:w="85" w:type="dxa"/>
              <w:left w:w="85" w:type="dxa"/>
              <w:bottom w:w="85" w:type="dxa"/>
              <w:right w:w="85" w:type="dxa"/>
            </w:tcMar>
          </w:tcPr>
          <w:p w14:paraId="04E74C97" w14:textId="77777777" w:rsidR="00D725D6" w:rsidRPr="00FF7C33" w:rsidRDefault="00E371B8" w:rsidP="00C4608F">
            <w:pPr>
              <w:spacing w:after="58"/>
              <w:rPr>
                <w:bCs/>
              </w:rPr>
            </w:pPr>
            <w:r>
              <w:rPr>
                <w:bCs/>
                <w:i/>
              </w:rPr>
              <w:t>O</w:t>
            </w:r>
            <w:r w:rsidR="00D725D6" w:rsidRPr="00FF7C33">
              <w:rPr>
                <w:bCs/>
                <w:i/>
              </w:rPr>
              <w:t>utput:</w:t>
            </w:r>
          </w:p>
        </w:tc>
        <w:tc>
          <w:tcPr>
            <w:tcW w:w="6755" w:type="dxa"/>
            <w:tcMar>
              <w:top w:w="85" w:type="dxa"/>
              <w:left w:w="85" w:type="dxa"/>
              <w:bottom w:w="85" w:type="dxa"/>
              <w:right w:w="85" w:type="dxa"/>
            </w:tcMar>
          </w:tcPr>
          <w:p w14:paraId="3871EB16" w14:textId="77777777" w:rsidR="00D725D6" w:rsidRPr="00FF7C33" w:rsidRDefault="00D725D6" w:rsidP="00771EB2">
            <w:pPr>
              <w:tabs>
                <w:tab w:val="clear" w:pos="851"/>
              </w:tabs>
              <w:spacing w:after="58"/>
              <w:rPr>
                <w:bCs/>
              </w:rPr>
            </w:pPr>
            <w:bookmarkStart w:id="10" w:name="PlanOut"/>
            <w:bookmarkEnd w:id="10"/>
          </w:p>
        </w:tc>
      </w:tr>
      <w:tr w:rsidR="00A804CC" w:rsidRPr="00FF7C33" w14:paraId="6A30D343" w14:textId="77777777">
        <w:trPr>
          <w:jc w:val="center"/>
        </w:trPr>
        <w:tc>
          <w:tcPr>
            <w:tcW w:w="2245" w:type="dxa"/>
            <w:tcMar>
              <w:top w:w="85" w:type="dxa"/>
              <w:left w:w="85" w:type="dxa"/>
              <w:bottom w:w="85" w:type="dxa"/>
              <w:right w:w="85" w:type="dxa"/>
            </w:tcMar>
          </w:tcPr>
          <w:p w14:paraId="16E30C45" w14:textId="77777777" w:rsidR="00A804CC" w:rsidRPr="00FF7C33" w:rsidRDefault="00A804CC" w:rsidP="00C4608F">
            <w:pPr>
              <w:spacing w:after="58"/>
              <w:rPr>
                <w:bCs/>
              </w:rPr>
            </w:pPr>
            <w:r w:rsidRPr="00FF7C33">
              <w:rPr>
                <w:bCs/>
                <w:i/>
              </w:rPr>
              <w:t>Action to be taken:</w:t>
            </w:r>
          </w:p>
        </w:tc>
        <w:tc>
          <w:tcPr>
            <w:tcW w:w="6755" w:type="dxa"/>
            <w:tcMar>
              <w:top w:w="85" w:type="dxa"/>
              <w:left w:w="85" w:type="dxa"/>
              <w:bottom w:w="85" w:type="dxa"/>
              <w:right w:w="85" w:type="dxa"/>
            </w:tcMar>
          </w:tcPr>
          <w:p w14:paraId="1F5A6712" w14:textId="77777777" w:rsidR="00A804CC" w:rsidRPr="00FF7C33" w:rsidRDefault="00A804CC" w:rsidP="00771EB2">
            <w:pPr>
              <w:tabs>
                <w:tab w:val="clear" w:pos="851"/>
              </w:tabs>
              <w:spacing w:after="58"/>
              <w:rPr>
                <w:bCs/>
              </w:rPr>
            </w:pPr>
            <w:bookmarkStart w:id="11" w:name="Action"/>
            <w:bookmarkEnd w:id="11"/>
          </w:p>
        </w:tc>
      </w:tr>
      <w:tr w:rsidR="00A804CC" w:rsidRPr="00FF7C33" w14:paraId="65A9D6D6" w14:textId="77777777">
        <w:trPr>
          <w:jc w:val="center"/>
        </w:trPr>
        <w:tc>
          <w:tcPr>
            <w:tcW w:w="2245" w:type="dxa"/>
            <w:tcMar>
              <w:top w:w="85" w:type="dxa"/>
              <w:left w:w="85" w:type="dxa"/>
              <w:bottom w:w="85" w:type="dxa"/>
              <w:right w:w="85" w:type="dxa"/>
            </w:tcMar>
          </w:tcPr>
          <w:p w14:paraId="6E25943E" w14:textId="77777777" w:rsidR="00A804CC" w:rsidRPr="00FF7C33" w:rsidRDefault="00A804CC" w:rsidP="00C4608F">
            <w:pPr>
              <w:spacing w:after="58"/>
              <w:rPr>
                <w:bCs/>
              </w:rPr>
            </w:pPr>
            <w:r w:rsidRPr="00FF7C33">
              <w:rPr>
                <w:bCs/>
                <w:i/>
              </w:rPr>
              <w:t>Related documents:</w:t>
            </w:r>
          </w:p>
        </w:tc>
        <w:tc>
          <w:tcPr>
            <w:tcW w:w="6755" w:type="dxa"/>
            <w:tcMar>
              <w:top w:w="85" w:type="dxa"/>
              <w:left w:w="85" w:type="dxa"/>
              <w:bottom w:w="85" w:type="dxa"/>
              <w:right w:w="85" w:type="dxa"/>
            </w:tcMar>
          </w:tcPr>
          <w:p w14:paraId="32B505BC" w14:textId="77777777" w:rsidR="00A804CC" w:rsidRPr="00FF7C33" w:rsidRDefault="00A804CC" w:rsidP="00771EB2">
            <w:pPr>
              <w:tabs>
                <w:tab w:val="clear" w:pos="851"/>
              </w:tabs>
              <w:spacing w:after="58"/>
              <w:rPr>
                <w:bCs/>
              </w:rPr>
            </w:pPr>
            <w:bookmarkStart w:id="12" w:name="Reldoc"/>
            <w:bookmarkEnd w:id="12"/>
          </w:p>
        </w:tc>
      </w:tr>
    </w:tbl>
    <w:p w14:paraId="3FA3ABE8" w14:textId="77777777" w:rsidR="001C38E9" w:rsidRDefault="001C38E9" w:rsidP="00771EB2">
      <w:pPr>
        <w:tabs>
          <w:tab w:val="clear" w:pos="851"/>
        </w:tabs>
      </w:pPr>
    </w:p>
    <w:p w14:paraId="0506A6CC" w14:textId="77777777" w:rsidR="00296ABD" w:rsidRPr="00FF4E4C" w:rsidRDefault="00FF4E4C" w:rsidP="00771EB2">
      <w:pPr>
        <w:tabs>
          <w:tab w:val="clear" w:pos="851"/>
        </w:tabs>
        <w:rPr>
          <w:b/>
          <w:bCs/>
        </w:rPr>
      </w:pPr>
      <w:bookmarkStart w:id="13" w:name="main_document"/>
      <w:bookmarkEnd w:id="13"/>
      <w:r w:rsidRPr="00FF4E4C">
        <w:rPr>
          <w:b/>
          <w:bCs/>
        </w:rPr>
        <w:t>Background</w:t>
      </w:r>
    </w:p>
    <w:p w14:paraId="6B398678" w14:textId="77777777" w:rsidR="00FF4E4C" w:rsidRDefault="00FF4E4C" w:rsidP="00771EB2">
      <w:pPr>
        <w:tabs>
          <w:tab w:val="clear" w:pos="851"/>
        </w:tabs>
      </w:pPr>
    </w:p>
    <w:p w14:paraId="3ADE8A44" w14:textId="581112F0" w:rsidR="00F5344B" w:rsidRDefault="00982A28" w:rsidP="00F5344B">
      <w:pPr>
        <w:pStyle w:val="ListParagraph"/>
        <w:numPr>
          <w:ilvl w:val="0"/>
          <w:numId w:val="10"/>
        </w:numPr>
        <w:tabs>
          <w:tab w:val="clear" w:pos="851"/>
        </w:tabs>
        <w:ind w:left="0" w:firstLine="0"/>
      </w:pPr>
      <w:r>
        <w:t xml:space="preserve">Recalling that the 1995 Conference of Parties to the International Convention on Standards of Training, Certification and </w:t>
      </w:r>
      <w:proofErr w:type="spellStart"/>
      <w:r>
        <w:t>Watchkeeping</w:t>
      </w:r>
      <w:proofErr w:type="spellEnd"/>
      <w:r>
        <w:t xml:space="preserve"> for Seafarers (as amended) adopted resolution 10, which invited the Organization to consider developing provisions covering, </w:t>
      </w:r>
      <w:r w:rsidRPr="00024592">
        <w:rPr>
          <w:i/>
          <w:iCs/>
        </w:rPr>
        <w:t>inter alia</w:t>
      </w:r>
      <w:r>
        <w:t>, the training and certification of vessel traffic service personnel, t</w:t>
      </w:r>
      <w:r w:rsidR="001211C4">
        <w:t>he Maritime Safety Committee</w:t>
      </w:r>
      <w:r w:rsidR="00FF4E4C">
        <w:t xml:space="preserve"> at its </w:t>
      </w:r>
      <w:r w:rsidR="00F5344B">
        <w:t>seventy-secon</w:t>
      </w:r>
      <w:r w:rsidR="00C128DE">
        <w:t xml:space="preserve">d session </w:t>
      </w:r>
      <w:r w:rsidR="00F5344B">
        <w:t xml:space="preserve">(17 to 26 May 2000) approved MSC/Circ.952 </w:t>
      </w:r>
      <w:r w:rsidR="00FF4E4C">
        <w:t xml:space="preserve">on IALA standards for the training and certification of vessel traffic service (VTS) personnel. </w:t>
      </w:r>
    </w:p>
    <w:p w14:paraId="26C5FACA" w14:textId="77777777" w:rsidR="00F5344B" w:rsidRDefault="00F5344B" w:rsidP="001620E5">
      <w:pPr>
        <w:tabs>
          <w:tab w:val="clear" w:pos="851"/>
        </w:tabs>
      </w:pPr>
    </w:p>
    <w:p w14:paraId="0189C2A9" w14:textId="06A17A3B" w:rsidR="00F5344B" w:rsidRDefault="00F5344B" w:rsidP="00F5344B">
      <w:pPr>
        <w:pStyle w:val="ListParagraph"/>
        <w:numPr>
          <w:ilvl w:val="0"/>
          <w:numId w:val="10"/>
        </w:numPr>
        <w:tabs>
          <w:tab w:val="clear" w:pos="851"/>
        </w:tabs>
        <w:ind w:left="0" w:firstLine="0"/>
      </w:pPr>
      <w:r>
        <w:t>This</w:t>
      </w:r>
      <w:r w:rsidR="00BB707E">
        <w:t xml:space="preserve"> circular brought to the </w:t>
      </w:r>
      <w:r w:rsidR="0008429C">
        <w:t>attention</w:t>
      </w:r>
      <w:r w:rsidR="00BB707E">
        <w:t xml:space="preserve"> of VTS </w:t>
      </w:r>
      <w:r w:rsidR="007B63FD">
        <w:t>a</w:t>
      </w:r>
      <w:r w:rsidR="00BB707E">
        <w:t xml:space="preserve">uthorities, training </w:t>
      </w:r>
      <w:r w:rsidR="0008429C">
        <w:t>institutes</w:t>
      </w:r>
      <w:r w:rsidR="00BB707E">
        <w:t xml:space="preserve"> and other parties </w:t>
      </w:r>
      <w:r w:rsidR="0008429C">
        <w:t>concerned</w:t>
      </w:r>
      <w:r w:rsidR="00A7474A">
        <w:t>,</w:t>
      </w:r>
      <w:r w:rsidR="00BB707E">
        <w:t xml:space="preserve"> IALA Recommendation V-103 on</w:t>
      </w:r>
      <w:r w:rsidR="00337DB2">
        <w:t xml:space="preserve"> the standards for training and certification of VTS personnel </w:t>
      </w:r>
      <w:r w:rsidR="00BB707E">
        <w:t>and its associated model courses</w:t>
      </w:r>
      <w:r w:rsidR="00B61F68">
        <w:t>. This recommendation and its associated model courses</w:t>
      </w:r>
      <w:r w:rsidR="00BB707E">
        <w:t xml:space="preserve"> complement</w:t>
      </w:r>
      <w:r w:rsidR="0008429C">
        <w:t xml:space="preserve"> the</w:t>
      </w:r>
      <w:r w:rsidR="00BB707E">
        <w:t xml:space="preserve"> </w:t>
      </w:r>
      <w:r w:rsidR="00AA4321">
        <w:t>guidance</w:t>
      </w:r>
      <w:r w:rsidR="00BB707E">
        <w:t xml:space="preserve"> on the recruitment, qualification and training of VTS personnel contained within resolution </w:t>
      </w:r>
      <w:r w:rsidR="00E25398">
        <w:t>A</w:t>
      </w:r>
      <w:r w:rsidR="00BB707E">
        <w:t>.857(20) on guidelines for vessel traffic services.</w:t>
      </w:r>
    </w:p>
    <w:p w14:paraId="19114906" w14:textId="77777777" w:rsidR="00F5344B" w:rsidRDefault="00F5344B" w:rsidP="00F5344B">
      <w:pPr>
        <w:tabs>
          <w:tab w:val="clear" w:pos="851"/>
        </w:tabs>
      </w:pPr>
    </w:p>
    <w:p w14:paraId="7BDAEF0A" w14:textId="77777777" w:rsidR="00F5344B" w:rsidRDefault="00F5344B" w:rsidP="00F5344B">
      <w:pPr>
        <w:pStyle w:val="ListParagraph"/>
        <w:tabs>
          <w:tab w:val="clear" w:pos="851"/>
        </w:tabs>
        <w:ind w:left="0"/>
      </w:pPr>
    </w:p>
    <w:p w14:paraId="7B5185DF" w14:textId="75A44B87" w:rsidR="00F5344B" w:rsidRDefault="000B6463" w:rsidP="00F5344B">
      <w:pPr>
        <w:pStyle w:val="ListParagraph"/>
        <w:numPr>
          <w:ilvl w:val="0"/>
          <w:numId w:val="10"/>
        </w:numPr>
        <w:tabs>
          <w:tab w:val="clear" w:pos="851"/>
        </w:tabs>
        <w:ind w:left="0" w:firstLine="0"/>
      </w:pPr>
      <w:r>
        <w:t>MSC/Circ.952</w:t>
      </w:r>
      <w:r w:rsidR="00F5344B">
        <w:t xml:space="preserve"> was subsequently amended by the Maritime Safety Committee at its seventy-seventh session (2 to 13 December 2002) where it approved MSC/Circ.1065 following the publication of an additional model course.</w:t>
      </w:r>
    </w:p>
    <w:p w14:paraId="422FA524" w14:textId="77777777" w:rsidR="00BB707E" w:rsidRDefault="00BB707E" w:rsidP="001620E5">
      <w:pPr>
        <w:tabs>
          <w:tab w:val="clear" w:pos="851"/>
        </w:tabs>
      </w:pPr>
    </w:p>
    <w:p w14:paraId="7BC289E9" w14:textId="22107627" w:rsidR="00F5344B" w:rsidRDefault="00AE6C08" w:rsidP="001720CA">
      <w:pPr>
        <w:pStyle w:val="ListParagraph"/>
        <w:numPr>
          <w:ilvl w:val="0"/>
          <w:numId w:val="10"/>
        </w:numPr>
        <w:tabs>
          <w:tab w:val="clear" w:pos="851"/>
        </w:tabs>
        <w:ind w:left="0" w:firstLine="0"/>
      </w:pPr>
      <w:r>
        <w:t>Since the adoption of</w:t>
      </w:r>
      <w:r w:rsidR="00F5344B">
        <w:t xml:space="preserve"> MSC/Circ.</w:t>
      </w:r>
      <w:r w:rsidR="001211C4">
        <w:t>1065,</w:t>
      </w:r>
      <w:r w:rsidR="008279B4">
        <w:t xml:space="preserve"> </w:t>
      </w:r>
      <w:r>
        <w:t xml:space="preserve">IALA </w:t>
      </w:r>
      <w:r w:rsidR="00C128DE">
        <w:t xml:space="preserve">has </w:t>
      </w:r>
      <w:r>
        <w:t xml:space="preserve">published </w:t>
      </w:r>
      <w:r w:rsidR="00CC6D94">
        <w:t xml:space="preserve">a further </w:t>
      </w:r>
      <w:r>
        <w:t>model course</w:t>
      </w:r>
      <w:r w:rsidR="00CC6D94">
        <w:t>,</w:t>
      </w:r>
      <w:r w:rsidR="008279B4">
        <w:t xml:space="preserve"> </w:t>
      </w:r>
      <w:r>
        <w:t>V-103/5 on the revalidation process for VTS qualification and certification</w:t>
      </w:r>
      <w:r w:rsidR="00B73DD5" w:rsidRPr="00B73DD5">
        <w:t xml:space="preserve"> </w:t>
      </w:r>
      <w:r w:rsidR="00B73DD5">
        <w:t>in June 2016</w:t>
      </w:r>
      <w:r>
        <w:t>.</w:t>
      </w:r>
      <w:r w:rsidR="00F5344B">
        <w:t xml:space="preserve"> This document presents draft updates to MSC/Circ.1065 to incorporate the newly published model course. </w:t>
      </w:r>
    </w:p>
    <w:p w14:paraId="7AAD5FBC" w14:textId="77777777" w:rsidR="00F5344B" w:rsidRDefault="00F5344B" w:rsidP="00F5344B">
      <w:pPr>
        <w:pStyle w:val="ListParagraph"/>
        <w:tabs>
          <w:tab w:val="clear" w:pos="851"/>
        </w:tabs>
        <w:ind w:left="0"/>
      </w:pPr>
    </w:p>
    <w:p w14:paraId="1432CBD6" w14:textId="77777777" w:rsidR="00F5344B" w:rsidRPr="0081741E" w:rsidRDefault="00F5344B" w:rsidP="00F5344B">
      <w:pPr>
        <w:pStyle w:val="ListParagraph"/>
        <w:tabs>
          <w:tab w:val="clear" w:pos="851"/>
        </w:tabs>
        <w:ind w:left="0"/>
      </w:pPr>
    </w:p>
    <w:p w14:paraId="33E3A013" w14:textId="77777777" w:rsidR="00F23402" w:rsidRPr="00F23402" w:rsidRDefault="00F23402" w:rsidP="00F23402">
      <w:pPr>
        <w:tabs>
          <w:tab w:val="clear" w:pos="851"/>
        </w:tabs>
        <w:rPr>
          <w:rFonts w:cs="Arial"/>
          <w:b/>
          <w:bCs/>
          <w:szCs w:val="22"/>
        </w:rPr>
      </w:pPr>
      <w:r w:rsidRPr="00F23402">
        <w:rPr>
          <w:rFonts w:cs="Arial"/>
          <w:b/>
          <w:bCs/>
          <w:szCs w:val="22"/>
        </w:rPr>
        <w:t>Discussion</w:t>
      </w:r>
    </w:p>
    <w:p w14:paraId="3E80CF4C" w14:textId="77777777" w:rsidR="00F23402" w:rsidRDefault="00F23402" w:rsidP="00F23402">
      <w:pPr>
        <w:tabs>
          <w:tab w:val="clear" w:pos="851"/>
        </w:tabs>
        <w:rPr>
          <w:rFonts w:cs="Arial"/>
          <w:szCs w:val="22"/>
        </w:rPr>
      </w:pPr>
    </w:p>
    <w:p w14:paraId="4FB4C67E" w14:textId="2A082782" w:rsidR="00EE2E2E" w:rsidRDefault="00DE6353" w:rsidP="00AA4321">
      <w:pPr>
        <w:pStyle w:val="ListParagraph"/>
        <w:numPr>
          <w:ilvl w:val="0"/>
          <w:numId w:val="10"/>
        </w:numPr>
        <w:tabs>
          <w:tab w:val="clear" w:pos="851"/>
        </w:tabs>
        <w:ind w:left="0" w:firstLine="0"/>
      </w:pPr>
      <w:r>
        <w:t>Resolution A.857(20) states that once suitably qualified and trained VTSO’s are performing on the job, their performance must be observed and monitored to ensure that it continues to meet the established standards.</w:t>
      </w:r>
      <w:r w:rsidR="00CC6D94">
        <w:t xml:space="preserve"> In addition to encompassing the monitoring of VTSO performance,</w:t>
      </w:r>
      <w:r w:rsidR="00AA4321">
        <w:t xml:space="preserve"> </w:t>
      </w:r>
      <w:r w:rsidR="00EE2E2E">
        <w:t xml:space="preserve">IALA model course V-103/5 </w:t>
      </w:r>
      <w:r w:rsidR="00CC6D94">
        <w:t xml:space="preserve">also </w:t>
      </w:r>
      <w:r w:rsidR="00EE2E2E">
        <w:t xml:space="preserve">encompasses the definition of refresher training contained within resolution A.857(20) by ensuring that training is carried out to maintain a certain level of performance and skills in areas of knowledge which are infrequently used and where the consequence of </w:t>
      </w:r>
      <w:r w:rsidR="002529C9">
        <w:t>non-performance</w:t>
      </w:r>
      <w:r w:rsidR="00EE2E2E">
        <w:t xml:space="preserve"> is great.</w:t>
      </w:r>
    </w:p>
    <w:p w14:paraId="1240A316" w14:textId="77777777" w:rsidR="00DE6353" w:rsidRDefault="00DE6353" w:rsidP="001620E5">
      <w:pPr>
        <w:tabs>
          <w:tab w:val="clear" w:pos="851"/>
        </w:tabs>
        <w:rPr>
          <w:rFonts w:cs="Arial"/>
          <w:szCs w:val="22"/>
        </w:rPr>
      </w:pPr>
    </w:p>
    <w:p w14:paraId="6E9D5AA4" w14:textId="7F5BAB59" w:rsidR="00F23402" w:rsidRPr="001620E5" w:rsidRDefault="00F23402" w:rsidP="00AA4321">
      <w:pPr>
        <w:pStyle w:val="ListParagraph"/>
        <w:numPr>
          <w:ilvl w:val="0"/>
          <w:numId w:val="10"/>
        </w:numPr>
        <w:tabs>
          <w:tab w:val="clear" w:pos="851"/>
        </w:tabs>
        <w:ind w:left="0" w:firstLine="0"/>
        <w:rPr>
          <w:rFonts w:cs="Arial"/>
          <w:szCs w:val="22"/>
        </w:rPr>
      </w:pPr>
      <w:r w:rsidRPr="001620E5">
        <w:rPr>
          <w:rFonts w:cs="Arial"/>
          <w:szCs w:val="22"/>
        </w:rPr>
        <w:t>IALA model course V-103/5 on the revalidation process for VTS qualification and certifi</w:t>
      </w:r>
      <w:r w:rsidR="00772B00" w:rsidRPr="001620E5">
        <w:rPr>
          <w:rFonts w:cs="Arial"/>
          <w:szCs w:val="22"/>
        </w:rPr>
        <w:t xml:space="preserve">cation provides </w:t>
      </w:r>
      <w:r w:rsidR="00782F34" w:rsidRPr="001620E5">
        <w:rPr>
          <w:rFonts w:cs="Arial"/>
          <w:szCs w:val="22"/>
        </w:rPr>
        <w:t>guidance to competent authorities, accredited VTS training organisation</w:t>
      </w:r>
      <w:r w:rsidR="00AA4321">
        <w:rPr>
          <w:rFonts w:cs="Arial"/>
          <w:szCs w:val="22"/>
        </w:rPr>
        <w:t>s</w:t>
      </w:r>
      <w:r w:rsidR="00782F34" w:rsidRPr="001620E5">
        <w:rPr>
          <w:rFonts w:cs="Arial"/>
          <w:szCs w:val="22"/>
        </w:rPr>
        <w:t xml:space="preserve"> and VTS authorities on how to maintain and improve the quality of performance of their VTS </w:t>
      </w:r>
      <w:r w:rsidR="00AA4321">
        <w:rPr>
          <w:rFonts w:cs="Arial"/>
          <w:szCs w:val="22"/>
        </w:rPr>
        <w:t>operators</w:t>
      </w:r>
      <w:r w:rsidR="00782F34" w:rsidRPr="001620E5">
        <w:rPr>
          <w:rFonts w:cs="Arial"/>
          <w:szCs w:val="22"/>
        </w:rPr>
        <w:t xml:space="preserve">, by means of </w:t>
      </w:r>
      <w:r w:rsidR="002803C8" w:rsidRPr="001620E5">
        <w:rPr>
          <w:rFonts w:cs="Arial"/>
          <w:szCs w:val="22"/>
        </w:rPr>
        <w:t xml:space="preserve">training, in order to enable the revalidation of </w:t>
      </w:r>
      <w:r w:rsidR="00DE6353" w:rsidRPr="001620E5">
        <w:rPr>
          <w:rFonts w:cs="Arial"/>
          <w:szCs w:val="22"/>
        </w:rPr>
        <w:t>VTS qualification and certification.</w:t>
      </w:r>
      <w:r w:rsidR="002803C8" w:rsidRPr="001620E5">
        <w:rPr>
          <w:rFonts w:cs="Arial"/>
          <w:szCs w:val="22"/>
        </w:rPr>
        <w:t xml:space="preserve"> </w:t>
      </w:r>
    </w:p>
    <w:p w14:paraId="7BDC743D" w14:textId="77777777" w:rsidR="002803C8" w:rsidRDefault="002803C8" w:rsidP="001620E5">
      <w:pPr>
        <w:tabs>
          <w:tab w:val="clear" w:pos="851"/>
        </w:tabs>
        <w:rPr>
          <w:rFonts w:cs="Arial"/>
          <w:szCs w:val="22"/>
        </w:rPr>
      </w:pPr>
    </w:p>
    <w:p w14:paraId="7497BF1E" w14:textId="0A91031B" w:rsidR="002803C8" w:rsidRPr="00AA4321" w:rsidRDefault="002803C8" w:rsidP="00AA4321">
      <w:pPr>
        <w:pStyle w:val="ListParagraph"/>
        <w:numPr>
          <w:ilvl w:val="0"/>
          <w:numId w:val="10"/>
        </w:numPr>
        <w:tabs>
          <w:tab w:val="clear" w:pos="851"/>
        </w:tabs>
        <w:ind w:left="0" w:firstLine="0"/>
        <w:rPr>
          <w:rFonts w:cs="Arial"/>
          <w:szCs w:val="22"/>
        </w:rPr>
      </w:pPr>
      <w:r w:rsidRPr="001620E5">
        <w:rPr>
          <w:rFonts w:cs="Arial"/>
          <w:szCs w:val="22"/>
        </w:rPr>
        <w:t>The revalidation of a VTS qualification may be required in a variety of situations. Within IALA model course V-103/5</w:t>
      </w:r>
      <w:r w:rsidR="00D80F9D">
        <w:rPr>
          <w:rFonts w:cs="Arial"/>
          <w:szCs w:val="22"/>
        </w:rPr>
        <w:t>,</w:t>
      </w:r>
      <w:r w:rsidRPr="001620E5">
        <w:rPr>
          <w:rFonts w:cs="Arial"/>
          <w:szCs w:val="22"/>
        </w:rPr>
        <w:t xml:space="preserve"> these situations are described together with the most </w:t>
      </w:r>
      <w:r w:rsidR="00DE6353" w:rsidRPr="001620E5">
        <w:rPr>
          <w:rFonts w:cs="Arial"/>
          <w:szCs w:val="22"/>
        </w:rPr>
        <w:t>appropriate</w:t>
      </w:r>
      <w:r w:rsidRPr="001620E5">
        <w:rPr>
          <w:rFonts w:cs="Arial"/>
          <w:szCs w:val="22"/>
        </w:rPr>
        <w:t xml:space="preserve"> course of action for the revalidation of a VTS qualification.</w:t>
      </w:r>
      <w:r w:rsidR="00AA4321">
        <w:rPr>
          <w:rFonts w:cs="Arial"/>
          <w:szCs w:val="22"/>
        </w:rPr>
        <w:t xml:space="preserve"> </w:t>
      </w:r>
      <w:r w:rsidRPr="00AA4321">
        <w:rPr>
          <w:rFonts w:cs="Arial"/>
          <w:szCs w:val="22"/>
        </w:rPr>
        <w:t>IALA model course V-103/5 describes three situations where the revalidation of a VTS qualification may be require</w:t>
      </w:r>
      <w:r w:rsidR="00D80F9D">
        <w:rPr>
          <w:rFonts w:cs="Arial"/>
          <w:szCs w:val="22"/>
        </w:rPr>
        <w:t>d:</w:t>
      </w:r>
    </w:p>
    <w:p w14:paraId="19ECF98B" w14:textId="77777777" w:rsidR="002803C8" w:rsidRDefault="002803C8" w:rsidP="00782F34">
      <w:pPr>
        <w:tabs>
          <w:tab w:val="clear" w:pos="851"/>
        </w:tabs>
        <w:rPr>
          <w:rFonts w:cs="Arial"/>
          <w:szCs w:val="22"/>
        </w:rPr>
      </w:pPr>
    </w:p>
    <w:p w14:paraId="0A42809C" w14:textId="731E01B6" w:rsidR="002803C8" w:rsidRPr="00084E18" w:rsidRDefault="002803C8" w:rsidP="00B556D1">
      <w:pPr>
        <w:pStyle w:val="ListParagraph"/>
        <w:numPr>
          <w:ilvl w:val="0"/>
          <w:numId w:val="19"/>
        </w:numPr>
        <w:tabs>
          <w:tab w:val="clear" w:pos="851"/>
        </w:tabs>
        <w:rPr>
          <w:rFonts w:cs="Arial"/>
          <w:szCs w:val="22"/>
        </w:rPr>
      </w:pPr>
      <w:r w:rsidRPr="00084E18">
        <w:rPr>
          <w:rFonts w:cs="Arial"/>
          <w:szCs w:val="22"/>
        </w:rPr>
        <w:t xml:space="preserve">The VTS qualification or </w:t>
      </w:r>
      <w:r w:rsidR="00DE6353" w:rsidRPr="00084E18">
        <w:rPr>
          <w:rFonts w:cs="Arial"/>
          <w:szCs w:val="22"/>
        </w:rPr>
        <w:t xml:space="preserve">VTS </w:t>
      </w:r>
      <w:r w:rsidRPr="00084E18">
        <w:rPr>
          <w:rFonts w:cs="Arial"/>
          <w:szCs w:val="22"/>
        </w:rPr>
        <w:t>certification log is approaching its expiry date</w:t>
      </w:r>
      <w:r w:rsidR="007E2C04" w:rsidRPr="00084E18">
        <w:rPr>
          <w:rFonts w:cs="Arial"/>
          <w:szCs w:val="22"/>
        </w:rPr>
        <w:t xml:space="preserve"> – this </w:t>
      </w:r>
      <w:r w:rsidR="00B556D1" w:rsidRPr="00084E18">
        <w:rPr>
          <w:rFonts w:cs="Arial"/>
          <w:szCs w:val="22"/>
        </w:rPr>
        <w:t>is</w:t>
      </w:r>
      <w:r w:rsidR="007E2C04" w:rsidRPr="00084E18">
        <w:rPr>
          <w:rFonts w:cs="Arial"/>
          <w:szCs w:val="22"/>
        </w:rPr>
        <w:t xml:space="preserve"> Recurrent Training under IALA model course V-103/5</w:t>
      </w:r>
      <w:r w:rsidRPr="00084E18">
        <w:rPr>
          <w:rFonts w:cs="Arial"/>
          <w:szCs w:val="22"/>
        </w:rPr>
        <w:t>,</w:t>
      </w:r>
    </w:p>
    <w:p w14:paraId="687E6C7E" w14:textId="77777777" w:rsidR="0038291A" w:rsidRPr="00084E18" w:rsidRDefault="0038291A" w:rsidP="0038291A">
      <w:pPr>
        <w:pStyle w:val="ListParagraph"/>
        <w:tabs>
          <w:tab w:val="clear" w:pos="851"/>
        </w:tabs>
        <w:rPr>
          <w:rFonts w:cs="Arial"/>
          <w:szCs w:val="22"/>
        </w:rPr>
      </w:pPr>
    </w:p>
    <w:p w14:paraId="344C9AE4" w14:textId="48049675" w:rsidR="002803C8" w:rsidRPr="00084E18" w:rsidRDefault="002803C8" w:rsidP="00B556D1">
      <w:pPr>
        <w:pStyle w:val="ListParagraph"/>
        <w:numPr>
          <w:ilvl w:val="0"/>
          <w:numId w:val="19"/>
        </w:numPr>
        <w:tabs>
          <w:tab w:val="clear" w:pos="851"/>
        </w:tabs>
        <w:rPr>
          <w:rFonts w:cs="Arial"/>
          <w:szCs w:val="22"/>
        </w:rPr>
      </w:pPr>
      <w:r w:rsidRPr="00084E18">
        <w:rPr>
          <w:rFonts w:cs="Arial"/>
          <w:szCs w:val="22"/>
        </w:rPr>
        <w:t>There are changes to the physical environment of the VTS or the tasks of the VTSO which necessitate additional training</w:t>
      </w:r>
      <w:r w:rsidR="00B556D1" w:rsidRPr="00084E18">
        <w:rPr>
          <w:rFonts w:cs="Arial"/>
          <w:szCs w:val="22"/>
        </w:rPr>
        <w:t xml:space="preserve"> – this is Adaptation Training under IALA model course V-103/5</w:t>
      </w:r>
      <w:r w:rsidR="001D7B1E">
        <w:rPr>
          <w:rFonts w:cs="Arial"/>
          <w:szCs w:val="22"/>
        </w:rPr>
        <w:t>,</w:t>
      </w:r>
    </w:p>
    <w:p w14:paraId="5514FCA2" w14:textId="77777777" w:rsidR="0038291A" w:rsidRPr="00084E18" w:rsidRDefault="0038291A" w:rsidP="0038291A">
      <w:pPr>
        <w:tabs>
          <w:tab w:val="clear" w:pos="851"/>
        </w:tabs>
        <w:rPr>
          <w:rFonts w:cs="Arial"/>
          <w:szCs w:val="22"/>
        </w:rPr>
      </w:pPr>
    </w:p>
    <w:p w14:paraId="3F1DD387" w14:textId="7F379A2D" w:rsidR="002803C8" w:rsidRPr="00084E18" w:rsidRDefault="002803C8" w:rsidP="0038291A">
      <w:pPr>
        <w:pStyle w:val="ListParagraph"/>
        <w:numPr>
          <w:ilvl w:val="0"/>
          <w:numId w:val="19"/>
        </w:numPr>
        <w:tabs>
          <w:tab w:val="clear" w:pos="851"/>
        </w:tabs>
        <w:rPr>
          <w:rFonts w:cs="Arial"/>
          <w:szCs w:val="22"/>
        </w:rPr>
      </w:pPr>
      <w:r w:rsidRPr="00084E18">
        <w:rPr>
          <w:rFonts w:cs="Arial"/>
          <w:szCs w:val="22"/>
        </w:rPr>
        <w:t>There is a break in service, unsatisfactory performance or other circumstances leading to a reduced level of competence</w:t>
      </w:r>
      <w:r w:rsidR="00B556D1" w:rsidRPr="00084E18">
        <w:rPr>
          <w:rFonts w:cs="Arial"/>
          <w:szCs w:val="22"/>
        </w:rPr>
        <w:t xml:space="preserve"> – this is Updating Training under IALA model Course V-103/5</w:t>
      </w:r>
      <w:r w:rsidRPr="00084E18">
        <w:rPr>
          <w:rFonts w:cs="Arial"/>
          <w:szCs w:val="22"/>
        </w:rPr>
        <w:t>.</w:t>
      </w:r>
    </w:p>
    <w:p w14:paraId="00202B0F" w14:textId="77777777" w:rsidR="00664C0B" w:rsidRDefault="00664C0B" w:rsidP="00AA5491">
      <w:pPr>
        <w:pStyle w:val="ListParagraph"/>
        <w:tabs>
          <w:tab w:val="clear" w:pos="851"/>
        </w:tabs>
        <w:ind w:left="0"/>
        <w:rPr>
          <w:rFonts w:cs="Arial"/>
          <w:szCs w:val="22"/>
        </w:rPr>
      </w:pPr>
    </w:p>
    <w:p w14:paraId="2D02BE20" w14:textId="392A841E" w:rsidR="007B63FD" w:rsidRDefault="007B63FD" w:rsidP="001F09FE">
      <w:pPr>
        <w:pStyle w:val="ListParagraph"/>
        <w:numPr>
          <w:ilvl w:val="0"/>
          <w:numId w:val="10"/>
        </w:numPr>
        <w:tabs>
          <w:tab w:val="clear" w:pos="851"/>
        </w:tabs>
        <w:ind w:left="0" w:firstLine="0"/>
        <w:rPr>
          <w:rFonts w:cs="Arial"/>
          <w:szCs w:val="22"/>
        </w:rPr>
      </w:pPr>
      <w:r>
        <w:rPr>
          <w:rFonts w:cs="Arial"/>
          <w:szCs w:val="22"/>
        </w:rPr>
        <w:t xml:space="preserve">The draft amendments to MSC/Circ.1065 incorporate IALA model course V-103/5 </w:t>
      </w:r>
      <w:r w:rsidR="00F97764">
        <w:rPr>
          <w:rFonts w:cs="Arial"/>
          <w:szCs w:val="22"/>
        </w:rPr>
        <w:t xml:space="preserve">and </w:t>
      </w:r>
      <w:r>
        <w:rPr>
          <w:rFonts w:cs="Arial"/>
          <w:szCs w:val="22"/>
        </w:rPr>
        <w:t xml:space="preserve">propose some minor modifications to the </w:t>
      </w:r>
      <w:r w:rsidR="00F97764">
        <w:rPr>
          <w:rFonts w:cs="Arial"/>
          <w:szCs w:val="22"/>
        </w:rPr>
        <w:t xml:space="preserve">general </w:t>
      </w:r>
      <w:r>
        <w:rPr>
          <w:rFonts w:cs="Arial"/>
          <w:szCs w:val="22"/>
        </w:rPr>
        <w:t>structure of the circular to r</w:t>
      </w:r>
      <w:r w:rsidR="00EF19C0">
        <w:rPr>
          <w:rFonts w:cs="Arial"/>
          <w:szCs w:val="22"/>
        </w:rPr>
        <w:t xml:space="preserve">educe the level of </w:t>
      </w:r>
      <w:r>
        <w:rPr>
          <w:rFonts w:cs="Arial"/>
          <w:szCs w:val="22"/>
        </w:rPr>
        <w:t xml:space="preserve">repetition and enhance its </w:t>
      </w:r>
      <w:r w:rsidR="00AA5491">
        <w:rPr>
          <w:rFonts w:cs="Arial"/>
          <w:szCs w:val="22"/>
        </w:rPr>
        <w:t xml:space="preserve">general </w:t>
      </w:r>
      <w:r>
        <w:rPr>
          <w:rFonts w:cs="Arial"/>
          <w:szCs w:val="22"/>
        </w:rPr>
        <w:t>readabilit</w:t>
      </w:r>
      <w:r w:rsidR="00AA5491">
        <w:rPr>
          <w:rFonts w:cs="Arial"/>
          <w:szCs w:val="22"/>
        </w:rPr>
        <w:t>y and utility to all parties involved in the provision of vessel traffic services</w:t>
      </w:r>
      <w:r>
        <w:rPr>
          <w:rFonts w:cs="Arial"/>
          <w:szCs w:val="22"/>
        </w:rPr>
        <w:t>.</w:t>
      </w:r>
    </w:p>
    <w:p w14:paraId="500DBD99" w14:textId="77777777" w:rsidR="00BB4272" w:rsidRDefault="00BB4272" w:rsidP="00F23402">
      <w:pPr>
        <w:tabs>
          <w:tab w:val="clear" w:pos="851"/>
        </w:tabs>
        <w:rPr>
          <w:rFonts w:cs="Arial"/>
          <w:szCs w:val="22"/>
        </w:rPr>
      </w:pPr>
    </w:p>
    <w:p w14:paraId="1D4069F9" w14:textId="499C742E" w:rsidR="005235F4" w:rsidRPr="005235F4" w:rsidRDefault="005235F4" w:rsidP="00F23402">
      <w:pPr>
        <w:tabs>
          <w:tab w:val="clear" w:pos="851"/>
        </w:tabs>
        <w:rPr>
          <w:rFonts w:cs="Arial"/>
          <w:b/>
          <w:bCs/>
          <w:szCs w:val="22"/>
        </w:rPr>
      </w:pPr>
      <w:r w:rsidRPr="005235F4">
        <w:rPr>
          <w:rFonts w:cs="Arial"/>
          <w:b/>
          <w:bCs/>
          <w:szCs w:val="22"/>
        </w:rPr>
        <w:t>Action requested of the Committee</w:t>
      </w:r>
    </w:p>
    <w:p w14:paraId="4B2E4867" w14:textId="77777777" w:rsidR="005235F4" w:rsidRDefault="005235F4" w:rsidP="00F23402">
      <w:pPr>
        <w:tabs>
          <w:tab w:val="clear" w:pos="851"/>
        </w:tabs>
        <w:rPr>
          <w:rFonts w:cs="Arial"/>
          <w:szCs w:val="22"/>
        </w:rPr>
      </w:pPr>
    </w:p>
    <w:p w14:paraId="6D20827D" w14:textId="0E55106F" w:rsidR="00664C0B" w:rsidRDefault="00D37DBB" w:rsidP="00B556D1">
      <w:pPr>
        <w:pStyle w:val="ListParagraph"/>
        <w:numPr>
          <w:ilvl w:val="0"/>
          <w:numId w:val="10"/>
        </w:numPr>
        <w:tabs>
          <w:tab w:val="clear" w:pos="851"/>
        </w:tabs>
        <w:ind w:left="0" w:firstLine="0"/>
      </w:pPr>
      <w:r w:rsidRPr="001F09FE">
        <w:rPr>
          <w:rFonts w:cs="Arial"/>
          <w:szCs w:val="22"/>
        </w:rPr>
        <w:t xml:space="preserve">The Committee is requested to consider the draft amendments to MSC/Circ.1065 contained </w:t>
      </w:r>
      <w:r w:rsidR="00776E5F" w:rsidRPr="001F09FE">
        <w:rPr>
          <w:rFonts w:cs="Arial"/>
          <w:szCs w:val="22"/>
        </w:rPr>
        <w:t>in the annex to this document, and take action as appropriate.</w:t>
      </w:r>
    </w:p>
    <w:p w14:paraId="133ADD6A" w14:textId="77777777" w:rsidR="00664C0B" w:rsidRPr="00776E5F" w:rsidRDefault="00664C0B" w:rsidP="001F09FE">
      <w:pPr>
        <w:pStyle w:val="ListParagraph"/>
        <w:tabs>
          <w:tab w:val="clear" w:pos="851"/>
        </w:tabs>
        <w:ind w:left="0"/>
      </w:pPr>
    </w:p>
    <w:p w14:paraId="1221DD9C" w14:textId="2C3084EF" w:rsidR="005235F4" w:rsidRPr="001F09FE" w:rsidRDefault="001F09FE" w:rsidP="001F09FE">
      <w:pPr>
        <w:tabs>
          <w:tab w:val="clear" w:pos="851"/>
        </w:tabs>
        <w:jc w:val="center"/>
        <w:rPr>
          <w:b/>
          <w:bCs/>
        </w:rPr>
      </w:pPr>
      <w:r w:rsidRPr="001F09FE">
        <w:rPr>
          <w:b/>
          <w:bCs/>
        </w:rPr>
        <w:t>ANNEX</w:t>
      </w:r>
    </w:p>
    <w:p w14:paraId="381F84A5" w14:textId="77777777" w:rsidR="001F09FE" w:rsidRPr="001F09FE" w:rsidRDefault="001F09FE" w:rsidP="001F09FE">
      <w:pPr>
        <w:tabs>
          <w:tab w:val="clear" w:pos="851"/>
        </w:tabs>
        <w:jc w:val="center"/>
        <w:rPr>
          <w:b/>
          <w:bCs/>
        </w:rPr>
      </w:pPr>
    </w:p>
    <w:p w14:paraId="5C689A3E" w14:textId="69B83ACD" w:rsidR="001F09FE" w:rsidRPr="001F09FE" w:rsidRDefault="001F09FE" w:rsidP="001F09FE">
      <w:pPr>
        <w:tabs>
          <w:tab w:val="clear" w:pos="851"/>
        </w:tabs>
        <w:jc w:val="center"/>
        <w:rPr>
          <w:b/>
          <w:bCs/>
        </w:rPr>
      </w:pPr>
      <w:r w:rsidRPr="001F09FE">
        <w:rPr>
          <w:b/>
          <w:bCs/>
        </w:rPr>
        <w:t>PROPOSED UPDATES TO MSC/CIRC.1065</w:t>
      </w:r>
    </w:p>
    <w:p w14:paraId="5BB4A8F5" w14:textId="3CC29AB7" w:rsidR="001F09FE" w:rsidRDefault="001F09FE" w:rsidP="001F09FE">
      <w:pPr>
        <w:tabs>
          <w:tab w:val="clear" w:pos="851"/>
        </w:tabs>
        <w:jc w:val="center"/>
      </w:pPr>
      <w:r>
        <w:t xml:space="preserve">(Shown as </w:t>
      </w:r>
      <w:r w:rsidRPr="001F09FE">
        <w:rPr>
          <w:u w:val="single"/>
        </w:rPr>
        <w:t>insertions</w:t>
      </w:r>
      <w:r>
        <w:t>/</w:t>
      </w:r>
      <w:r w:rsidRPr="001F09FE">
        <w:rPr>
          <w:strike/>
        </w:rPr>
        <w:t>deletions</w:t>
      </w:r>
      <w:r>
        <w:t>)</w:t>
      </w:r>
    </w:p>
    <w:p w14:paraId="14E014D5" w14:textId="77777777" w:rsidR="001F09FE" w:rsidRDefault="001F09FE" w:rsidP="001F09FE">
      <w:pPr>
        <w:tabs>
          <w:tab w:val="clear" w:pos="851"/>
        </w:tabs>
        <w:jc w:val="center"/>
      </w:pPr>
    </w:p>
    <w:p w14:paraId="5842E076" w14:textId="77777777" w:rsidR="001F09FE" w:rsidRPr="00564112" w:rsidRDefault="001F09FE" w:rsidP="001F09FE">
      <w:pPr>
        <w:pStyle w:val="NoSpacing"/>
        <w:jc w:val="center"/>
        <w:rPr>
          <w:rFonts w:ascii="Arial" w:hAnsi="Arial" w:cs="Arial"/>
          <w:b/>
          <w:bCs/>
          <w:sz w:val="22"/>
          <w:szCs w:val="22"/>
        </w:rPr>
      </w:pPr>
      <w:r w:rsidRPr="00564112">
        <w:rPr>
          <w:rFonts w:ascii="Arial" w:hAnsi="Arial" w:cs="Arial"/>
          <w:b/>
          <w:bCs/>
          <w:sz w:val="22"/>
          <w:szCs w:val="22"/>
        </w:rPr>
        <w:t>IALA STANDARDS FOR TRAINING AND CERTIFICATION OF VESSEL TRAFFIC SERVICE (VTS) PERSONNEL</w:t>
      </w:r>
    </w:p>
    <w:p w14:paraId="18AA02A2" w14:textId="77777777" w:rsidR="001F09FE" w:rsidRPr="006368EB" w:rsidRDefault="001F09FE" w:rsidP="001F09FE">
      <w:pPr>
        <w:pStyle w:val="NoSpacing"/>
        <w:rPr>
          <w:rFonts w:ascii="Arial" w:hAnsi="Arial" w:cs="Arial"/>
          <w:sz w:val="22"/>
          <w:szCs w:val="22"/>
        </w:rPr>
      </w:pPr>
    </w:p>
    <w:p w14:paraId="4D33CCAE" w14:textId="43F1DC7F" w:rsidR="001F09FE" w:rsidRDefault="001F09FE" w:rsidP="0066484D">
      <w:pPr>
        <w:pStyle w:val="NoSpacing"/>
        <w:numPr>
          <w:ilvl w:val="0"/>
          <w:numId w:val="14"/>
        </w:numPr>
        <w:ind w:left="0" w:firstLine="0"/>
        <w:jc w:val="both"/>
        <w:rPr>
          <w:rFonts w:ascii="Arial" w:hAnsi="Arial" w:cs="Arial"/>
          <w:sz w:val="22"/>
          <w:szCs w:val="22"/>
        </w:rPr>
      </w:pPr>
      <w:r w:rsidRPr="006368EB">
        <w:rPr>
          <w:rFonts w:ascii="Arial" w:hAnsi="Arial" w:cs="Arial"/>
          <w:sz w:val="22"/>
          <w:szCs w:val="22"/>
        </w:rPr>
        <w:t xml:space="preserve">The Maritime Safety Committee, at its </w:t>
      </w:r>
      <w:r w:rsidRPr="001F09FE">
        <w:rPr>
          <w:rFonts w:ascii="Arial" w:hAnsi="Arial" w:cs="Arial"/>
          <w:strike/>
          <w:sz w:val="22"/>
          <w:szCs w:val="22"/>
        </w:rPr>
        <w:t>seventy-second session (17 to 26 May 2000)</w:t>
      </w:r>
      <w:r>
        <w:rPr>
          <w:rFonts w:ascii="Arial" w:hAnsi="Arial" w:cs="Arial"/>
          <w:sz w:val="22"/>
          <w:szCs w:val="22"/>
        </w:rPr>
        <w:t xml:space="preserve"> </w:t>
      </w:r>
      <w:r w:rsidRPr="001F09FE">
        <w:rPr>
          <w:rFonts w:ascii="Arial" w:hAnsi="Arial" w:cs="Arial"/>
          <w:sz w:val="22"/>
          <w:szCs w:val="22"/>
          <w:u w:val="single"/>
        </w:rPr>
        <w:t>ninety ninth</w:t>
      </w:r>
      <w:r w:rsidR="00EE3F48">
        <w:rPr>
          <w:rFonts w:ascii="Arial" w:hAnsi="Arial" w:cs="Arial"/>
          <w:sz w:val="22"/>
          <w:szCs w:val="22"/>
          <w:u w:val="single"/>
        </w:rPr>
        <w:t>-</w:t>
      </w:r>
      <w:r w:rsidRPr="001F09FE">
        <w:rPr>
          <w:rFonts w:ascii="Arial" w:hAnsi="Arial" w:cs="Arial"/>
          <w:sz w:val="22"/>
          <w:szCs w:val="22"/>
          <w:u w:val="single"/>
        </w:rPr>
        <w:t>session (</w:t>
      </w:r>
      <w:proofErr w:type="spellStart"/>
      <w:r w:rsidR="0066484D">
        <w:rPr>
          <w:rFonts w:ascii="Arial" w:hAnsi="Arial" w:cs="Arial"/>
          <w:i/>
          <w:iCs/>
          <w:sz w:val="22"/>
          <w:szCs w:val="22"/>
          <w:u w:val="single"/>
        </w:rPr>
        <w:t>dd</w:t>
      </w:r>
      <w:proofErr w:type="spellEnd"/>
      <w:r w:rsidRPr="001F09FE">
        <w:rPr>
          <w:rFonts w:ascii="Arial" w:hAnsi="Arial" w:cs="Arial"/>
          <w:sz w:val="22"/>
          <w:szCs w:val="22"/>
          <w:u w:val="single"/>
        </w:rPr>
        <w:t xml:space="preserve"> to </w:t>
      </w:r>
      <w:proofErr w:type="spellStart"/>
      <w:r w:rsidR="0066484D">
        <w:rPr>
          <w:rFonts w:ascii="Arial" w:hAnsi="Arial" w:cs="Arial"/>
          <w:i/>
          <w:iCs/>
          <w:sz w:val="22"/>
          <w:szCs w:val="22"/>
          <w:u w:val="single"/>
        </w:rPr>
        <w:t>dd</w:t>
      </w:r>
      <w:proofErr w:type="spellEnd"/>
      <w:r w:rsidRPr="00982A28">
        <w:rPr>
          <w:rFonts w:ascii="Arial" w:hAnsi="Arial" w:cs="Arial"/>
          <w:i/>
          <w:iCs/>
          <w:sz w:val="22"/>
          <w:szCs w:val="22"/>
          <w:u w:val="single"/>
        </w:rPr>
        <w:t xml:space="preserve"> </w:t>
      </w:r>
      <w:proofErr w:type="spellStart"/>
      <w:r w:rsidR="0066484D">
        <w:rPr>
          <w:rFonts w:ascii="Arial" w:hAnsi="Arial" w:cs="Arial"/>
          <w:i/>
          <w:iCs/>
          <w:sz w:val="22"/>
          <w:szCs w:val="22"/>
          <w:u w:val="single"/>
        </w:rPr>
        <w:t>mmmm</w:t>
      </w:r>
      <w:proofErr w:type="spellEnd"/>
      <w:r w:rsidRPr="001F09FE">
        <w:rPr>
          <w:rFonts w:ascii="Arial" w:hAnsi="Arial" w:cs="Arial"/>
          <w:sz w:val="22"/>
          <w:szCs w:val="22"/>
          <w:u w:val="single"/>
        </w:rPr>
        <w:t xml:space="preserve"> 20</w:t>
      </w:r>
      <w:r w:rsidR="00101099">
        <w:rPr>
          <w:rFonts w:ascii="Arial" w:hAnsi="Arial" w:cs="Arial"/>
          <w:sz w:val="22"/>
          <w:szCs w:val="22"/>
          <w:u w:val="single"/>
        </w:rPr>
        <w:t>18</w:t>
      </w:r>
      <w:r w:rsidRPr="001F09FE">
        <w:rPr>
          <w:rFonts w:ascii="Arial" w:hAnsi="Arial" w:cs="Arial"/>
          <w:sz w:val="22"/>
          <w:szCs w:val="22"/>
          <w:u w:val="single"/>
        </w:rPr>
        <w:t>)</w:t>
      </w:r>
      <w:r w:rsidRPr="006368EB">
        <w:rPr>
          <w:rFonts w:ascii="Arial" w:hAnsi="Arial" w:cs="Arial"/>
          <w:sz w:val="22"/>
          <w:szCs w:val="22"/>
        </w:rPr>
        <w:t xml:space="preserve">, recalled that the 1995 Conference of Parties to the International Convention on Standards of Training, Certification and </w:t>
      </w:r>
      <w:proofErr w:type="spellStart"/>
      <w:r w:rsidRPr="006368EB">
        <w:rPr>
          <w:rFonts w:ascii="Arial" w:hAnsi="Arial" w:cs="Arial"/>
          <w:sz w:val="22"/>
          <w:szCs w:val="22"/>
        </w:rPr>
        <w:t>Watchkeeping</w:t>
      </w:r>
      <w:proofErr w:type="spellEnd"/>
      <w:r w:rsidRPr="006368EB">
        <w:rPr>
          <w:rFonts w:ascii="Arial" w:hAnsi="Arial" w:cs="Arial"/>
          <w:sz w:val="22"/>
          <w:szCs w:val="22"/>
        </w:rPr>
        <w:t xml:space="preserve"> for Seafarers</w:t>
      </w:r>
      <w:r>
        <w:rPr>
          <w:rFonts w:ascii="Arial" w:hAnsi="Arial" w:cs="Arial"/>
          <w:sz w:val="22"/>
          <w:szCs w:val="22"/>
        </w:rPr>
        <w:t xml:space="preserve"> </w:t>
      </w:r>
      <w:r w:rsidRPr="001F09FE">
        <w:rPr>
          <w:rFonts w:ascii="Arial" w:hAnsi="Arial" w:cs="Arial"/>
          <w:sz w:val="22"/>
          <w:szCs w:val="22"/>
          <w:u w:val="single"/>
        </w:rPr>
        <w:t>(as amended)</w:t>
      </w:r>
      <w:r w:rsidRPr="006368EB">
        <w:rPr>
          <w:rFonts w:ascii="Arial" w:hAnsi="Arial" w:cs="Arial"/>
          <w:sz w:val="22"/>
          <w:szCs w:val="22"/>
        </w:rPr>
        <w:t xml:space="preserve"> had adopted </w:t>
      </w:r>
      <w:r>
        <w:rPr>
          <w:rFonts w:ascii="Arial" w:hAnsi="Arial" w:cs="Arial"/>
          <w:sz w:val="22"/>
          <w:szCs w:val="22"/>
        </w:rPr>
        <w:t>r</w:t>
      </w:r>
      <w:r w:rsidRPr="006368EB">
        <w:rPr>
          <w:rFonts w:ascii="Arial" w:hAnsi="Arial" w:cs="Arial"/>
          <w:sz w:val="22"/>
          <w:szCs w:val="22"/>
        </w:rPr>
        <w:t xml:space="preserve">esolution 10, which invited the Organization to consider developing provisions covering </w:t>
      </w:r>
      <w:r w:rsidRPr="00C11FB1">
        <w:rPr>
          <w:rFonts w:ascii="Arial" w:hAnsi="Arial" w:cs="Arial"/>
          <w:i/>
          <w:iCs/>
          <w:sz w:val="22"/>
          <w:szCs w:val="22"/>
        </w:rPr>
        <w:t>inter alia</w:t>
      </w:r>
      <w:r w:rsidRPr="006368EB">
        <w:rPr>
          <w:rFonts w:ascii="Arial" w:hAnsi="Arial" w:cs="Arial"/>
          <w:sz w:val="22"/>
          <w:szCs w:val="22"/>
        </w:rPr>
        <w:t xml:space="preserve"> the training and certification of vessel traffic service personnel. </w:t>
      </w:r>
    </w:p>
    <w:p w14:paraId="57400228" w14:textId="77777777" w:rsidR="001F09FE" w:rsidRPr="00CE276A" w:rsidRDefault="001F09FE" w:rsidP="001F09FE">
      <w:pPr>
        <w:pStyle w:val="NoSpacing"/>
        <w:jc w:val="both"/>
        <w:rPr>
          <w:rFonts w:ascii="Arial" w:hAnsi="Arial" w:cs="Arial"/>
          <w:sz w:val="22"/>
          <w:szCs w:val="22"/>
        </w:rPr>
      </w:pPr>
    </w:p>
    <w:p w14:paraId="4D9F954B" w14:textId="6644CA39" w:rsidR="001F09FE" w:rsidRDefault="001F09FE" w:rsidP="004D161B">
      <w:pPr>
        <w:pStyle w:val="NoSpacing"/>
        <w:numPr>
          <w:ilvl w:val="0"/>
          <w:numId w:val="14"/>
        </w:numPr>
        <w:ind w:left="0" w:firstLine="0"/>
        <w:jc w:val="both"/>
        <w:rPr>
          <w:rFonts w:ascii="Arial" w:hAnsi="Arial" w:cs="Arial"/>
          <w:sz w:val="22"/>
          <w:szCs w:val="22"/>
        </w:rPr>
      </w:pPr>
      <w:r w:rsidRPr="006368EB">
        <w:rPr>
          <w:rFonts w:ascii="Arial" w:hAnsi="Arial" w:cs="Arial"/>
          <w:sz w:val="22"/>
          <w:szCs w:val="22"/>
        </w:rPr>
        <w:t xml:space="preserve">The Committee also recalled resolution A.857(20) </w:t>
      </w:r>
      <w:r w:rsidRPr="00B95DCB">
        <w:rPr>
          <w:rFonts w:ascii="Arial" w:hAnsi="Arial" w:cs="Arial"/>
          <w:sz w:val="22"/>
          <w:szCs w:val="22"/>
        </w:rPr>
        <w:t>on</w:t>
      </w:r>
      <w:r w:rsidRPr="006368EB">
        <w:rPr>
          <w:rFonts w:ascii="Arial" w:hAnsi="Arial" w:cs="Arial"/>
          <w:sz w:val="22"/>
          <w:szCs w:val="22"/>
        </w:rPr>
        <w:t xml:space="preserve"> Guidelines for vessel traffic services</w:t>
      </w:r>
      <w:r w:rsidRPr="00B95DCB">
        <w:rPr>
          <w:rFonts w:ascii="Arial" w:hAnsi="Arial" w:cs="Arial"/>
          <w:sz w:val="22"/>
          <w:szCs w:val="22"/>
          <w:u w:val="single"/>
        </w:rPr>
        <w:t>,</w:t>
      </w:r>
      <w:r w:rsidRPr="006368EB">
        <w:rPr>
          <w:rFonts w:ascii="Arial" w:hAnsi="Arial" w:cs="Arial"/>
          <w:sz w:val="22"/>
          <w:szCs w:val="22"/>
        </w:rPr>
        <w:t xml:space="preserve"> which includes guidelines on </w:t>
      </w:r>
      <w:r w:rsidR="002958F6" w:rsidRPr="002958F6">
        <w:rPr>
          <w:rFonts w:ascii="Arial" w:hAnsi="Arial" w:cs="Arial"/>
          <w:sz w:val="22"/>
          <w:szCs w:val="22"/>
          <w:u w:val="single"/>
        </w:rPr>
        <w:t>the</w:t>
      </w:r>
      <w:r w:rsidR="002958F6">
        <w:rPr>
          <w:rFonts w:ascii="Arial" w:hAnsi="Arial" w:cs="Arial"/>
          <w:sz w:val="22"/>
          <w:szCs w:val="22"/>
        </w:rPr>
        <w:t xml:space="preserve"> </w:t>
      </w:r>
      <w:r w:rsidRPr="002958F6">
        <w:rPr>
          <w:rFonts w:ascii="Arial" w:hAnsi="Arial" w:cs="Arial"/>
          <w:sz w:val="22"/>
          <w:szCs w:val="22"/>
        </w:rPr>
        <w:t>recruitment</w:t>
      </w:r>
      <w:r w:rsidRPr="006368EB">
        <w:rPr>
          <w:rFonts w:ascii="Arial" w:hAnsi="Arial" w:cs="Arial"/>
          <w:sz w:val="22"/>
          <w:szCs w:val="22"/>
        </w:rPr>
        <w:t xml:space="preserve">, qualifications and training of VTS </w:t>
      </w:r>
      <w:r>
        <w:rPr>
          <w:rFonts w:ascii="Arial" w:hAnsi="Arial" w:cs="Arial"/>
          <w:sz w:val="22"/>
          <w:szCs w:val="22"/>
        </w:rPr>
        <w:t>operators</w:t>
      </w:r>
      <w:r w:rsidR="00B95DCB" w:rsidRPr="00B95DCB">
        <w:rPr>
          <w:rFonts w:ascii="Arial" w:hAnsi="Arial" w:cs="Arial"/>
          <w:strike/>
          <w:sz w:val="22"/>
          <w:szCs w:val="22"/>
        </w:rPr>
        <w:t>.</w:t>
      </w:r>
      <w:r w:rsidRPr="006368EB">
        <w:rPr>
          <w:rFonts w:ascii="Arial" w:hAnsi="Arial" w:cs="Arial"/>
          <w:sz w:val="22"/>
          <w:szCs w:val="22"/>
        </w:rPr>
        <w:t xml:space="preserve"> and</w:t>
      </w:r>
      <w:r w:rsidR="00B95DCB">
        <w:rPr>
          <w:rFonts w:ascii="Arial" w:hAnsi="Arial" w:cs="Arial"/>
          <w:sz w:val="22"/>
          <w:szCs w:val="22"/>
        </w:rPr>
        <w:t xml:space="preserve"> </w:t>
      </w:r>
      <w:r w:rsidRPr="004D161B">
        <w:rPr>
          <w:rFonts w:ascii="Arial" w:hAnsi="Arial" w:cs="Arial"/>
          <w:strike/>
          <w:sz w:val="22"/>
          <w:szCs w:val="22"/>
        </w:rPr>
        <w:t>having</w:t>
      </w:r>
      <w:r w:rsidRPr="006368EB">
        <w:rPr>
          <w:rFonts w:ascii="Arial" w:hAnsi="Arial" w:cs="Arial"/>
          <w:sz w:val="22"/>
          <w:szCs w:val="22"/>
        </w:rPr>
        <w:t xml:space="preserve"> noted the development by IALA of Recommendation V-</w:t>
      </w:r>
      <w:r w:rsidRPr="0081741E">
        <w:rPr>
          <w:rFonts w:ascii="Arial" w:hAnsi="Arial" w:cs="Arial"/>
          <w:sz w:val="22"/>
          <w:szCs w:val="22"/>
        </w:rPr>
        <w:t xml:space="preserve">103 </w:t>
      </w:r>
      <w:r w:rsidR="0081741E" w:rsidRPr="0081741E">
        <w:rPr>
          <w:rFonts w:ascii="Arial" w:hAnsi="Arial" w:cs="Arial"/>
          <w:sz w:val="22"/>
          <w:szCs w:val="22"/>
          <w:u w:val="single"/>
        </w:rPr>
        <w:t>on the standards for training and certification of VTS personnel</w:t>
      </w:r>
      <w:r w:rsidR="0081741E" w:rsidRPr="0081741E">
        <w:rPr>
          <w:rFonts w:ascii="Arial" w:hAnsi="Arial" w:cs="Arial"/>
          <w:sz w:val="22"/>
          <w:szCs w:val="22"/>
        </w:rPr>
        <w:t xml:space="preserve"> </w:t>
      </w:r>
      <w:r w:rsidRPr="006368EB">
        <w:rPr>
          <w:rFonts w:ascii="Arial" w:hAnsi="Arial" w:cs="Arial"/>
          <w:sz w:val="22"/>
          <w:szCs w:val="22"/>
        </w:rPr>
        <w:t>and its associated model courses</w:t>
      </w:r>
      <w:r w:rsidR="004D161B" w:rsidRPr="00B95DCB">
        <w:rPr>
          <w:rFonts w:ascii="Arial" w:hAnsi="Arial" w:cs="Arial"/>
          <w:sz w:val="22"/>
          <w:szCs w:val="22"/>
          <w:u w:val="single"/>
        </w:rPr>
        <w:t>.</w:t>
      </w:r>
      <w:r w:rsidRPr="004D161B">
        <w:rPr>
          <w:rFonts w:ascii="Arial" w:hAnsi="Arial" w:cs="Arial"/>
          <w:strike/>
          <w:sz w:val="22"/>
          <w:szCs w:val="22"/>
        </w:rPr>
        <w:t>,</w:t>
      </w:r>
      <w:r w:rsidRPr="00EB2AAE">
        <w:rPr>
          <w:rFonts w:ascii="Arial" w:hAnsi="Arial" w:cs="Arial"/>
          <w:strike/>
          <w:sz w:val="22"/>
          <w:szCs w:val="22"/>
        </w:rPr>
        <w:t xml:space="preserve"> </w:t>
      </w:r>
      <w:r w:rsidR="00982A28" w:rsidRPr="00982A28">
        <w:rPr>
          <w:rFonts w:ascii="Arial" w:hAnsi="Arial" w:cs="Arial"/>
          <w:strike/>
          <w:sz w:val="22"/>
          <w:szCs w:val="22"/>
        </w:rPr>
        <w:t>approved MSC/Circ.952</w:t>
      </w:r>
      <w:r w:rsidR="004D161B">
        <w:rPr>
          <w:rFonts w:ascii="Arial" w:hAnsi="Arial" w:cs="Arial"/>
          <w:strike/>
          <w:sz w:val="22"/>
          <w:szCs w:val="22"/>
        </w:rPr>
        <w:t xml:space="preserve"> inviting Member Governments, pending the development, by the Organization, of additional provisions covering the training and certification of vessel traffic service personnel, to bring the IALA Recommendation and model courses to the attention of their VTS authorities to use when considering the training and certification of VTS personnel.</w:t>
      </w:r>
      <w:r w:rsidRPr="006368EB">
        <w:rPr>
          <w:rFonts w:ascii="Arial" w:hAnsi="Arial" w:cs="Arial"/>
          <w:sz w:val="22"/>
          <w:szCs w:val="22"/>
        </w:rPr>
        <w:t xml:space="preserve"> </w:t>
      </w:r>
    </w:p>
    <w:p w14:paraId="7E2F3323" w14:textId="77777777" w:rsidR="001F09FE" w:rsidRPr="006368EB" w:rsidRDefault="001F09FE" w:rsidP="001F09FE">
      <w:pPr>
        <w:pStyle w:val="NoSpacing"/>
        <w:jc w:val="both"/>
        <w:rPr>
          <w:rFonts w:ascii="Arial" w:hAnsi="Arial" w:cs="Arial"/>
          <w:sz w:val="22"/>
          <w:szCs w:val="22"/>
        </w:rPr>
      </w:pPr>
    </w:p>
    <w:p w14:paraId="73C9BE32" w14:textId="6DEBAF79" w:rsidR="001F09FE" w:rsidRDefault="001F09FE" w:rsidP="00E37464">
      <w:pPr>
        <w:pStyle w:val="NoSpacing"/>
        <w:numPr>
          <w:ilvl w:val="0"/>
          <w:numId w:val="14"/>
        </w:numPr>
        <w:ind w:left="0" w:firstLine="0"/>
        <w:jc w:val="both"/>
        <w:rPr>
          <w:rFonts w:ascii="Arial" w:hAnsi="Arial" w:cs="Arial"/>
          <w:sz w:val="22"/>
          <w:szCs w:val="22"/>
        </w:rPr>
      </w:pPr>
      <w:r w:rsidRPr="006368EB">
        <w:rPr>
          <w:rFonts w:ascii="Arial" w:hAnsi="Arial" w:cs="Arial"/>
          <w:sz w:val="22"/>
          <w:szCs w:val="22"/>
        </w:rPr>
        <w:t xml:space="preserve">Since the adoption </w:t>
      </w:r>
      <w:r w:rsidR="006F668E">
        <w:rPr>
          <w:rFonts w:ascii="Arial" w:hAnsi="Arial" w:cs="Arial"/>
          <w:sz w:val="22"/>
          <w:szCs w:val="22"/>
          <w:u w:val="single"/>
        </w:rPr>
        <w:t xml:space="preserve">by the Committee </w:t>
      </w:r>
      <w:r w:rsidRPr="006368EB">
        <w:rPr>
          <w:rFonts w:ascii="Arial" w:hAnsi="Arial" w:cs="Arial"/>
          <w:sz w:val="22"/>
          <w:szCs w:val="22"/>
        </w:rPr>
        <w:t xml:space="preserve">of </w:t>
      </w:r>
      <w:r w:rsidR="006F668E" w:rsidRPr="000053F4">
        <w:rPr>
          <w:rFonts w:ascii="Arial" w:hAnsi="Arial" w:cs="Arial"/>
          <w:sz w:val="22"/>
          <w:szCs w:val="22"/>
        </w:rPr>
        <w:t xml:space="preserve">MSC/Circ.952 </w:t>
      </w:r>
      <w:r w:rsidR="006F668E">
        <w:rPr>
          <w:rFonts w:ascii="Arial" w:hAnsi="Arial" w:cs="Arial"/>
          <w:sz w:val="22"/>
          <w:szCs w:val="22"/>
          <w:u w:val="single"/>
        </w:rPr>
        <w:t xml:space="preserve">at its seventy-second session (17 to 26 May 2000) </w:t>
      </w:r>
      <w:r w:rsidR="00E37464">
        <w:rPr>
          <w:rFonts w:ascii="Arial" w:hAnsi="Arial" w:cs="Arial"/>
          <w:sz w:val="22"/>
          <w:szCs w:val="22"/>
          <w:u w:val="single"/>
        </w:rPr>
        <w:t>which was subsequently superseded by</w:t>
      </w:r>
      <w:r w:rsidR="006F668E" w:rsidRPr="000053F4">
        <w:rPr>
          <w:rFonts w:ascii="Arial" w:hAnsi="Arial" w:cs="Arial"/>
          <w:sz w:val="22"/>
          <w:szCs w:val="22"/>
          <w:u w:val="single"/>
        </w:rPr>
        <w:t xml:space="preserve"> </w:t>
      </w:r>
      <w:r w:rsidRPr="000053F4">
        <w:rPr>
          <w:rFonts w:ascii="Arial" w:hAnsi="Arial" w:cs="Arial"/>
          <w:sz w:val="22"/>
          <w:szCs w:val="22"/>
          <w:u w:val="single"/>
        </w:rPr>
        <w:t>MSC/Circ.</w:t>
      </w:r>
      <w:r w:rsidRPr="00982A28">
        <w:rPr>
          <w:rFonts w:ascii="Arial" w:hAnsi="Arial" w:cs="Arial"/>
          <w:sz w:val="22"/>
          <w:szCs w:val="22"/>
          <w:u w:val="single"/>
        </w:rPr>
        <w:t>1065</w:t>
      </w:r>
      <w:r w:rsidR="002B47C5">
        <w:rPr>
          <w:rFonts w:ascii="Arial" w:hAnsi="Arial" w:cs="Arial"/>
          <w:sz w:val="22"/>
          <w:szCs w:val="22"/>
          <w:u w:val="single"/>
        </w:rPr>
        <w:t xml:space="preserve"> at its seventy-</w:t>
      </w:r>
      <w:r w:rsidR="006F668E">
        <w:rPr>
          <w:rFonts w:ascii="Arial" w:hAnsi="Arial" w:cs="Arial"/>
          <w:sz w:val="22"/>
          <w:szCs w:val="22"/>
          <w:u w:val="single"/>
        </w:rPr>
        <w:t>sixth</w:t>
      </w:r>
      <w:r w:rsidR="002B47C5">
        <w:rPr>
          <w:rFonts w:ascii="Arial" w:hAnsi="Arial" w:cs="Arial"/>
          <w:sz w:val="22"/>
          <w:szCs w:val="22"/>
          <w:u w:val="single"/>
        </w:rPr>
        <w:t xml:space="preserve"> session (2 to 13 December 2002)</w:t>
      </w:r>
      <w:r w:rsidR="00D50D71">
        <w:rPr>
          <w:rFonts w:ascii="Arial" w:hAnsi="Arial" w:cs="Arial"/>
          <w:sz w:val="22"/>
          <w:szCs w:val="22"/>
          <w:u w:val="single"/>
        </w:rPr>
        <w:t xml:space="preserve"> related to IALA standards for training and certification of vessel traffic service (VTS) personnel</w:t>
      </w:r>
      <w:r w:rsidRPr="006368EB">
        <w:rPr>
          <w:rFonts w:ascii="Arial" w:hAnsi="Arial" w:cs="Arial"/>
          <w:sz w:val="22"/>
          <w:szCs w:val="22"/>
        </w:rPr>
        <w:t xml:space="preserve">, the </w:t>
      </w:r>
      <w:r w:rsidR="00982A28" w:rsidRPr="00982A28">
        <w:rPr>
          <w:rFonts w:ascii="Arial" w:hAnsi="Arial" w:cs="Arial"/>
          <w:strike/>
          <w:sz w:val="22"/>
          <w:szCs w:val="22"/>
        </w:rPr>
        <w:t>package</w:t>
      </w:r>
      <w:r w:rsidR="00982A28" w:rsidRPr="00982A28">
        <w:rPr>
          <w:rFonts w:ascii="Arial" w:hAnsi="Arial" w:cs="Arial"/>
          <w:sz w:val="22"/>
          <w:szCs w:val="22"/>
        </w:rPr>
        <w:t xml:space="preserve"> </w:t>
      </w:r>
      <w:r w:rsidRPr="00982A28">
        <w:rPr>
          <w:rFonts w:ascii="Arial" w:hAnsi="Arial" w:cs="Arial"/>
          <w:sz w:val="22"/>
          <w:szCs w:val="22"/>
          <w:u w:val="single"/>
        </w:rPr>
        <w:t>range</w:t>
      </w:r>
      <w:r w:rsidRPr="006368EB">
        <w:rPr>
          <w:rFonts w:ascii="Arial" w:hAnsi="Arial" w:cs="Arial"/>
          <w:sz w:val="22"/>
          <w:szCs w:val="22"/>
        </w:rPr>
        <w:t xml:space="preserve"> of model courses has been </w:t>
      </w:r>
      <w:r w:rsidR="00982A28" w:rsidRPr="00982A28">
        <w:rPr>
          <w:rFonts w:ascii="Arial" w:hAnsi="Arial" w:cs="Arial"/>
          <w:strike/>
          <w:sz w:val="22"/>
          <w:szCs w:val="22"/>
        </w:rPr>
        <w:t>completed</w:t>
      </w:r>
      <w:r w:rsidR="00982A28">
        <w:rPr>
          <w:rFonts w:ascii="Arial" w:hAnsi="Arial" w:cs="Arial"/>
          <w:sz w:val="22"/>
          <w:szCs w:val="22"/>
        </w:rPr>
        <w:t xml:space="preserve"> </w:t>
      </w:r>
      <w:r w:rsidRPr="00982A28">
        <w:rPr>
          <w:rFonts w:ascii="Arial" w:hAnsi="Arial" w:cs="Arial"/>
          <w:sz w:val="22"/>
          <w:szCs w:val="22"/>
          <w:u w:val="single"/>
        </w:rPr>
        <w:t>expanded</w:t>
      </w:r>
      <w:r w:rsidRPr="006368EB">
        <w:rPr>
          <w:rFonts w:ascii="Arial" w:hAnsi="Arial" w:cs="Arial"/>
          <w:sz w:val="22"/>
          <w:szCs w:val="22"/>
        </w:rPr>
        <w:t xml:space="preserve"> and the following model courses have now been published: </w:t>
      </w:r>
    </w:p>
    <w:p w14:paraId="1D92875E" w14:textId="77777777" w:rsidR="001F09FE" w:rsidRPr="006368EB" w:rsidRDefault="001F09FE" w:rsidP="001F09FE">
      <w:pPr>
        <w:pStyle w:val="NoSpacing"/>
        <w:jc w:val="both"/>
        <w:rPr>
          <w:rFonts w:ascii="Arial" w:hAnsi="Arial" w:cs="Arial"/>
          <w:sz w:val="22"/>
          <w:szCs w:val="22"/>
        </w:rPr>
      </w:pPr>
    </w:p>
    <w:p w14:paraId="195FD6BA" w14:textId="77777777" w:rsidR="001F09FE" w:rsidRPr="006368EB" w:rsidRDefault="001F09FE" w:rsidP="001F09FE">
      <w:pPr>
        <w:pStyle w:val="NoSpacing"/>
        <w:numPr>
          <w:ilvl w:val="0"/>
          <w:numId w:val="15"/>
        </w:numPr>
        <w:jc w:val="both"/>
        <w:rPr>
          <w:rFonts w:ascii="Arial" w:hAnsi="Arial" w:cs="Arial"/>
          <w:sz w:val="22"/>
          <w:szCs w:val="22"/>
        </w:rPr>
      </w:pPr>
      <w:r w:rsidRPr="006368EB">
        <w:rPr>
          <w:rFonts w:ascii="Arial" w:hAnsi="Arial" w:cs="Arial"/>
          <w:sz w:val="22"/>
          <w:szCs w:val="22"/>
        </w:rPr>
        <w:t xml:space="preserve">Model Course V-103/1 VTS Operator </w:t>
      </w:r>
      <w:r w:rsidRPr="006368EB">
        <w:rPr>
          <w:rFonts w:ascii="MS Mincho" w:eastAsia="MS Mincho" w:hAnsi="MS Mincho" w:cs="MS Mincho"/>
          <w:sz w:val="22"/>
          <w:szCs w:val="22"/>
        </w:rPr>
        <w:t> </w:t>
      </w:r>
    </w:p>
    <w:p w14:paraId="0CBD4C2E" w14:textId="77777777" w:rsidR="001F09FE" w:rsidRPr="006368EB" w:rsidRDefault="001F09FE" w:rsidP="001F09FE">
      <w:pPr>
        <w:pStyle w:val="NoSpacing"/>
        <w:numPr>
          <w:ilvl w:val="0"/>
          <w:numId w:val="15"/>
        </w:numPr>
        <w:jc w:val="both"/>
        <w:rPr>
          <w:rFonts w:ascii="Arial" w:hAnsi="Arial" w:cs="Arial"/>
          <w:sz w:val="22"/>
          <w:szCs w:val="22"/>
        </w:rPr>
      </w:pPr>
      <w:r w:rsidRPr="006368EB">
        <w:rPr>
          <w:rFonts w:ascii="Arial" w:hAnsi="Arial" w:cs="Arial"/>
          <w:sz w:val="22"/>
          <w:szCs w:val="22"/>
        </w:rPr>
        <w:t xml:space="preserve">Model Course V-103/2 VTS Supervisor </w:t>
      </w:r>
      <w:r w:rsidRPr="006368EB">
        <w:rPr>
          <w:rFonts w:ascii="MS Mincho" w:eastAsia="MS Mincho" w:hAnsi="MS Mincho" w:cs="MS Mincho"/>
          <w:sz w:val="22"/>
          <w:szCs w:val="22"/>
        </w:rPr>
        <w:t> </w:t>
      </w:r>
    </w:p>
    <w:p w14:paraId="55203370" w14:textId="77777777" w:rsidR="001F09FE" w:rsidRPr="006368EB" w:rsidRDefault="001F09FE" w:rsidP="001F09FE">
      <w:pPr>
        <w:pStyle w:val="NoSpacing"/>
        <w:numPr>
          <w:ilvl w:val="0"/>
          <w:numId w:val="15"/>
        </w:numPr>
        <w:jc w:val="both"/>
        <w:rPr>
          <w:rFonts w:ascii="Arial" w:hAnsi="Arial" w:cs="Arial"/>
          <w:sz w:val="22"/>
          <w:szCs w:val="22"/>
        </w:rPr>
      </w:pPr>
      <w:r w:rsidRPr="006368EB">
        <w:rPr>
          <w:rFonts w:ascii="Arial" w:hAnsi="Arial" w:cs="Arial"/>
          <w:sz w:val="22"/>
          <w:szCs w:val="22"/>
        </w:rPr>
        <w:t xml:space="preserve">Model Course V-103/3 On-the-Job Training </w:t>
      </w:r>
      <w:r w:rsidRPr="006368EB">
        <w:rPr>
          <w:rFonts w:ascii="MS Mincho" w:eastAsia="MS Mincho" w:hAnsi="MS Mincho" w:cs="MS Mincho"/>
          <w:sz w:val="22"/>
          <w:szCs w:val="22"/>
        </w:rPr>
        <w:t> </w:t>
      </w:r>
    </w:p>
    <w:p w14:paraId="4F622867" w14:textId="77777777" w:rsidR="001F09FE" w:rsidRPr="00A87C36" w:rsidRDefault="001F09FE" w:rsidP="001F09FE">
      <w:pPr>
        <w:pStyle w:val="NoSpacing"/>
        <w:numPr>
          <w:ilvl w:val="0"/>
          <w:numId w:val="15"/>
        </w:numPr>
        <w:jc w:val="both"/>
        <w:rPr>
          <w:rFonts w:ascii="MS Mincho" w:eastAsia="MS Mincho" w:hAnsi="MS Mincho" w:cs="MS Mincho"/>
          <w:sz w:val="22"/>
          <w:szCs w:val="22"/>
        </w:rPr>
      </w:pPr>
      <w:r w:rsidRPr="006368EB">
        <w:rPr>
          <w:rFonts w:ascii="Arial" w:hAnsi="Arial" w:cs="Arial"/>
          <w:sz w:val="22"/>
          <w:szCs w:val="22"/>
        </w:rPr>
        <w:t>Model Course V-103/4 VTS On-the-Job Training Instructor</w:t>
      </w:r>
    </w:p>
    <w:p w14:paraId="71DAAE2B" w14:textId="77777777" w:rsidR="002451C8" w:rsidRPr="002451C8" w:rsidRDefault="001F09FE" w:rsidP="0081741E">
      <w:pPr>
        <w:pStyle w:val="NoSpacing"/>
        <w:numPr>
          <w:ilvl w:val="0"/>
          <w:numId w:val="15"/>
        </w:numPr>
        <w:jc w:val="both"/>
        <w:rPr>
          <w:rFonts w:ascii="MS Mincho" w:eastAsia="MS Mincho" w:hAnsi="MS Mincho" w:cs="MS Mincho"/>
          <w:sz w:val="22"/>
          <w:szCs w:val="22"/>
        </w:rPr>
      </w:pPr>
      <w:r w:rsidRPr="00982A28">
        <w:rPr>
          <w:rFonts w:ascii="Arial" w:hAnsi="Arial" w:cs="Arial"/>
          <w:sz w:val="22"/>
          <w:szCs w:val="22"/>
          <w:u w:val="single"/>
        </w:rPr>
        <w:t>Model Course V-103/5 Revalidation process for VTS Qualification and Certification</w:t>
      </w:r>
    </w:p>
    <w:p w14:paraId="4B289E82" w14:textId="6D58A473" w:rsidR="001F09FE" w:rsidRPr="0081741E" w:rsidRDefault="001F09FE" w:rsidP="002451C8">
      <w:pPr>
        <w:pStyle w:val="NoSpacing"/>
        <w:ind w:left="720"/>
        <w:jc w:val="both"/>
        <w:rPr>
          <w:rFonts w:ascii="MS Mincho" w:eastAsia="MS Mincho" w:hAnsi="MS Mincho" w:cs="MS Mincho"/>
          <w:sz w:val="22"/>
          <w:szCs w:val="22"/>
        </w:rPr>
      </w:pPr>
      <w:r w:rsidRPr="006368EB">
        <w:rPr>
          <w:rFonts w:ascii="Arial" w:hAnsi="Arial" w:cs="Arial"/>
          <w:sz w:val="22"/>
          <w:szCs w:val="22"/>
        </w:rPr>
        <w:t xml:space="preserve"> </w:t>
      </w:r>
      <w:r w:rsidRPr="006368EB">
        <w:rPr>
          <w:rFonts w:ascii="MS Mincho" w:eastAsia="MS Mincho" w:hAnsi="MS Mincho" w:cs="MS Mincho"/>
          <w:sz w:val="22"/>
          <w:szCs w:val="22"/>
        </w:rPr>
        <w:t> </w:t>
      </w:r>
    </w:p>
    <w:p w14:paraId="7055D031" w14:textId="46D8C763" w:rsidR="001F09FE" w:rsidRDefault="001F09FE" w:rsidP="0042642B">
      <w:pPr>
        <w:pStyle w:val="NoSpacing"/>
        <w:numPr>
          <w:ilvl w:val="0"/>
          <w:numId w:val="14"/>
        </w:numPr>
        <w:ind w:left="0" w:firstLine="0"/>
        <w:jc w:val="both"/>
        <w:rPr>
          <w:rFonts w:ascii="Arial" w:hAnsi="Arial" w:cs="Arial"/>
          <w:sz w:val="22"/>
          <w:szCs w:val="22"/>
        </w:rPr>
      </w:pPr>
      <w:r w:rsidRPr="006368EB">
        <w:rPr>
          <w:rFonts w:ascii="Arial" w:hAnsi="Arial" w:cs="Arial"/>
          <w:sz w:val="22"/>
          <w:szCs w:val="22"/>
        </w:rPr>
        <w:t xml:space="preserve">Member Governments are invited to bring the </w:t>
      </w:r>
      <w:r w:rsidR="000053F4" w:rsidRPr="000053F4">
        <w:rPr>
          <w:rFonts w:ascii="Arial" w:hAnsi="Arial" w:cs="Arial"/>
          <w:strike/>
          <w:sz w:val="22"/>
          <w:szCs w:val="22"/>
        </w:rPr>
        <w:t>IALA model courses</w:t>
      </w:r>
      <w:r w:rsidR="000053F4">
        <w:rPr>
          <w:rFonts w:ascii="Arial" w:hAnsi="Arial" w:cs="Arial"/>
          <w:sz w:val="22"/>
          <w:szCs w:val="22"/>
        </w:rPr>
        <w:t xml:space="preserve"> </w:t>
      </w:r>
      <w:r>
        <w:rPr>
          <w:rFonts w:ascii="Arial" w:hAnsi="Arial" w:cs="Arial"/>
          <w:sz w:val="22"/>
          <w:szCs w:val="22"/>
        </w:rPr>
        <w:t xml:space="preserve">contents of this circular </w:t>
      </w:r>
      <w:r w:rsidR="004D161B">
        <w:rPr>
          <w:rFonts w:ascii="Arial" w:hAnsi="Arial" w:cs="Arial"/>
          <w:sz w:val="22"/>
          <w:szCs w:val="22"/>
          <w:u w:val="single"/>
        </w:rPr>
        <w:t xml:space="preserve">and </w:t>
      </w:r>
      <w:r w:rsidR="00336133">
        <w:rPr>
          <w:rFonts w:ascii="Arial" w:hAnsi="Arial" w:cs="Arial"/>
          <w:sz w:val="22"/>
          <w:szCs w:val="22"/>
          <w:u w:val="single"/>
        </w:rPr>
        <w:t xml:space="preserve">the provisions for the training and certification of vessel traffic service personnel contained </w:t>
      </w:r>
      <w:r w:rsidR="004D161B">
        <w:rPr>
          <w:rFonts w:ascii="Arial" w:hAnsi="Arial" w:cs="Arial"/>
          <w:sz w:val="22"/>
          <w:szCs w:val="22"/>
          <w:u w:val="single"/>
        </w:rPr>
        <w:t xml:space="preserve">IALA Recommendation V-103 and its associated model courses </w:t>
      </w:r>
      <w:r w:rsidRPr="006368EB">
        <w:rPr>
          <w:rFonts w:ascii="Arial" w:hAnsi="Arial" w:cs="Arial"/>
          <w:sz w:val="22"/>
          <w:szCs w:val="22"/>
        </w:rPr>
        <w:t xml:space="preserve">to the attention of their </w:t>
      </w:r>
      <w:r w:rsidR="00F729A3" w:rsidRPr="00F729A3">
        <w:rPr>
          <w:rFonts w:ascii="Arial" w:hAnsi="Arial" w:cs="Arial"/>
          <w:sz w:val="22"/>
          <w:szCs w:val="22"/>
          <w:u w:val="single"/>
        </w:rPr>
        <w:t>competent authority</w:t>
      </w:r>
      <w:r w:rsidR="00D21FA2">
        <w:rPr>
          <w:rFonts w:ascii="Arial" w:hAnsi="Arial" w:cs="Arial"/>
          <w:sz w:val="22"/>
          <w:szCs w:val="22"/>
          <w:u w:val="single"/>
        </w:rPr>
        <w:t xml:space="preserve"> for VTS</w:t>
      </w:r>
      <w:r w:rsidR="00F729A3" w:rsidRPr="00F729A3">
        <w:rPr>
          <w:rFonts w:ascii="Arial" w:hAnsi="Arial" w:cs="Arial"/>
          <w:sz w:val="22"/>
          <w:szCs w:val="22"/>
          <w:u w:val="single"/>
        </w:rPr>
        <w:t>,</w:t>
      </w:r>
      <w:r w:rsidR="00F729A3">
        <w:rPr>
          <w:rFonts w:ascii="Arial" w:hAnsi="Arial" w:cs="Arial"/>
          <w:sz w:val="22"/>
          <w:szCs w:val="22"/>
        </w:rPr>
        <w:t xml:space="preserve"> </w:t>
      </w:r>
      <w:r w:rsidRPr="006368EB">
        <w:rPr>
          <w:rFonts w:ascii="Arial" w:hAnsi="Arial" w:cs="Arial"/>
          <w:sz w:val="22"/>
          <w:szCs w:val="22"/>
        </w:rPr>
        <w:t xml:space="preserve">VTS authorities, </w:t>
      </w:r>
      <w:r w:rsidR="00D21FA2" w:rsidRPr="00D21FA2">
        <w:rPr>
          <w:rFonts w:ascii="Arial" w:hAnsi="Arial" w:cs="Arial"/>
          <w:sz w:val="22"/>
          <w:szCs w:val="22"/>
          <w:u w:val="single"/>
        </w:rPr>
        <w:t xml:space="preserve">VTS </w:t>
      </w:r>
      <w:r w:rsidRPr="00D21FA2">
        <w:rPr>
          <w:rFonts w:ascii="Arial" w:hAnsi="Arial" w:cs="Arial"/>
          <w:sz w:val="22"/>
          <w:szCs w:val="22"/>
        </w:rPr>
        <w:t>training</w:t>
      </w:r>
      <w:r w:rsidR="00D21FA2">
        <w:rPr>
          <w:rFonts w:ascii="Arial" w:hAnsi="Arial" w:cs="Arial"/>
          <w:sz w:val="22"/>
          <w:szCs w:val="22"/>
        </w:rPr>
        <w:t xml:space="preserve"> </w:t>
      </w:r>
      <w:bookmarkStart w:id="14" w:name="_GoBack"/>
      <w:bookmarkEnd w:id="14"/>
      <w:r w:rsidR="00D21FA2" w:rsidRPr="00D21FA2">
        <w:rPr>
          <w:rFonts w:ascii="Arial" w:hAnsi="Arial" w:cs="Arial"/>
          <w:strike/>
          <w:sz w:val="22"/>
          <w:szCs w:val="22"/>
        </w:rPr>
        <w:t>institutes</w:t>
      </w:r>
      <w:r w:rsidRPr="00D21FA2">
        <w:rPr>
          <w:rFonts w:ascii="Arial" w:hAnsi="Arial" w:cs="Arial"/>
          <w:sz w:val="22"/>
          <w:szCs w:val="22"/>
          <w:u w:val="single"/>
        </w:rPr>
        <w:t xml:space="preserve"> </w:t>
      </w:r>
      <w:r w:rsidR="00D21FA2" w:rsidRPr="00D21FA2">
        <w:rPr>
          <w:rFonts w:ascii="Arial" w:hAnsi="Arial" w:cs="Arial"/>
          <w:sz w:val="22"/>
          <w:szCs w:val="22"/>
          <w:u w:val="single"/>
        </w:rPr>
        <w:t>organisations</w:t>
      </w:r>
      <w:r w:rsidRPr="006368EB">
        <w:rPr>
          <w:rFonts w:ascii="Arial" w:hAnsi="Arial" w:cs="Arial"/>
          <w:sz w:val="22"/>
          <w:szCs w:val="22"/>
        </w:rPr>
        <w:t xml:space="preserve"> and any other parties concerned</w:t>
      </w:r>
      <w:r w:rsidR="0042642B">
        <w:rPr>
          <w:rFonts w:ascii="Arial" w:hAnsi="Arial" w:cs="Arial"/>
          <w:sz w:val="22"/>
          <w:szCs w:val="22"/>
        </w:rPr>
        <w:t>.</w:t>
      </w:r>
      <w:r w:rsidR="004D161B">
        <w:rPr>
          <w:rFonts w:ascii="Arial" w:hAnsi="Arial" w:cs="Arial"/>
          <w:sz w:val="22"/>
          <w:szCs w:val="22"/>
        </w:rPr>
        <w:t xml:space="preserve"> </w:t>
      </w:r>
    </w:p>
    <w:p w14:paraId="2720E861" w14:textId="77777777" w:rsidR="001F09FE" w:rsidRDefault="001F09FE" w:rsidP="001F09FE">
      <w:pPr>
        <w:pStyle w:val="NoSpacing"/>
        <w:rPr>
          <w:rFonts w:ascii="Arial" w:hAnsi="Arial" w:cs="Arial"/>
          <w:sz w:val="22"/>
          <w:szCs w:val="22"/>
        </w:rPr>
      </w:pPr>
    </w:p>
    <w:p w14:paraId="347F9F64" w14:textId="78BD9381" w:rsidR="001F09FE" w:rsidRPr="00982A28" w:rsidRDefault="001F09FE" w:rsidP="001F09FE">
      <w:pPr>
        <w:pStyle w:val="NoSpacing"/>
        <w:numPr>
          <w:ilvl w:val="0"/>
          <w:numId w:val="14"/>
        </w:numPr>
        <w:ind w:left="0" w:firstLine="0"/>
        <w:jc w:val="both"/>
        <w:rPr>
          <w:rFonts w:ascii="Arial" w:hAnsi="Arial" w:cs="Arial"/>
          <w:sz w:val="22"/>
          <w:szCs w:val="22"/>
          <w:u w:val="single"/>
        </w:rPr>
      </w:pPr>
      <w:r w:rsidRPr="00982A28">
        <w:rPr>
          <w:rFonts w:ascii="Arial" w:hAnsi="Arial" w:cs="Arial"/>
          <w:sz w:val="22"/>
          <w:szCs w:val="22"/>
          <w:u w:val="single"/>
        </w:rPr>
        <w:t>This circular supersedes MSC/Circ.1065</w:t>
      </w:r>
      <w:r w:rsidR="0071669B">
        <w:rPr>
          <w:rFonts w:ascii="Arial" w:hAnsi="Arial" w:cs="Arial"/>
          <w:sz w:val="22"/>
          <w:szCs w:val="22"/>
          <w:u w:val="single"/>
        </w:rPr>
        <w:t>.</w:t>
      </w:r>
    </w:p>
    <w:p w14:paraId="738BE0FB" w14:textId="77777777" w:rsidR="001F09FE" w:rsidRDefault="001F09FE" w:rsidP="001F09FE">
      <w:pPr>
        <w:tabs>
          <w:tab w:val="clear" w:pos="851"/>
        </w:tabs>
        <w:jc w:val="center"/>
      </w:pPr>
    </w:p>
    <w:sectPr w:rsidR="001F09FE" w:rsidSect="00101B77">
      <w:headerReference w:type="even" r:id="rId12"/>
      <w:headerReference w:type="default" r:id="rId13"/>
      <w:footerReference w:type="even" r:id="rId14"/>
      <w:footerReference w:type="default" r:id="rId15"/>
      <w:headerReference w:type="first" r:id="rId16"/>
      <w:footerReference w:type="first" r:id="rId17"/>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69B0D" w14:textId="77777777" w:rsidR="00005CBC" w:rsidRDefault="00005CBC">
      <w:r>
        <w:separator/>
      </w:r>
    </w:p>
  </w:endnote>
  <w:endnote w:type="continuationSeparator" w:id="0">
    <w:p w14:paraId="4A0CA60A" w14:textId="77777777" w:rsidR="00005CBC" w:rsidRDefault="00005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3CAD5" w14:textId="77777777" w:rsidR="00F16A33" w:rsidRDefault="00F16A33">
    <w:pPr>
      <w:pStyle w:val="Footer"/>
    </w:pPr>
  </w:p>
  <w:p w14:paraId="52092A10" w14:textId="77777777" w:rsidR="00F16A33" w:rsidRPr="00606907" w:rsidRDefault="00F16A33" w:rsidP="00606907">
    <w:pPr>
      <w:pStyle w:val="Footer"/>
      <w:pBdr>
        <w:top w:val="single" w:sz="4" w:space="1" w:color="auto"/>
      </w:pBdr>
      <w:rPr>
        <w:lang w:val="en-US"/>
      </w:rPr>
    </w:pPr>
    <w:r>
      <w:rPr>
        <w:lang w:val="en-US"/>
      </w:rPr>
      <w:fldChar w:fldCharType="begin"/>
    </w:r>
    <w:r>
      <w:rPr>
        <w:lang w:val="en-US"/>
      </w:rPr>
      <w:instrText xml:space="preserve"> FILENAME \p </w:instrText>
    </w:r>
    <w:r>
      <w:rPr>
        <w:lang w:val="en-US"/>
      </w:rPr>
      <w:fldChar w:fldCharType="separate"/>
    </w:r>
    <w:r w:rsidR="00284E22">
      <w:rPr>
        <w:noProof/>
        <w:lang w:val="en-US"/>
      </w:rPr>
      <w:t>Document4</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467B0" w14:textId="77777777" w:rsidR="00F16A33" w:rsidRDefault="00F16A33">
    <w:pPr>
      <w:pStyle w:val="Footer"/>
    </w:pPr>
  </w:p>
  <w:p w14:paraId="077AA767" w14:textId="77777777" w:rsidR="00F16A33" w:rsidRDefault="00F16A33" w:rsidP="00F45CED">
    <w:pPr>
      <w:pStyle w:val="Footer"/>
      <w:pBdr>
        <w:top w:val="single" w:sz="4" w:space="1" w:color="auto"/>
      </w:pBdr>
    </w:pPr>
    <w:r>
      <w:rPr>
        <w:lang w:val="en-US"/>
      </w:rPr>
      <w:fldChar w:fldCharType="begin"/>
    </w:r>
    <w:r>
      <w:rPr>
        <w:lang w:val="en-US"/>
      </w:rPr>
      <w:instrText xml:space="preserve"> FILENAME \p </w:instrText>
    </w:r>
    <w:r>
      <w:rPr>
        <w:lang w:val="en-US"/>
      </w:rPr>
      <w:fldChar w:fldCharType="separate"/>
    </w:r>
    <w:r w:rsidR="00284E22">
      <w:rPr>
        <w:noProof/>
        <w:lang w:val="en-US"/>
      </w:rPr>
      <w:t>Document4</w:t>
    </w:r>
    <w:r>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0524C" w14:textId="77777777" w:rsidR="00F16A33" w:rsidRDefault="00F16A33">
    <w:pPr>
      <w:pStyle w:val="Footer"/>
    </w:pPr>
  </w:p>
  <w:p w14:paraId="63C1E295" w14:textId="77777777" w:rsidR="00F16A33" w:rsidRDefault="00F16A33" w:rsidP="007B62F6">
    <w:pPr>
      <w:pStyle w:val="Footer"/>
      <w:pBdr>
        <w:top w:val="single" w:sz="4" w:space="1" w:color="auto"/>
      </w:pBdr>
      <w:rPr>
        <w:lang w:val="en-US"/>
      </w:rPr>
    </w:pPr>
  </w:p>
  <w:p w14:paraId="201E5814" w14:textId="7CC3FD90" w:rsidR="00F8492A" w:rsidRPr="007B62F6" w:rsidRDefault="0072630E" w:rsidP="00F8492A">
    <w:pPr>
      <w:pStyle w:val="Footer"/>
      <w:pBdr>
        <w:top w:val="single" w:sz="4" w:space="1" w:color="auto"/>
      </w:pBdr>
      <w:jc w:val="right"/>
      <w:rPr>
        <w:lang w:val="en-US"/>
      </w:rPr>
    </w:pPr>
    <w:r>
      <w:rPr>
        <w:noProof/>
        <w:lang w:eastAsia="en-GB"/>
      </w:rPr>
      <w:drawing>
        <wp:inline distT="0" distB="0" distL="0" distR="0" wp14:anchorId="05E3829D" wp14:editId="041679E9">
          <wp:extent cx="1350864" cy="572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12267\c$\Users\jshen\Desktop\WMD logo 2016-English-RGB.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50864" cy="5724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2B331" w14:textId="77777777" w:rsidR="00005CBC" w:rsidRDefault="00005CBC">
      <w:r>
        <w:separator/>
      </w:r>
    </w:p>
  </w:footnote>
  <w:footnote w:type="continuationSeparator" w:id="0">
    <w:p w14:paraId="504C6C83" w14:textId="77777777" w:rsidR="00005CBC" w:rsidRDefault="00005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613C4" w14:textId="77777777" w:rsidR="00F16A33" w:rsidRDefault="00F16A33" w:rsidP="001C38E9">
    <w:pPr>
      <w:pStyle w:val="Header"/>
    </w:pPr>
    <w:bookmarkStart w:id="15" w:name="symbol_headFootEven"/>
    <w:bookmarkEnd w:id="15"/>
  </w:p>
  <w:p w14:paraId="72810B36" w14:textId="77777777" w:rsidR="00F16A33" w:rsidRDefault="00F16A33" w:rsidP="001C38E9">
    <w:pPr>
      <w:pStyle w:val="Header"/>
      <w:pBdr>
        <w:bottom w:val="single" w:sz="4" w:space="1" w:color="auto"/>
      </w:pBd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D21FA2">
      <w:rPr>
        <w:rStyle w:val="PageNumber"/>
        <w:noProof/>
      </w:rPr>
      <w:t>2</w:t>
    </w:r>
    <w:r>
      <w:rPr>
        <w:rStyle w:val="PageNumber"/>
      </w:rPr>
      <w:fldChar w:fldCharType="end"/>
    </w:r>
  </w:p>
  <w:p w14:paraId="5B97FB9F" w14:textId="77777777" w:rsidR="00F16A33" w:rsidRDefault="00F16A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D5B72" w14:textId="77777777" w:rsidR="00F16A33" w:rsidRDefault="00F16A33" w:rsidP="006358B3">
    <w:pPr>
      <w:pStyle w:val="Header"/>
      <w:jc w:val="right"/>
    </w:pPr>
    <w:bookmarkStart w:id="16" w:name="symbol_headFoot"/>
    <w:bookmarkEnd w:id="16"/>
  </w:p>
  <w:p w14:paraId="6BDA043F" w14:textId="77777777" w:rsidR="00F16A33" w:rsidRDefault="00F16A33" w:rsidP="006358B3">
    <w:pPr>
      <w:pStyle w:val="Header"/>
      <w:pBdr>
        <w:bottom w:val="single" w:sz="4" w:space="1" w:color="auto"/>
      </w:pBdr>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D21FA2">
      <w:rPr>
        <w:rStyle w:val="PageNumber"/>
        <w:noProof/>
      </w:rPr>
      <w:t>3</w:t>
    </w:r>
    <w:r>
      <w:rPr>
        <w:rStyle w:val="PageNumber"/>
      </w:rPr>
      <w:fldChar w:fldCharType="end"/>
    </w:r>
  </w:p>
  <w:p w14:paraId="25E1CAF1" w14:textId="77777777" w:rsidR="00F16A33" w:rsidRDefault="00F16A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B1B19" w14:textId="596FB380" w:rsidR="00BE409D" w:rsidRPr="00BE409D" w:rsidRDefault="00BE409D">
    <w:pPr>
      <w:pStyle w:val="Header"/>
      <w:rPr>
        <w:lang w:val="nl-NL"/>
      </w:rPr>
    </w:pPr>
    <w:r>
      <w:rPr>
        <w:lang w:val="nl-NL"/>
      </w:rPr>
      <w:tab/>
    </w:r>
    <w:r>
      <w:rPr>
        <w:lang w:val="nl-NL"/>
      </w:rPr>
      <w:tab/>
    </w:r>
    <w:r>
      <w:rPr>
        <w:lang w:val="nl-NL"/>
      </w:rPr>
      <w:tab/>
    </w:r>
    <w:r w:rsidR="00D865AC">
      <w:rPr>
        <w:lang w:val="nl-NL"/>
      </w:rPr>
      <w:t>VTS43-12.1.5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160789E"/>
    <w:multiLevelType w:val="hybridMultilevel"/>
    <w:tmpl w:val="E4F66880"/>
    <w:lvl w:ilvl="0" w:tplc="CAE406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4D807D3"/>
    <w:multiLevelType w:val="hybridMultilevel"/>
    <w:tmpl w:val="94224D7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A39677C"/>
    <w:multiLevelType w:val="hybridMultilevel"/>
    <w:tmpl w:val="35A0BFCE"/>
    <w:lvl w:ilvl="0" w:tplc="52526EBE">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8C773C"/>
    <w:multiLevelType w:val="hybridMultilevel"/>
    <w:tmpl w:val="D7D6CAD8"/>
    <w:lvl w:ilvl="0" w:tplc="D8501C7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ED03FCB"/>
    <w:multiLevelType w:val="hybridMultilevel"/>
    <w:tmpl w:val="3C8E5C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E52DD7"/>
    <w:multiLevelType w:val="multilevel"/>
    <w:tmpl w:val="00B47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A2B363B"/>
    <w:multiLevelType w:val="hybridMultilevel"/>
    <w:tmpl w:val="84B20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C81B2E"/>
    <w:multiLevelType w:val="multilevel"/>
    <w:tmpl w:val="00B47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4BC7DBE"/>
    <w:multiLevelType w:val="hybridMultilevel"/>
    <w:tmpl w:val="500E8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321E89"/>
    <w:multiLevelType w:val="multilevel"/>
    <w:tmpl w:val="8AC65E4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3D92A5C"/>
    <w:multiLevelType w:val="hybridMultilevel"/>
    <w:tmpl w:val="80166F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B984D5B"/>
    <w:multiLevelType w:val="multilevel"/>
    <w:tmpl w:val="0B30B5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7"/>
  </w:num>
  <w:num w:numId="9">
    <w:abstractNumId w:val="16"/>
  </w:num>
  <w:num w:numId="10">
    <w:abstractNumId w:val="11"/>
  </w:num>
  <w:num w:numId="11">
    <w:abstractNumId w:val="12"/>
  </w:num>
  <w:num w:numId="12">
    <w:abstractNumId w:val="18"/>
  </w:num>
  <w:num w:numId="13">
    <w:abstractNumId w:val="14"/>
  </w:num>
  <w:num w:numId="14">
    <w:abstractNumId w:val="8"/>
  </w:num>
  <w:num w:numId="15">
    <w:abstractNumId w:val="9"/>
  </w:num>
  <w:num w:numId="16">
    <w:abstractNumId w:val="13"/>
  </w:num>
  <w:num w:numId="17">
    <w:abstractNumId w:val="15"/>
  </w:num>
  <w:num w:numId="18">
    <w:abstractNumId w:val="19"/>
  </w:num>
  <w:num w:numId="19">
    <w:abstractNumId w:val="1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nnexno" w:val="1"/>
    <w:docVar w:name="AskAnnex" w:val="Yes"/>
    <w:docVar w:name="Div" w:val="  "/>
    <w:docVar w:name="SingleAnnex" w:val="No"/>
    <w:docVar w:name="Symbol" w:val="789"/>
  </w:docVars>
  <w:rsids>
    <w:rsidRoot w:val="00284E22"/>
    <w:rsid w:val="000053F4"/>
    <w:rsid w:val="00005CBC"/>
    <w:rsid w:val="000243EE"/>
    <w:rsid w:val="00024592"/>
    <w:rsid w:val="00036BD6"/>
    <w:rsid w:val="00047AB6"/>
    <w:rsid w:val="00057CD1"/>
    <w:rsid w:val="0008429C"/>
    <w:rsid w:val="00084E18"/>
    <w:rsid w:val="00091F43"/>
    <w:rsid w:val="00092456"/>
    <w:rsid w:val="000A1486"/>
    <w:rsid w:val="000B21FC"/>
    <w:rsid w:val="000B6463"/>
    <w:rsid w:val="000C052B"/>
    <w:rsid w:val="000E5579"/>
    <w:rsid w:val="00101099"/>
    <w:rsid w:val="00101B77"/>
    <w:rsid w:val="00104B50"/>
    <w:rsid w:val="001145C0"/>
    <w:rsid w:val="00115DE6"/>
    <w:rsid w:val="001211C4"/>
    <w:rsid w:val="00136B6D"/>
    <w:rsid w:val="001620E5"/>
    <w:rsid w:val="0016334B"/>
    <w:rsid w:val="001720CA"/>
    <w:rsid w:val="00174B7E"/>
    <w:rsid w:val="00181B1A"/>
    <w:rsid w:val="00195D8C"/>
    <w:rsid w:val="001B1AEA"/>
    <w:rsid w:val="001B4795"/>
    <w:rsid w:val="001B7FA4"/>
    <w:rsid w:val="001C38E9"/>
    <w:rsid w:val="001C46FA"/>
    <w:rsid w:val="001C5269"/>
    <w:rsid w:val="001D7B1E"/>
    <w:rsid w:val="001E1D88"/>
    <w:rsid w:val="001F09FE"/>
    <w:rsid w:val="00214B33"/>
    <w:rsid w:val="002249BD"/>
    <w:rsid w:val="00227352"/>
    <w:rsid w:val="00234A25"/>
    <w:rsid w:val="002451C8"/>
    <w:rsid w:val="002529C9"/>
    <w:rsid w:val="00252AF8"/>
    <w:rsid w:val="00255928"/>
    <w:rsid w:val="00276B83"/>
    <w:rsid w:val="002803C8"/>
    <w:rsid w:val="00284E22"/>
    <w:rsid w:val="00285408"/>
    <w:rsid w:val="00286AB1"/>
    <w:rsid w:val="002958F6"/>
    <w:rsid w:val="00296ABD"/>
    <w:rsid w:val="00296B04"/>
    <w:rsid w:val="002B47C5"/>
    <w:rsid w:val="002E2874"/>
    <w:rsid w:val="002F3B13"/>
    <w:rsid w:val="003239C9"/>
    <w:rsid w:val="00334BF4"/>
    <w:rsid w:val="00335A68"/>
    <w:rsid w:val="00336133"/>
    <w:rsid w:val="00337DB2"/>
    <w:rsid w:val="00341E44"/>
    <w:rsid w:val="00351AD3"/>
    <w:rsid w:val="00372132"/>
    <w:rsid w:val="00374E16"/>
    <w:rsid w:val="0038291A"/>
    <w:rsid w:val="00385654"/>
    <w:rsid w:val="003B69F4"/>
    <w:rsid w:val="003B7275"/>
    <w:rsid w:val="003C0EF0"/>
    <w:rsid w:val="003C456D"/>
    <w:rsid w:val="003C65BF"/>
    <w:rsid w:val="003D19C4"/>
    <w:rsid w:val="003D7745"/>
    <w:rsid w:val="003E14DF"/>
    <w:rsid w:val="003F7958"/>
    <w:rsid w:val="00402E0A"/>
    <w:rsid w:val="00403123"/>
    <w:rsid w:val="00422711"/>
    <w:rsid w:val="0042642B"/>
    <w:rsid w:val="0043408E"/>
    <w:rsid w:val="0044197B"/>
    <w:rsid w:val="00460DFE"/>
    <w:rsid w:val="004660AA"/>
    <w:rsid w:val="00470C45"/>
    <w:rsid w:val="00486E44"/>
    <w:rsid w:val="00494818"/>
    <w:rsid w:val="004B23D1"/>
    <w:rsid w:val="004C122F"/>
    <w:rsid w:val="004D161B"/>
    <w:rsid w:val="004D5822"/>
    <w:rsid w:val="004E0AD1"/>
    <w:rsid w:val="004F452B"/>
    <w:rsid w:val="00505E27"/>
    <w:rsid w:val="005078C2"/>
    <w:rsid w:val="00507D19"/>
    <w:rsid w:val="00511240"/>
    <w:rsid w:val="0052006D"/>
    <w:rsid w:val="005235F4"/>
    <w:rsid w:val="00531531"/>
    <w:rsid w:val="00531ECE"/>
    <w:rsid w:val="00543FF9"/>
    <w:rsid w:val="00547752"/>
    <w:rsid w:val="00551665"/>
    <w:rsid w:val="00560202"/>
    <w:rsid w:val="00560940"/>
    <w:rsid w:val="00565408"/>
    <w:rsid w:val="0056648E"/>
    <w:rsid w:val="005A0FEC"/>
    <w:rsid w:val="005B0666"/>
    <w:rsid w:val="005B52F1"/>
    <w:rsid w:val="00600293"/>
    <w:rsid w:val="00603521"/>
    <w:rsid w:val="00606907"/>
    <w:rsid w:val="00611F7B"/>
    <w:rsid w:val="00625BD3"/>
    <w:rsid w:val="006358B3"/>
    <w:rsid w:val="0066484D"/>
    <w:rsid w:val="00664C0B"/>
    <w:rsid w:val="006B3B7E"/>
    <w:rsid w:val="006C2BFB"/>
    <w:rsid w:val="006D256B"/>
    <w:rsid w:val="006E3F48"/>
    <w:rsid w:val="006F668E"/>
    <w:rsid w:val="0071162D"/>
    <w:rsid w:val="00715233"/>
    <w:rsid w:val="0071669B"/>
    <w:rsid w:val="00716A8D"/>
    <w:rsid w:val="0072630E"/>
    <w:rsid w:val="00744831"/>
    <w:rsid w:val="007612D9"/>
    <w:rsid w:val="007670B0"/>
    <w:rsid w:val="00771EB2"/>
    <w:rsid w:val="00772B00"/>
    <w:rsid w:val="00776E5F"/>
    <w:rsid w:val="00782F34"/>
    <w:rsid w:val="007B62F6"/>
    <w:rsid w:val="007B63FD"/>
    <w:rsid w:val="007D19FB"/>
    <w:rsid w:val="007E2C04"/>
    <w:rsid w:val="007E60D2"/>
    <w:rsid w:val="00804634"/>
    <w:rsid w:val="00813E9A"/>
    <w:rsid w:val="0081741E"/>
    <w:rsid w:val="008203B2"/>
    <w:rsid w:val="008279B4"/>
    <w:rsid w:val="00827A6A"/>
    <w:rsid w:val="00835716"/>
    <w:rsid w:val="0083733C"/>
    <w:rsid w:val="00841587"/>
    <w:rsid w:val="00856BBD"/>
    <w:rsid w:val="008B11BA"/>
    <w:rsid w:val="008B454F"/>
    <w:rsid w:val="008D16BA"/>
    <w:rsid w:val="00901ADE"/>
    <w:rsid w:val="0091337A"/>
    <w:rsid w:val="00913E06"/>
    <w:rsid w:val="009430BF"/>
    <w:rsid w:val="00963E2B"/>
    <w:rsid w:val="00975656"/>
    <w:rsid w:val="0097570C"/>
    <w:rsid w:val="00975C36"/>
    <w:rsid w:val="00982A28"/>
    <w:rsid w:val="009832A4"/>
    <w:rsid w:val="009C79A9"/>
    <w:rsid w:val="009D193B"/>
    <w:rsid w:val="009D4FC6"/>
    <w:rsid w:val="00A16818"/>
    <w:rsid w:val="00A175A6"/>
    <w:rsid w:val="00A21D4E"/>
    <w:rsid w:val="00A3755F"/>
    <w:rsid w:val="00A7474A"/>
    <w:rsid w:val="00A804CC"/>
    <w:rsid w:val="00A84B73"/>
    <w:rsid w:val="00A9138A"/>
    <w:rsid w:val="00A972EA"/>
    <w:rsid w:val="00AA4321"/>
    <w:rsid w:val="00AA5491"/>
    <w:rsid w:val="00AD02A1"/>
    <w:rsid w:val="00AD0927"/>
    <w:rsid w:val="00AE42D1"/>
    <w:rsid w:val="00AE60B0"/>
    <w:rsid w:val="00AE60E3"/>
    <w:rsid w:val="00AE6C08"/>
    <w:rsid w:val="00AF74D1"/>
    <w:rsid w:val="00B2131D"/>
    <w:rsid w:val="00B23863"/>
    <w:rsid w:val="00B33B6D"/>
    <w:rsid w:val="00B44A38"/>
    <w:rsid w:val="00B47096"/>
    <w:rsid w:val="00B556D1"/>
    <w:rsid w:val="00B57BC7"/>
    <w:rsid w:val="00B60C98"/>
    <w:rsid w:val="00B615A1"/>
    <w:rsid w:val="00B61F68"/>
    <w:rsid w:val="00B72601"/>
    <w:rsid w:val="00B73DD5"/>
    <w:rsid w:val="00B75A50"/>
    <w:rsid w:val="00B95DCB"/>
    <w:rsid w:val="00BB4272"/>
    <w:rsid w:val="00BB707E"/>
    <w:rsid w:val="00BC5715"/>
    <w:rsid w:val="00BC6808"/>
    <w:rsid w:val="00BE3514"/>
    <w:rsid w:val="00BE3598"/>
    <w:rsid w:val="00BE409D"/>
    <w:rsid w:val="00BE7533"/>
    <w:rsid w:val="00C0184B"/>
    <w:rsid w:val="00C11FB1"/>
    <w:rsid w:val="00C128DE"/>
    <w:rsid w:val="00C15B34"/>
    <w:rsid w:val="00C4608F"/>
    <w:rsid w:val="00C73DD8"/>
    <w:rsid w:val="00C870B5"/>
    <w:rsid w:val="00CA7F9E"/>
    <w:rsid w:val="00CB1694"/>
    <w:rsid w:val="00CC6D94"/>
    <w:rsid w:val="00CD5408"/>
    <w:rsid w:val="00CF1A1B"/>
    <w:rsid w:val="00CF1FF5"/>
    <w:rsid w:val="00D212D4"/>
    <w:rsid w:val="00D21FA2"/>
    <w:rsid w:val="00D26663"/>
    <w:rsid w:val="00D267F3"/>
    <w:rsid w:val="00D37397"/>
    <w:rsid w:val="00D37DBB"/>
    <w:rsid w:val="00D43AD8"/>
    <w:rsid w:val="00D44F5A"/>
    <w:rsid w:val="00D50D71"/>
    <w:rsid w:val="00D725D6"/>
    <w:rsid w:val="00D76C08"/>
    <w:rsid w:val="00D80F9D"/>
    <w:rsid w:val="00D865AC"/>
    <w:rsid w:val="00DA435A"/>
    <w:rsid w:val="00DA4F85"/>
    <w:rsid w:val="00DC5D24"/>
    <w:rsid w:val="00DE2A18"/>
    <w:rsid w:val="00DE587B"/>
    <w:rsid w:val="00DE6231"/>
    <w:rsid w:val="00DE6353"/>
    <w:rsid w:val="00DE7904"/>
    <w:rsid w:val="00DF5FD8"/>
    <w:rsid w:val="00E11AF4"/>
    <w:rsid w:val="00E25398"/>
    <w:rsid w:val="00E27F2D"/>
    <w:rsid w:val="00E3006C"/>
    <w:rsid w:val="00E32A64"/>
    <w:rsid w:val="00E371B8"/>
    <w:rsid w:val="00E37464"/>
    <w:rsid w:val="00E40EEF"/>
    <w:rsid w:val="00E56577"/>
    <w:rsid w:val="00E6422C"/>
    <w:rsid w:val="00E83844"/>
    <w:rsid w:val="00EA39D7"/>
    <w:rsid w:val="00EB2AAE"/>
    <w:rsid w:val="00EE2E2E"/>
    <w:rsid w:val="00EE3F48"/>
    <w:rsid w:val="00EE5E52"/>
    <w:rsid w:val="00EE7F4C"/>
    <w:rsid w:val="00EF19C0"/>
    <w:rsid w:val="00F16A33"/>
    <w:rsid w:val="00F23402"/>
    <w:rsid w:val="00F35371"/>
    <w:rsid w:val="00F42A28"/>
    <w:rsid w:val="00F45CED"/>
    <w:rsid w:val="00F5344B"/>
    <w:rsid w:val="00F534C0"/>
    <w:rsid w:val="00F62F20"/>
    <w:rsid w:val="00F719B8"/>
    <w:rsid w:val="00F726A5"/>
    <w:rsid w:val="00F729A3"/>
    <w:rsid w:val="00F8492A"/>
    <w:rsid w:val="00F90033"/>
    <w:rsid w:val="00F9489C"/>
    <w:rsid w:val="00F97764"/>
    <w:rsid w:val="00FB3AD6"/>
    <w:rsid w:val="00FC2797"/>
    <w:rsid w:val="00FD403B"/>
    <w:rsid w:val="00FD766F"/>
    <w:rsid w:val="00FF12DF"/>
    <w:rsid w:val="00FF4977"/>
    <w:rsid w:val="00FF4E4C"/>
    <w:rsid w:val="00FF7C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86F0AC"/>
  <w15:docId w15:val="{703562D5-157E-43C1-8062-AD3755256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C33"/>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rsid w:val="00FF7C33"/>
    <w:pPr>
      <w:tabs>
        <w:tab w:val="center" w:pos="4153"/>
        <w:tab w:val="right" w:pos="8306"/>
      </w:tabs>
    </w:pPr>
    <w:rPr>
      <w:sz w:val="18"/>
    </w:rPr>
  </w:style>
  <w:style w:type="table" w:styleId="TableGrid">
    <w:name w:val="Table Grid"/>
    <w:basedOn w:val="TableNormal"/>
    <w:rsid w:val="00F726A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A972EA"/>
    <w:pPr>
      <w:jc w:val="left"/>
    </w:pPr>
    <w:rPr>
      <w:szCs w:val="24"/>
      <w:lang w:val="pl-PL" w:eastAsia="pl-PL"/>
    </w:rPr>
  </w:style>
  <w:style w:type="character" w:styleId="FootnoteReference">
    <w:name w:val="footnote reference"/>
    <w:rsid w:val="00334BF4"/>
    <w:rPr>
      <w:rFonts w:ascii="Arial" w:hAnsi="Arial"/>
      <w:sz w:val="22"/>
      <w:vertAlign w:val="superscript"/>
    </w:rPr>
  </w:style>
  <w:style w:type="paragraph" w:styleId="FootnoteText">
    <w:name w:val="footnote text"/>
    <w:basedOn w:val="Normal"/>
    <w:rsid w:val="0083733C"/>
    <w:pPr>
      <w:tabs>
        <w:tab w:val="clear" w:pos="851"/>
        <w:tab w:val="left" w:pos="567"/>
      </w:tabs>
      <w:ind w:left="567" w:hanging="567"/>
    </w:pPr>
    <w:rPr>
      <w:sz w:val="18"/>
    </w:rPr>
  </w:style>
  <w:style w:type="paragraph" w:styleId="ListParagraph">
    <w:name w:val="List Paragraph"/>
    <w:basedOn w:val="Normal"/>
    <w:uiPriority w:val="34"/>
    <w:qFormat/>
    <w:rsid w:val="00DE6353"/>
    <w:pPr>
      <w:ind w:left="720"/>
      <w:contextualSpacing/>
    </w:pPr>
  </w:style>
  <w:style w:type="paragraph" w:styleId="NoSpacing">
    <w:name w:val="No Spacing"/>
    <w:uiPriority w:val="1"/>
    <w:qFormat/>
    <w:rsid w:val="001F09FE"/>
    <w:rPr>
      <w:rFonts w:asciiTheme="minorHAnsi" w:eastAsiaTheme="minorEastAsia" w:hAnsiTheme="minorHAnsi" w:cstheme="minorBidi"/>
      <w:sz w:val="24"/>
      <w:szCs w:val="24"/>
    </w:rPr>
  </w:style>
  <w:style w:type="paragraph" w:styleId="BalloonText">
    <w:name w:val="Balloon Text"/>
    <w:basedOn w:val="Normal"/>
    <w:link w:val="BalloonTextChar"/>
    <w:uiPriority w:val="99"/>
    <w:semiHidden/>
    <w:unhideWhenUsed/>
    <w:rsid w:val="00BE409D"/>
    <w:rPr>
      <w:rFonts w:ascii="Tahoma" w:hAnsi="Tahoma" w:cs="Tahoma"/>
      <w:sz w:val="16"/>
      <w:szCs w:val="16"/>
    </w:rPr>
  </w:style>
  <w:style w:type="character" w:customStyle="1" w:styleId="BalloonTextChar">
    <w:name w:val="Balloon Text Char"/>
    <w:basedOn w:val="DefaultParagraphFont"/>
    <w:link w:val="BalloonText"/>
    <w:uiPriority w:val="99"/>
    <w:semiHidden/>
    <w:rsid w:val="00BE409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inero\AppData\Roaming\Microsoft\Templates\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OBody xmlns="eaeb6e44-4365-46b5-8242-0e78ea891166" xsi:nil="true"/>
    <DocId xmlns="ff111082-ee85-4580-901d-b2f6bc5dfa2c">0</DocId>
    <Session xmlns="ff111082-ee85-4580-901d-b2f6bc5dfa2c" xsi:nil="true"/>
    <SubAgenda xmlns="eaeb6e44-4365-46b5-8242-0e78ea891166" xsi:nil="true"/>
    <DocSymbol xmlns="FF111082-EE85-4580-901D-B2F6BC5DFA2C">N/A</DocSymbol>
    <Instruction xmlns="ff111082-ee85-4580-901d-b2f6bc5dfa2c" xsi:nil="true"/>
    <Subtitle xmlns="ff111082-ee85-4580-901d-b2f6bc5dfa2c" xsi:nil="true"/>
    <Agenda xmlns="ff111082-ee85-4580-901d-b2f6bc5dfa2c" xsi:nil="true"/>
  </documentManagement>
</p:properti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Meeting Document" ma:contentTypeID="0x01010045A95EBB0E6B4F10A0543B3665DD7AAA0079F7BA720F8E5F439826B72F8B06ED59" ma:contentTypeVersion="42" ma:contentTypeDescription="Meeting Document Content Type" ma:contentTypeScope="" ma:versionID="c9fcf449410696d4f6a8bf436bc06a9b">
  <xsd:schema xmlns:xsd="http://www.w3.org/2001/XMLSchema" xmlns:xs="http://www.w3.org/2001/XMLSchema" xmlns:p="http://schemas.microsoft.com/office/2006/metadata/properties" xmlns:ns2="FF111082-EE85-4580-901D-B2F6BC5DFA2C" xmlns:ns3="ff111082-ee85-4580-901d-b2f6bc5dfa2c" xmlns:ns4="eaeb6e44-4365-46b5-8242-0e78ea891166" targetNamespace="http://schemas.microsoft.com/office/2006/metadata/properties" ma:root="true" ma:fieldsID="7c86af6e9129875aef63029c187fc950" ns2:_="" ns3:_="" ns4:_="">
    <xsd:import namespace="FF111082-EE85-4580-901D-B2F6BC5DFA2C"/>
    <xsd:import namespace="ff111082-ee85-4580-901d-b2f6bc5dfa2c"/>
    <xsd:import namespace="eaeb6e44-4365-46b5-8242-0e78ea891166"/>
    <xsd:element name="properties">
      <xsd:complexType>
        <xsd:sequence>
          <xsd:element name="documentManagement">
            <xsd:complexType>
              <xsd:all>
                <xsd:element ref="ns2:DocSymbol"/>
                <xsd:element ref="ns3:DocId"/>
                <xsd:element ref="ns3:Instruction" minOccurs="0"/>
                <xsd:element ref="ns3:Subtitle" minOccurs="0"/>
                <xsd:element ref="ns3:Session" minOccurs="0"/>
                <xsd:element ref="ns4:SubAgenda" minOccurs="0"/>
                <xsd:element ref="ns3:Agenda" minOccurs="0"/>
                <xsd:element ref="ns4:IMOBod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Symbol" ma:index="8" ma:displayName="Document Symbol" ma:internalName="DocSymbo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Id" ma:index="9" ma:displayName="Document ID" ma:default="794" ma:internalName="DocId" ma:percentage="FALSE">
      <xsd:simpleType>
        <xsd:restriction base="dms:Number"/>
      </xsd:simpleType>
    </xsd:element>
    <xsd:element name="Instruction" ma:index="10" nillable="true" ma:displayName="Instructions Comments" ma:internalName="Instruction">
      <xsd:simpleType>
        <xsd:restriction base="dms:Text"/>
      </xsd:simpleType>
    </xsd:element>
    <xsd:element name="Subtitle" ma:index="11" nillable="true" ma:displayName="Subtitle" ma:internalName="Subtitle">
      <xsd:simpleType>
        <xsd:restriction base="dms:Text"/>
      </xsd:simpleType>
    </xsd:element>
    <xsd:element name="Session" ma:index="12" nillable="true" ma:displayName="Session" ma:internalName="Session">
      <xsd:simpleType>
        <xsd:restriction base="dms:Number"/>
      </xsd:simpleType>
    </xsd:element>
    <xsd:element name="Agenda" ma:index="14" nillable="true" ma:displayName="Agenda Item" ma:internalName="Agend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aeb6e44-4365-46b5-8242-0e78ea891166" elementFormDefault="qualified">
    <xsd:import namespace="http://schemas.microsoft.com/office/2006/documentManagement/types"/>
    <xsd:import namespace="http://schemas.microsoft.com/office/infopath/2007/PartnerControls"/>
    <xsd:element name="SubAgenda" ma:index="13" nillable="true" ma:displayName="Sub Agenda Item" ma:internalName="SubAgenda">
      <xsd:simpleType>
        <xsd:restriction base="dms:Text">
          <xsd:maxLength value="255"/>
        </xsd:restriction>
      </xsd:simpleType>
    </xsd:element>
    <xsd:element name="IMOBody" ma:index="18" nillable="true" ma:displayName="Committee Code/Series" ma:internalName="IMOBod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04ED99-9AEB-48A3-9D1B-3A535E6EFBCF}">
  <ds:schemaRefs>
    <ds:schemaRef ds:uri="http://schemas.microsoft.com/sharepoint/v3/contenttype/forms"/>
  </ds:schemaRefs>
</ds:datastoreItem>
</file>

<file path=customXml/itemProps2.xml><?xml version="1.0" encoding="utf-8"?>
<ds:datastoreItem xmlns:ds="http://schemas.openxmlformats.org/officeDocument/2006/customXml" ds:itemID="{8F89F644-3A9A-4506-8904-8387A31F5232}">
  <ds:schemaRefs>
    <ds:schemaRef ds:uri="http://schemas.microsoft.com/office/2006/metadata/properties"/>
    <ds:schemaRef ds:uri="http://schemas.microsoft.com/office/infopath/2007/PartnerControls"/>
    <ds:schemaRef ds:uri="eaeb6e44-4365-46b5-8242-0e78ea891166"/>
    <ds:schemaRef ds:uri="ff111082-ee85-4580-901d-b2f6bc5dfa2c"/>
    <ds:schemaRef ds:uri="FF111082-EE85-4580-901D-B2F6BC5DFA2C"/>
  </ds:schemaRefs>
</ds:datastoreItem>
</file>

<file path=customXml/itemProps3.xml><?xml version="1.0" encoding="utf-8"?>
<ds:datastoreItem xmlns:ds="http://schemas.openxmlformats.org/officeDocument/2006/customXml" ds:itemID="{90AB5EBE-C08A-4651-BF13-4C66A1115EAE}">
  <ds:schemaRefs>
    <ds:schemaRef ds:uri="http://schemas.microsoft.com/office/2006/metadata/customXsn"/>
  </ds:schemaRefs>
</ds:datastoreItem>
</file>

<file path=customXml/itemProps4.xml><?xml version="1.0" encoding="utf-8"?>
<ds:datastoreItem xmlns:ds="http://schemas.openxmlformats.org/officeDocument/2006/customXml" ds:itemID="{4B265DD7-125D-497A-9BB2-5AFE8DEB2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111082-EE85-4580-901D-B2F6BC5DFA2C"/>
    <ds:schemaRef ds:uri="ff111082-ee85-4580-901d-b2f6bc5dfa2c"/>
    <ds:schemaRef ds:uri="eaeb6e44-4365-46b5-8242-0e78ea891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Meeting (E).dotm</Template>
  <TotalTime>206</TotalTime>
  <Pages>3</Pages>
  <Words>1049</Words>
  <Characters>5982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BPinero</dc:creator>
  <cp:keywords/>
  <cp:lastModifiedBy>Plenary Room</cp:lastModifiedBy>
  <cp:revision>36</cp:revision>
  <cp:lastPrinted>1999-10-18T12:44:00Z</cp:lastPrinted>
  <dcterms:created xsi:type="dcterms:W3CDTF">2017-01-18T05:10:00Z</dcterms:created>
  <dcterms:modified xsi:type="dcterms:W3CDTF">2017-03-23T15:53:00Z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0x01010045A95EBB0E6B4F10A0543B3665DD7AAA0079F7BA720F8E5F439826B72F8B06ED59</vt:lpwstr>
  </property>
</Properties>
</file>