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B1DDE0C" w14:textId="77777777" w:rsidTr="002748B8">
        <w:tc>
          <w:tcPr>
            <w:tcW w:w="4428" w:type="dxa"/>
          </w:tcPr>
          <w:p w14:paraId="3B1DDE0A" w14:textId="7B2B3401" w:rsidR="000348ED" w:rsidRPr="00AA2626" w:rsidRDefault="005D05AC" w:rsidP="00345EE0">
            <w:r w:rsidRPr="00AA2626">
              <w:t>From:</w:t>
            </w:r>
            <w:r w:rsidRPr="00AA2626">
              <w:tab/>
            </w:r>
            <w:r w:rsidR="002525A1">
              <w:t>ENAV</w:t>
            </w:r>
            <w:r w:rsidR="00345EE0">
              <w:t xml:space="preserve"> Committee</w:t>
            </w:r>
          </w:p>
        </w:tc>
        <w:tc>
          <w:tcPr>
            <w:tcW w:w="5461" w:type="dxa"/>
            <w:shd w:val="clear" w:color="auto" w:fill="auto"/>
          </w:tcPr>
          <w:p w14:paraId="3B1DDE0B" w14:textId="4F9CC9A0" w:rsidR="000348ED" w:rsidRPr="002748B8" w:rsidRDefault="002525A1" w:rsidP="00345EE0">
            <w:pPr>
              <w:jc w:val="right"/>
            </w:pPr>
            <w:r>
              <w:t>ENAV30</w:t>
            </w:r>
            <w:r w:rsidR="002748B8" w:rsidRPr="00E6495F">
              <w:t>-</w:t>
            </w:r>
            <w:r w:rsidR="00E6495F">
              <w:t>12.1.2</w:t>
            </w:r>
          </w:p>
        </w:tc>
      </w:tr>
      <w:tr w:rsidR="000348ED" w:rsidRPr="00AA2626" w14:paraId="3B1DDE0F" w14:textId="77777777" w:rsidTr="002748B8">
        <w:tc>
          <w:tcPr>
            <w:tcW w:w="4428" w:type="dxa"/>
          </w:tcPr>
          <w:p w14:paraId="3B1DDE0D" w14:textId="111DBA95" w:rsidR="000348ED" w:rsidRPr="00AA2626" w:rsidRDefault="005D05AC" w:rsidP="00345EE0">
            <w:r w:rsidRPr="00AA2626">
              <w:t>To:</w:t>
            </w:r>
            <w:r w:rsidRPr="00AA2626">
              <w:tab/>
            </w:r>
            <w:r w:rsidR="002525A1">
              <w:t>PAP</w:t>
            </w:r>
          </w:p>
        </w:tc>
        <w:tc>
          <w:tcPr>
            <w:tcW w:w="5461" w:type="dxa"/>
            <w:shd w:val="clear" w:color="auto" w:fill="auto"/>
          </w:tcPr>
          <w:p w14:paraId="3B1DDE0E" w14:textId="2D184628" w:rsidR="000348ED" w:rsidRPr="002748B8" w:rsidRDefault="002525A1" w:rsidP="00345EE0">
            <w:pPr>
              <w:jc w:val="right"/>
            </w:pPr>
            <w:r>
              <w:t>30</w:t>
            </w:r>
            <w:r w:rsidR="00345EE0">
              <w:t xml:space="preserve"> September</w:t>
            </w:r>
            <w:r w:rsidR="005D05AC" w:rsidRPr="002748B8">
              <w:t xml:space="preserve"> 20</w:t>
            </w:r>
            <w:r w:rsidR="002748B8" w:rsidRPr="002748B8">
              <w:t>22</w:t>
            </w:r>
          </w:p>
        </w:tc>
      </w:tr>
    </w:tbl>
    <w:p w14:paraId="3B1DDE10" w14:textId="77777777" w:rsidR="000348ED" w:rsidRPr="00AA2626" w:rsidRDefault="00AA2626" w:rsidP="002B0236">
      <w:pPr>
        <w:pStyle w:val="Title"/>
      </w:pPr>
      <w:r>
        <w:t>LIAISON NOTE</w:t>
      </w:r>
    </w:p>
    <w:p w14:paraId="3B1DDE11" w14:textId="3F4DAD7F" w:rsidR="000348ED" w:rsidRPr="000266E0" w:rsidRDefault="000A76DF" w:rsidP="002B0236">
      <w:pPr>
        <w:pStyle w:val="Title"/>
      </w:pPr>
      <w:r>
        <w:t xml:space="preserve">Example of the use of </w:t>
      </w:r>
      <w:r w:rsidR="0097202A">
        <w:t xml:space="preserve">Maritime Resource Names </w:t>
      </w:r>
      <w:r w:rsidR="00266210">
        <w:t xml:space="preserve">for </w:t>
      </w:r>
      <w:r w:rsidR="002525A1">
        <w:t xml:space="preserve">Technical </w:t>
      </w:r>
      <w:r>
        <w:t>S</w:t>
      </w:r>
      <w:r w:rsidR="002525A1">
        <w:t>ervice</w:t>
      </w:r>
      <w:r w:rsidR="00266210">
        <w:t>s</w:t>
      </w:r>
    </w:p>
    <w:p w14:paraId="3B1DDE12" w14:textId="77777777" w:rsidR="0064435F" w:rsidRPr="000266E0" w:rsidRDefault="008E7A45" w:rsidP="002B0236">
      <w:pPr>
        <w:pStyle w:val="Heading1"/>
      </w:pPr>
      <w:r w:rsidRPr="000266E0">
        <w:t>INTRODUCTION</w:t>
      </w:r>
    </w:p>
    <w:p w14:paraId="441DBE6C" w14:textId="51BFEC04" w:rsidR="00857A7D" w:rsidRDefault="0097202A" w:rsidP="00D8407B">
      <w:pPr>
        <w:pStyle w:val="BodyText"/>
      </w:pPr>
      <w:r>
        <w:t xml:space="preserve">Maritime Resource Names (MRNs) are an agreed </w:t>
      </w:r>
      <w:r w:rsidR="00173417">
        <w:t>identification mechanism for maritime resources supported by IALA.</w:t>
      </w:r>
      <w:r>
        <w:t xml:space="preserve"> </w:t>
      </w:r>
      <w:r w:rsidR="00857A7D">
        <w:t xml:space="preserve">Technical </w:t>
      </w:r>
      <w:r w:rsidR="00D63F31">
        <w:t>S</w:t>
      </w:r>
      <w:r w:rsidR="00857A7D">
        <w:t>ervice</w:t>
      </w:r>
      <w:r>
        <w:t>s</w:t>
      </w:r>
      <w:r w:rsidR="00173417">
        <w:t xml:space="preserve"> (TS)</w:t>
      </w:r>
      <w:r w:rsidR="00D63F31">
        <w:t xml:space="preserve"> </w:t>
      </w:r>
      <w:r w:rsidR="00173417">
        <w:t>are</w:t>
      </w:r>
      <w:r w:rsidR="00D63F31">
        <w:t xml:space="preserve"> </w:t>
      </w:r>
      <w:r w:rsidR="00E12ABC">
        <w:t xml:space="preserve">one of the building blocks of </w:t>
      </w:r>
      <w:r w:rsidR="004227F1">
        <w:t>Maritime Service</w:t>
      </w:r>
      <w:r>
        <w:t>s</w:t>
      </w:r>
      <w:r w:rsidR="004227F1">
        <w:t xml:space="preserve"> in the context of e-</w:t>
      </w:r>
      <w:r w:rsidR="007905D4">
        <w:t>N</w:t>
      </w:r>
      <w:r w:rsidR="004227F1">
        <w:t xml:space="preserve">avigation and </w:t>
      </w:r>
      <w:r w:rsidR="00D63F31">
        <w:t xml:space="preserve">an enabler of </w:t>
      </w:r>
      <w:r w:rsidR="005F7B31">
        <w:t xml:space="preserve">harmonized </w:t>
      </w:r>
      <w:r w:rsidR="006E2838">
        <w:t xml:space="preserve">and seamless </w:t>
      </w:r>
      <w:r w:rsidR="004227F1">
        <w:t xml:space="preserve">data and information </w:t>
      </w:r>
      <w:r w:rsidR="005F7B31">
        <w:t>exchange</w:t>
      </w:r>
      <w:r w:rsidR="00F02560">
        <w:t xml:space="preserve"> in digital format</w:t>
      </w:r>
      <w:r w:rsidR="005F7B31">
        <w:t xml:space="preserve">. </w:t>
      </w:r>
      <w:r w:rsidR="00173417">
        <w:t>TS</w:t>
      </w:r>
      <w:r w:rsidR="00D63F31">
        <w:t xml:space="preserve"> </w:t>
      </w:r>
      <w:r w:rsidR="00E12ABC">
        <w:t>comprise a set of technical solutions</w:t>
      </w:r>
      <w:r w:rsidR="008D198A">
        <w:t>,</w:t>
      </w:r>
      <w:r w:rsidR="00E12ABC">
        <w:t xml:space="preserve"> including data model</w:t>
      </w:r>
      <w:r w:rsidR="008D198A">
        <w:t>s</w:t>
      </w:r>
      <w:r w:rsidR="00E12ABC">
        <w:t xml:space="preserve"> and communication means to provide a Maritime Service</w:t>
      </w:r>
      <w:r w:rsidR="00124C44">
        <w:t xml:space="preserve">, and MRN </w:t>
      </w:r>
      <w:r w:rsidR="00A336CD">
        <w:t>underpins</w:t>
      </w:r>
      <w:r w:rsidR="00124C44">
        <w:t xml:space="preserve"> </w:t>
      </w:r>
      <w:r w:rsidR="00424E8C">
        <w:t xml:space="preserve">the communication as </w:t>
      </w:r>
      <w:r w:rsidR="005215C5">
        <w:t xml:space="preserve">the </w:t>
      </w:r>
      <w:r w:rsidR="00124C44">
        <w:t>unique identifier</w:t>
      </w:r>
      <w:r w:rsidR="00A336CD">
        <w:t xml:space="preserve">. </w:t>
      </w:r>
    </w:p>
    <w:p w14:paraId="2834DB91" w14:textId="17590756" w:rsidR="005F7B31" w:rsidRDefault="00940244" w:rsidP="00D8407B">
      <w:pPr>
        <w:pStyle w:val="BodyText"/>
      </w:pPr>
      <w:r>
        <w:t>Some of the TS specifications are still under development</w:t>
      </w:r>
      <w:r w:rsidR="0087094F">
        <w:t xml:space="preserve">, and there is a need </w:t>
      </w:r>
      <w:r w:rsidR="005215C5">
        <w:t>to promote</w:t>
      </w:r>
      <w:r w:rsidR="006F6D67">
        <w:t xml:space="preserve"> </w:t>
      </w:r>
      <w:r w:rsidR="00353D51">
        <w:t xml:space="preserve">better understanding </w:t>
      </w:r>
      <w:r w:rsidR="00B272B7">
        <w:t>by</w:t>
      </w:r>
      <w:r w:rsidR="00353D51">
        <w:t xml:space="preserve"> </w:t>
      </w:r>
      <w:r w:rsidR="00A83B58">
        <w:t>the domain coordinating bodies</w:t>
      </w:r>
      <w:r w:rsidR="002E02FE">
        <w:t xml:space="preserve"> and internal organs of IALA</w:t>
      </w:r>
      <w:r w:rsidR="00353D51">
        <w:t xml:space="preserve">. </w:t>
      </w:r>
      <w:r w:rsidR="00A83B58">
        <w:t xml:space="preserve"> </w:t>
      </w:r>
    </w:p>
    <w:p w14:paraId="3B1DDE14" w14:textId="164D0099" w:rsidR="00DE362E" w:rsidRDefault="00353D51" w:rsidP="00D5243E">
      <w:pPr>
        <w:pStyle w:val="BodyText"/>
      </w:pPr>
      <w:r>
        <w:t xml:space="preserve">This document provides </w:t>
      </w:r>
      <w:r w:rsidR="005215C5">
        <w:t>guidance</w:t>
      </w:r>
      <w:r w:rsidR="005069FF">
        <w:t xml:space="preserve"> on the </w:t>
      </w:r>
      <w:r w:rsidR="005215C5">
        <w:t xml:space="preserve">use of MRN for </w:t>
      </w:r>
      <w:r w:rsidR="00B272B7">
        <w:t>T</w:t>
      </w:r>
      <w:r w:rsidR="005069FF">
        <w:t xml:space="preserve">echnical </w:t>
      </w:r>
      <w:r w:rsidR="00B272B7">
        <w:t>S</w:t>
      </w:r>
      <w:r w:rsidR="005069FF">
        <w:t xml:space="preserve">ervices with </w:t>
      </w:r>
      <w:r w:rsidR="00C11583">
        <w:t xml:space="preserve">examples. </w:t>
      </w:r>
      <w:r w:rsidR="00DE362E">
        <w:t xml:space="preserve"> </w:t>
      </w:r>
    </w:p>
    <w:p w14:paraId="43F7652F" w14:textId="5E2A4817" w:rsidR="00C11583" w:rsidRDefault="00650CE2" w:rsidP="00345EE0">
      <w:pPr>
        <w:pStyle w:val="Heading1"/>
      </w:pPr>
      <w:r>
        <w:t>REFERENCE DOCUMENT</w:t>
      </w:r>
    </w:p>
    <w:p w14:paraId="3DDDD5DC" w14:textId="77777777" w:rsidR="00650CE2" w:rsidRDefault="00650CE2" w:rsidP="00445AF5">
      <w:pPr>
        <w:pStyle w:val="BodyText"/>
        <w:numPr>
          <w:ilvl w:val="0"/>
          <w:numId w:val="31"/>
        </w:numPr>
      </w:pPr>
      <w:r>
        <w:t>IMO Resolution MSC.467(101) Guidance on the definition and harmonization of the format and structure of Maritime Services in the context of e-Navigation</w:t>
      </w:r>
    </w:p>
    <w:p w14:paraId="6561E778" w14:textId="22F3911B" w:rsidR="00650CE2" w:rsidRDefault="00445AF5" w:rsidP="00445AF5">
      <w:pPr>
        <w:pStyle w:val="BodyText"/>
        <w:numPr>
          <w:ilvl w:val="0"/>
          <w:numId w:val="31"/>
        </w:numPr>
      </w:pPr>
      <w:r w:rsidRPr="00445AF5">
        <w:t>NCSR 9-7-2 - Development of Maritime Services descriptions (IALA)</w:t>
      </w:r>
    </w:p>
    <w:p w14:paraId="083DC93E" w14:textId="1F31C86D" w:rsidR="00445AF5" w:rsidRDefault="003904A6" w:rsidP="00445AF5">
      <w:pPr>
        <w:pStyle w:val="BodyText"/>
        <w:numPr>
          <w:ilvl w:val="0"/>
          <w:numId w:val="31"/>
        </w:numPr>
      </w:pPr>
      <w:r w:rsidRPr="003904A6">
        <w:t xml:space="preserve">VTS53-12.2.1 Liaison note to PAP and ARM on </w:t>
      </w:r>
      <w:r w:rsidR="005215C5">
        <w:t xml:space="preserve">the </w:t>
      </w:r>
      <w:r w:rsidRPr="003904A6">
        <w:t>Draft description of Maritime Service 1- VTS</w:t>
      </w:r>
      <w:r w:rsidR="009922A1">
        <w:t xml:space="preserve"> and associated document</w:t>
      </w:r>
    </w:p>
    <w:p w14:paraId="3B1DDE15" w14:textId="72AA4221" w:rsidR="00345EE0" w:rsidRDefault="00650CE2" w:rsidP="00345EE0">
      <w:pPr>
        <w:pStyle w:val="Heading1"/>
      </w:pPr>
      <w:r>
        <w:t xml:space="preserve">TECHNICAL SERVICE </w:t>
      </w:r>
      <w:r w:rsidR="00C73B15">
        <w:t xml:space="preserve">AND MRN </w:t>
      </w:r>
      <w:r>
        <w:t>EXAMPLES</w:t>
      </w:r>
    </w:p>
    <w:p w14:paraId="3DAE03CB" w14:textId="413E6DFA" w:rsidR="00B10DAB" w:rsidRPr="00EA0B13" w:rsidRDefault="004B4283" w:rsidP="00D8407B">
      <w:pPr>
        <w:pStyle w:val="BodyText"/>
      </w:pPr>
      <w:r>
        <w:t xml:space="preserve">Technical </w:t>
      </w:r>
      <w:r w:rsidR="007905D4">
        <w:t>S</w:t>
      </w:r>
      <w:r>
        <w:t xml:space="preserve">ervices </w:t>
      </w:r>
      <w:r w:rsidR="007905D4">
        <w:t>utilizing</w:t>
      </w:r>
      <w:r>
        <w:t xml:space="preserve"> </w:t>
      </w:r>
      <w:r w:rsidR="005215C5">
        <w:t>P</w:t>
      </w:r>
      <w:r>
        <w:t xml:space="preserve">roduct </w:t>
      </w:r>
      <w:r w:rsidR="005215C5">
        <w:t>S</w:t>
      </w:r>
      <w:r>
        <w:t>pecification</w:t>
      </w:r>
      <w:r w:rsidR="007905D4">
        <w:t>s</w:t>
      </w:r>
      <w:r>
        <w:t xml:space="preserve"> based on the S-100 </w:t>
      </w:r>
      <w:r w:rsidR="00807746">
        <w:t>framework,</w:t>
      </w:r>
      <w:r w:rsidR="0069685C">
        <w:t xml:space="preserve"> </w:t>
      </w:r>
      <w:r w:rsidR="007905D4">
        <w:t>are</w:t>
      </w:r>
      <w:r w:rsidR="00B10DAB">
        <w:t xml:space="preserve"> brought together to deliver Maritime Service</w:t>
      </w:r>
      <w:r w:rsidR="007905D4">
        <w:t>s</w:t>
      </w:r>
      <w:r w:rsidR="00B10DAB">
        <w:t>.</w:t>
      </w:r>
      <w:r w:rsidR="004B1BA8">
        <w:t xml:space="preserve"> </w:t>
      </w:r>
      <w:r w:rsidR="004B1BA8" w:rsidRPr="00EA0B13">
        <w:t xml:space="preserve">Each TS would have a unique MRN based on </w:t>
      </w:r>
      <w:r w:rsidR="00141399" w:rsidRPr="00EA0B13">
        <w:t>a</w:t>
      </w:r>
      <w:r w:rsidR="004B1BA8" w:rsidRPr="00EA0B13">
        <w:t xml:space="preserve"> general scheme consisting of 4 parts:</w:t>
      </w:r>
    </w:p>
    <w:p w14:paraId="70E5C101" w14:textId="2FD5BDE2" w:rsidR="004B1BA8" w:rsidRPr="00EA0B13" w:rsidRDefault="004B1BA8" w:rsidP="004B1BA8">
      <w:pPr>
        <w:pStyle w:val="BodyText"/>
        <w:numPr>
          <w:ilvl w:val="0"/>
          <w:numId w:val="32"/>
        </w:numPr>
      </w:pPr>
      <w:proofErr w:type="spellStart"/>
      <w:proofErr w:type="gramStart"/>
      <w:r w:rsidRPr="00EA0B13">
        <w:t>urn:mrn</w:t>
      </w:r>
      <w:proofErr w:type="spellEnd"/>
      <w:proofErr w:type="gramEnd"/>
      <w:r w:rsidRPr="00EA0B13">
        <w:t xml:space="preserve"> – static part that every MRN begins with</w:t>
      </w:r>
    </w:p>
    <w:p w14:paraId="24D68A5B" w14:textId="6739B1F3" w:rsidR="004B1BA8" w:rsidRPr="00EA0B13" w:rsidRDefault="004B1BA8" w:rsidP="004B1BA8">
      <w:pPr>
        <w:pStyle w:val="BodyText"/>
        <w:numPr>
          <w:ilvl w:val="0"/>
          <w:numId w:val="32"/>
        </w:numPr>
      </w:pPr>
      <w:r w:rsidRPr="00EA0B13">
        <w:t>&lt;</w:t>
      </w:r>
      <w:proofErr w:type="spellStart"/>
      <w:r w:rsidRPr="00EA0B13">
        <w:t>oid</w:t>
      </w:r>
      <w:proofErr w:type="spellEnd"/>
      <w:r w:rsidRPr="00EA0B13">
        <w:t>&gt; – ID of the standardisation body of the resource</w:t>
      </w:r>
    </w:p>
    <w:p w14:paraId="2B6C9B9C" w14:textId="03BE9F7C" w:rsidR="004B1BA8" w:rsidRPr="00EA0B13" w:rsidRDefault="004B1BA8" w:rsidP="004B1BA8">
      <w:pPr>
        <w:pStyle w:val="BodyText"/>
        <w:numPr>
          <w:ilvl w:val="0"/>
          <w:numId w:val="32"/>
        </w:numPr>
      </w:pPr>
      <w:r w:rsidRPr="00EA0B13">
        <w:t>&lt;type&gt; – the type of the resource</w:t>
      </w:r>
      <w:r w:rsidR="00141399" w:rsidRPr="00EA0B13">
        <w:t>,</w:t>
      </w:r>
      <w:r w:rsidRPr="00EA0B13">
        <w:t xml:space="preserve"> which for T</w:t>
      </w:r>
      <w:r w:rsidR="00141399" w:rsidRPr="00EA0B13">
        <w:t xml:space="preserve">echnical </w:t>
      </w:r>
      <w:r w:rsidRPr="00EA0B13">
        <w:t>S</w:t>
      </w:r>
      <w:r w:rsidR="00141399" w:rsidRPr="00EA0B13">
        <w:t>ervices</w:t>
      </w:r>
      <w:r w:rsidRPr="00EA0B13">
        <w:t xml:space="preserve"> would be “</w:t>
      </w:r>
      <w:proofErr w:type="spellStart"/>
      <w:proofErr w:type="gramStart"/>
      <w:r w:rsidRPr="00EA0B13">
        <w:t>ts</w:t>
      </w:r>
      <w:r w:rsidR="00EA0B13" w:rsidRPr="00EA0B13">
        <w:t>:spec</w:t>
      </w:r>
      <w:proofErr w:type="spellEnd"/>
      <w:proofErr w:type="gramEnd"/>
      <w:r w:rsidRPr="00EA0B13">
        <w:t>”</w:t>
      </w:r>
    </w:p>
    <w:p w14:paraId="4A786E81" w14:textId="5053117D" w:rsidR="004B1BA8" w:rsidRPr="00EA0B13" w:rsidRDefault="004B1BA8" w:rsidP="004B1BA8">
      <w:pPr>
        <w:pStyle w:val="BodyText"/>
        <w:numPr>
          <w:ilvl w:val="0"/>
          <w:numId w:val="32"/>
        </w:numPr>
      </w:pPr>
      <w:r w:rsidRPr="00EA0B13">
        <w:t>&lt;id&gt; – the identification part</w:t>
      </w:r>
    </w:p>
    <w:p w14:paraId="1DD2D74E" w14:textId="42224EB1" w:rsidR="004B1BA8" w:rsidRPr="00EA0B13" w:rsidRDefault="004B1BA8" w:rsidP="004B1BA8">
      <w:pPr>
        <w:pStyle w:val="BodyText"/>
      </w:pPr>
      <w:r w:rsidRPr="00EA0B13">
        <w:t xml:space="preserve">Taking above scheme into consideration an MRN </w:t>
      </w:r>
      <w:r w:rsidR="00EA0B13" w:rsidRPr="00EA0B13">
        <w:t>of</w:t>
      </w:r>
      <w:r w:rsidR="00273C1A" w:rsidRPr="00EA0B13">
        <w:t xml:space="preserve"> a</w:t>
      </w:r>
      <w:r w:rsidR="00EA0B13" w:rsidRPr="00EA0B13">
        <w:t>n example</w:t>
      </w:r>
      <w:r w:rsidR="00273C1A" w:rsidRPr="00EA0B13">
        <w:t xml:space="preserve"> TS under the IALA domain would be:</w:t>
      </w:r>
    </w:p>
    <w:p w14:paraId="3D294F6E" w14:textId="36309150" w:rsidR="00273C1A" w:rsidRPr="00EA0B13" w:rsidRDefault="00273C1A" w:rsidP="00273C1A">
      <w:pPr>
        <w:pStyle w:val="BodyText"/>
        <w:numPr>
          <w:ilvl w:val="0"/>
          <w:numId w:val="33"/>
        </w:numPr>
      </w:pPr>
      <w:proofErr w:type="gramStart"/>
      <w:r w:rsidRPr="00EA0B13">
        <w:t>urn:mrn</w:t>
      </w:r>
      <w:proofErr w:type="gramEnd"/>
      <w:r w:rsidRPr="00EA0B13">
        <w:t>:iala:ts</w:t>
      </w:r>
      <w:r w:rsidR="00EA0B13" w:rsidRPr="00EA0B13">
        <w:t>:spec</w:t>
      </w:r>
      <w:r w:rsidRPr="00EA0B13">
        <w:t>:1234</w:t>
      </w:r>
    </w:p>
    <w:p w14:paraId="72CF9EBF" w14:textId="3CFDABAE" w:rsidR="009923AC" w:rsidRDefault="0011320B" w:rsidP="00D8407B">
      <w:pPr>
        <w:pStyle w:val="BodyText"/>
      </w:pPr>
      <w:r>
        <w:t xml:space="preserve">Below </w:t>
      </w:r>
      <w:r w:rsidR="00807746">
        <w:t>are</w:t>
      </w:r>
      <w:r>
        <w:t xml:space="preserve"> some of the examples of the </w:t>
      </w:r>
      <w:r w:rsidR="007905D4">
        <w:t>T</w:t>
      </w:r>
      <w:r>
        <w:t xml:space="preserve">echnical </w:t>
      </w:r>
      <w:r w:rsidR="007905D4">
        <w:t>S</w:t>
      </w:r>
      <w:r>
        <w:t>ervices</w:t>
      </w:r>
      <w:r w:rsidR="00154343">
        <w:t xml:space="preserve"> related to VTS</w:t>
      </w:r>
      <w:r w:rsidR="007905D4">
        <w:t>:</w:t>
      </w:r>
    </w:p>
    <w:tbl>
      <w:tblPr>
        <w:tblStyle w:val="TableGrid"/>
        <w:tblW w:w="10122" w:type="dxa"/>
        <w:tblLayout w:type="fixed"/>
        <w:tblLook w:val="04A0" w:firstRow="1" w:lastRow="0" w:firstColumn="1" w:lastColumn="0" w:noHBand="0" w:noVBand="1"/>
      </w:tblPr>
      <w:tblGrid>
        <w:gridCol w:w="2325"/>
        <w:gridCol w:w="1639"/>
        <w:gridCol w:w="4598"/>
        <w:gridCol w:w="1560"/>
      </w:tblGrid>
      <w:tr w:rsidR="00154343" w14:paraId="79611D1E" w14:textId="77777777" w:rsidTr="00F969BC">
        <w:tc>
          <w:tcPr>
            <w:tcW w:w="2325" w:type="dxa"/>
            <w:shd w:val="clear" w:color="auto" w:fill="auto"/>
            <w:tcMar>
              <w:left w:w="57" w:type="dxa"/>
              <w:right w:w="57" w:type="dxa"/>
            </w:tcMar>
          </w:tcPr>
          <w:p w14:paraId="693A2340" w14:textId="77777777" w:rsidR="00154343" w:rsidRDefault="00154343" w:rsidP="00A402CD">
            <w:pPr>
              <w:pStyle w:val="Tabletext"/>
            </w:pPr>
            <w:r>
              <w:t>Name</w:t>
            </w:r>
          </w:p>
        </w:tc>
        <w:tc>
          <w:tcPr>
            <w:tcW w:w="1639" w:type="dxa"/>
            <w:shd w:val="clear" w:color="auto" w:fill="auto"/>
            <w:tcMar>
              <w:left w:w="57" w:type="dxa"/>
              <w:right w:w="57" w:type="dxa"/>
            </w:tcMar>
          </w:tcPr>
          <w:p w14:paraId="76673460" w14:textId="77777777" w:rsidR="00154343" w:rsidRDefault="00154343" w:rsidP="00A402CD">
            <w:pPr>
              <w:pStyle w:val="Tabletext"/>
              <w:ind w:left="77" w:right="23"/>
            </w:pPr>
            <w:r>
              <w:t>ID (MRN)</w:t>
            </w:r>
          </w:p>
        </w:tc>
        <w:tc>
          <w:tcPr>
            <w:tcW w:w="4598" w:type="dxa"/>
            <w:shd w:val="clear" w:color="auto" w:fill="auto"/>
            <w:tcMar>
              <w:left w:w="57" w:type="dxa"/>
              <w:right w:w="57" w:type="dxa"/>
            </w:tcMar>
          </w:tcPr>
          <w:p w14:paraId="705136D1" w14:textId="77777777" w:rsidR="00154343" w:rsidRDefault="00154343" w:rsidP="00A402CD">
            <w:pPr>
              <w:pStyle w:val="Tabletext"/>
              <w:ind w:left="5" w:right="-57"/>
            </w:pPr>
            <w:r>
              <w:t>Description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</w:tcPr>
          <w:p w14:paraId="76B0D826" w14:textId="77777777" w:rsidR="00154343" w:rsidRDefault="00154343" w:rsidP="00A402CD">
            <w:pPr>
              <w:pStyle w:val="Tabletext"/>
              <w:ind w:left="0" w:right="-57"/>
            </w:pPr>
            <w:r>
              <w:t>Standardisation Body</w:t>
            </w:r>
          </w:p>
        </w:tc>
      </w:tr>
      <w:tr w:rsidR="00154343" w14:paraId="0BBD8486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1DA6F6B8" w14:textId="77777777" w:rsidR="00154343" w:rsidRDefault="00154343" w:rsidP="00A402CD">
            <w:pPr>
              <w:pStyle w:val="BodyText"/>
              <w:jc w:val="left"/>
            </w:pPr>
            <w:r>
              <w:lastRenderedPageBreak/>
              <w:t>Voyage Information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953BD33" w14:textId="050E6F6A" w:rsidR="00154343" w:rsidRPr="00A402CD" w:rsidRDefault="00154343" w:rsidP="00A402CD">
            <w:pPr>
              <w:pStyle w:val="BodyText"/>
              <w:rPr>
                <w:lang w:val="fr-FR"/>
              </w:rPr>
            </w:pPr>
            <w:r w:rsidRPr="00A402CD">
              <w:rPr>
                <w:lang w:val="fr-FR"/>
              </w:rPr>
              <w:t>urn:mrn:iala:ts:</w:t>
            </w:r>
            <w:r w:rsidR="00F969BC">
              <w:rPr>
                <w:lang w:val="fr-FR"/>
              </w:rPr>
              <w:br/>
            </w:r>
            <w:r w:rsidRPr="00A402CD">
              <w:rPr>
                <w:lang w:val="fr-FR"/>
              </w:rPr>
              <w:t>spec:vis</w:t>
            </w:r>
            <w:r>
              <w:rPr>
                <w:lang w:val="fr-FR"/>
              </w:rP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0C8E0487" w14:textId="77777777" w:rsidR="00154343" w:rsidRDefault="00154343" w:rsidP="00A402CD">
            <w:pPr>
              <w:pStyle w:val="BodyText"/>
            </w:pPr>
            <w:r w:rsidRPr="00B76CD4">
              <w:t>The service supports exchange</w:t>
            </w:r>
            <w:r>
              <w:t xml:space="preserve"> </w:t>
            </w:r>
            <w:r w:rsidRPr="00B76CD4">
              <w:t>of voyage plans, text messages and area messages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F506EF5" w14:textId="77777777" w:rsidR="00154343" w:rsidRDefault="00154343" w:rsidP="00A402CD">
            <w:pPr>
              <w:pStyle w:val="BodyText"/>
              <w:jc w:val="left"/>
            </w:pPr>
            <w:r>
              <w:t>[IALA]</w:t>
            </w:r>
          </w:p>
        </w:tc>
      </w:tr>
      <w:tr w:rsidR="00154343" w14:paraId="2703DCD5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0091C227" w14:textId="77777777" w:rsidR="00154343" w:rsidRDefault="00154343" w:rsidP="00A402CD">
            <w:pPr>
              <w:pStyle w:val="BodyText"/>
              <w:jc w:val="left"/>
            </w:pPr>
            <w:r w:rsidRPr="008373B0">
              <w:t>Meteorology</w:t>
            </w:r>
            <w:r>
              <w:t xml:space="preserve">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2D211DB" w14:textId="77777777" w:rsidR="00154343" w:rsidRDefault="00154343" w:rsidP="00A402CD">
            <w:pPr>
              <w:pStyle w:val="BodyText"/>
            </w:pPr>
            <w:r w:rsidRPr="00A402CD">
              <w:rPr>
                <w:lang w:val="fr-FR"/>
              </w:rPr>
              <w:t>urn:mrn:</w:t>
            </w:r>
            <w:r>
              <w:rPr>
                <w:lang w:val="fr-FR"/>
              </w:rPr>
              <w:t>wmo**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0003E78A" w14:textId="77777777" w:rsidR="00154343" w:rsidRDefault="00154343" w:rsidP="00A402CD">
            <w:pPr>
              <w:pStyle w:val="BodyText"/>
            </w:pPr>
            <w:r w:rsidRPr="00B76CD4">
              <w:t>The service suppo</w:t>
            </w:r>
            <w:r>
              <w:t>rts the provision of i</w:t>
            </w:r>
            <w:r w:rsidRPr="009E00C5">
              <w:t xml:space="preserve">nformation </w:t>
            </w:r>
            <w:r>
              <w:t>which could</w:t>
            </w:r>
            <w:r w:rsidRPr="009E00C5">
              <w:t xml:space="preserve"> include the speed and direction of the prevailing wind, direction and height of the waves, visibility, atmospheric pressure, the formation of</w:t>
            </w:r>
            <w:r>
              <w:t xml:space="preserve"> </w:t>
            </w:r>
            <w:r w:rsidRPr="009E00C5">
              <w:t>ice, etc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0D64438" w14:textId="77777777" w:rsidR="00154343" w:rsidRDefault="00154343" w:rsidP="00A402CD">
            <w:pPr>
              <w:pStyle w:val="BodyText"/>
            </w:pPr>
            <w:r>
              <w:t>[WMO]</w:t>
            </w:r>
          </w:p>
        </w:tc>
      </w:tr>
      <w:tr w:rsidR="00154343" w14:paraId="51059EB4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5A3B996D" w14:textId="77777777" w:rsidR="00154343" w:rsidRPr="008373B0" w:rsidRDefault="00154343" w:rsidP="00A402CD">
            <w:pPr>
              <w:pStyle w:val="BodyText"/>
              <w:jc w:val="left"/>
            </w:pPr>
            <w:r w:rsidRPr="008373B0">
              <w:t xml:space="preserve">Meteorological </w:t>
            </w:r>
            <w:r>
              <w:t>W</w:t>
            </w:r>
            <w:r w:rsidRPr="008373B0">
              <w:t>arnings</w:t>
            </w:r>
            <w:r>
              <w:t xml:space="preserve">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3B79DC14" w14:textId="77777777" w:rsidR="00154343" w:rsidRDefault="00154343" w:rsidP="00A402CD">
            <w:pPr>
              <w:pStyle w:val="BodyText"/>
            </w:pPr>
            <w:r w:rsidRPr="00A402CD">
              <w:rPr>
                <w:lang w:val="fr-FR"/>
              </w:rPr>
              <w:t>urn:mrn:</w:t>
            </w:r>
            <w:r>
              <w:rPr>
                <w:lang w:val="fr-FR"/>
              </w:rPr>
              <w:t>wmo**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4CFCB598" w14:textId="77777777" w:rsidR="00154343" w:rsidRDefault="00154343" w:rsidP="00A402CD">
            <w:pPr>
              <w:pStyle w:val="BodyText"/>
            </w:pPr>
            <w:r w:rsidRPr="00B76CD4">
              <w:t>The service suppo</w:t>
            </w:r>
            <w:r>
              <w:t>rts the provision of warnings concerning g</w:t>
            </w:r>
            <w:r w:rsidRPr="009E00C5">
              <w:t>ale, storm, tsunami, restricted visibility, etc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5CF6941" w14:textId="77777777" w:rsidR="00154343" w:rsidRDefault="00154343" w:rsidP="00A402CD">
            <w:pPr>
              <w:pStyle w:val="BodyText"/>
            </w:pPr>
            <w:r>
              <w:t>[WMO]</w:t>
            </w:r>
          </w:p>
        </w:tc>
      </w:tr>
      <w:tr w:rsidR="00154343" w14:paraId="5A52DA89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5FA65327" w14:textId="77777777" w:rsidR="00154343" w:rsidRPr="008373B0" w:rsidRDefault="00154343" w:rsidP="00A402CD">
            <w:pPr>
              <w:pStyle w:val="BodyText"/>
              <w:jc w:val="left"/>
            </w:pPr>
            <w:r>
              <w:t>Hydrographic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AD0F15D" w14:textId="77777777" w:rsidR="00154343" w:rsidRDefault="00154343" w:rsidP="00A402CD">
            <w:pPr>
              <w:pStyle w:val="BodyText"/>
            </w:pPr>
            <w:r w:rsidRPr="00A402CD">
              <w:rPr>
                <w:lang w:val="fr-FR"/>
              </w:rPr>
              <w:t>urn:mrn:</w:t>
            </w:r>
            <w:r>
              <w:rPr>
                <w:lang w:val="fr-FR"/>
              </w:rPr>
              <w:t>iho**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0CC8295F" w14:textId="77777777" w:rsidR="00154343" w:rsidRDefault="00154343" w:rsidP="00A402CD">
            <w:pPr>
              <w:pStyle w:val="BodyText"/>
            </w:pPr>
            <w:r w:rsidRPr="00C52D06">
              <w:t xml:space="preserve">The service supports the provision of </w:t>
            </w:r>
            <w:r>
              <w:t>i</w:t>
            </w:r>
            <w:r w:rsidRPr="009E00C5">
              <w:t xml:space="preserve">nformation </w:t>
            </w:r>
            <w:r>
              <w:t xml:space="preserve">which could </w:t>
            </w:r>
            <w:r w:rsidRPr="009E00C5">
              <w:t xml:space="preserve">include factors such as the stability of the seabed, sea depth, the accuracy of surveys, tidal ranges, tidal streams, prevailing </w:t>
            </w:r>
            <w:proofErr w:type="gramStart"/>
            <w:r w:rsidRPr="009E00C5">
              <w:t>currents</w:t>
            </w:r>
            <w:proofErr w:type="gramEnd"/>
            <w:r w:rsidRPr="009E00C5">
              <w:t xml:space="preserve"> and swell, etc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75E7D7E8" w14:textId="77777777" w:rsidR="00154343" w:rsidRDefault="00154343" w:rsidP="00A402CD">
            <w:pPr>
              <w:pStyle w:val="BodyText"/>
            </w:pPr>
            <w:r>
              <w:t>[IHO]</w:t>
            </w:r>
          </w:p>
        </w:tc>
      </w:tr>
      <w:tr w:rsidR="00154343" w14:paraId="16BF8280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3796B254" w14:textId="77777777" w:rsidR="00154343" w:rsidRDefault="00154343" w:rsidP="00A402CD">
            <w:pPr>
              <w:pStyle w:val="BodyText"/>
              <w:jc w:val="left"/>
            </w:pPr>
            <w:r w:rsidRPr="000A7407">
              <w:t xml:space="preserve">AtoN Information Service to End-users 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2B442452" w14:textId="317E04A5" w:rsidR="00154343" w:rsidRDefault="00154343" w:rsidP="00A402CD">
            <w:pPr>
              <w:pStyle w:val="BodyText"/>
            </w:pPr>
            <w:proofErr w:type="spellStart"/>
            <w:proofErr w:type="gramStart"/>
            <w:r>
              <w:t>urn:mrn</w:t>
            </w:r>
            <w:proofErr w:type="gramEnd"/>
            <w:r>
              <w:t>:iala:ts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spec:atoninfo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70323587" w14:textId="77777777" w:rsidR="00154343" w:rsidRDefault="00154343" w:rsidP="00A402CD">
            <w:pPr>
              <w:pStyle w:val="BodyText"/>
            </w:pPr>
            <w:r w:rsidRPr="000A7407">
              <w:t>The service supports the provision of Aids to Navigation information for end-users (primarily navigators)</w:t>
            </w:r>
            <w:r>
              <w:t>.</w:t>
            </w:r>
            <w:r w:rsidRPr="000A7407">
              <w:t xml:space="preserve"> 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13C70C8" w14:textId="77777777" w:rsidR="00154343" w:rsidRDefault="00154343" w:rsidP="00A402CD">
            <w:pPr>
              <w:pStyle w:val="BodyText"/>
            </w:pPr>
            <w:r>
              <w:t>IHO, IALA</w:t>
            </w:r>
          </w:p>
        </w:tc>
      </w:tr>
      <w:tr w:rsidR="00154343" w14:paraId="01CF0895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4BFE13CF" w14:textId="77777777" w:rsidR="00154343" w:rsidRDefault="00154343" w:rsidP="00A402CD">
            <w:pPr>
              <w:pStyle w:val="BodyText"/>
              <w:jc w:val="left"/>
            </w:pPr>
            <w:r w:rsidRPr="00E2659C">
              <w:t>Service for Provision of Navigational Warnings to End-users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D4AC596" w14:textId="4A84FB91" w:rsidR="00154343" w:rsidRDefault="00154343" w:rsidP="00A402CD">
            <w:pPr>
              <w:pStyle w:val="BodyText"/>
            </w:pPr>
            <w:proofErr w:type="spellStart"/>
            <w:proofErr w:type="gramStart"/>
            <w:r>
              <w:t>urn:mrn</w:t>
            </w:r>
            <w:proofErr w:type="gramEnd"/>
            <w:r>
              <w:t>:iho:ts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spec:navwarn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688B0014" w14:textId="77777777" w:rsidR="00154343" w:rsidRDefault="00154343" w:rsidP="00A402CD">
            <w:pPr>
              <w:pStyle w:val="BodyText"/>
            </w:pPr>
            <w:r w:rsidRPr="00C52D06">
              <w:t xml:space="preserve">The service supports the provision of </w:t>
            </w:r>
            <w:r>
              <w:t>safety related messages such as</w:t>
            </w:r>
            <w:r w:rsidRPr="009E00C5">
              <w:t xml:space="preserve"> </w:t>
            </w:r>
            <w:r>
              <w:t>d</w:t>
            </w:r>
            <w:r w:rsidRPr="00C52D06">
              <w:t>angerous wrecks, obstacles not otherwise promulgated, diving operations, vessels not   under command, etc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78EF162" w14:textId="77777777" w:rsidR="00154343" w:rsidRDefault="00154343" w:rsidP="00A402CD">
            <w:pPr>
              <w:pStyle w:val="BodyText"/>
            </w:pPr>
            <w:r>
              <w:t>[IHO]</w:t>
            </w:r>
          </w:p>
        </w:tc>
      </w:tr>
      <w:tr w:rsidR="00154343" w14:paraId="6B2DC440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7E88F6A5" w14:textId="77777777" w:rsidR="00154343" w:rsidRDefault="00154343" w:rsidP="00A402CD">
            <w:pPr>
              <w:pStyle w:val="BodyText"/>
              <w:jc w:val="left"/>
            </w:pPr>
            <w:r>
              <w:t>Route Information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676B12D3" w14:textId="6AB3CA68" w:rsidR="00154343" w:rsidRPr="00BA34C6" w:rsidRDefault="00154343" w:rsidP="00A402CD">
            <w:pPr>
              <w:pStyle w:val="BodyText"/>
              <w:rPr>
                <w:lang w:val="en-US"/>
              </w:rPr>
            </w:pPr>
            <w:proofErr w:type="spellStart"/>
            <w:proofErr w:type="gramStart"/>
            <w:r>
              <w:t>urn:mrn</w:t>
            </w:r>
            <w:proofErr w:type="gramEnd"/>
            <w:r>
              <w:t>:iala:ts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spec:ris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11BE1560" w14:textId="77777777" w:rsidR="00154343" w:rsidRDefault="00154343" w:rsidP="00A402CD">
            <w:pPr>
              <w:pStyle w:val="BodyText"/>
            </w:pPr>
            <w:r w:rsidRPr="00C52D06">
              <w:t xml:space="preserve">The </w:t>
            </w:r>
            <w:r>
              <w:t>s</w:t>
            </w:r>
            <w:r w:rsidRPr="00C52D06">
              <w:t xml:space="preserve">ervice provides route </w:t>
            </w:r>
            <w:r>
              <w:t xml:space="preserve">recommendations and/or route </w:t>
            </w:r>
            <w:r w:rsidRPr="00C52D06">
              <w:t>validation for ships</w:t>
            </w:r>
            <w:r>
              <w:t>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446CCDB" w14:textId="77777777" w:rsidR="00154343" w:rsidRDefault="00154343" w:rsidP="00A402CD">
            <w:pPr>
              <w:pStyle w:val="BodyText"/>
            </w:pPr>
            <w:r>
              <w:t>[IALA]</w:t>
            </w:r>
          </w:p>
        </w:tc>
      </w:tr>
      <w:tr w:rsidR="00154343" w14:paraId="41BF3C1B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55CEAB28" w14:textId="676F9C32" w:rsidR="00154343" w:rsidRDefault="00154343" w:rsidP="00A402CD">
            <w:pPr>
              <w:pStyle w:val="BodyText"/>
              <w:jc w:val="left"/>
            </w:pPr>
            <w:r>
              <w:t xml:space="preserve">Slot </w:t>
            </w:r>
            <w:r w:rsidR="00FF40C9">
              <w:t>M</w:t>
            </w:r>
            <w:r>
              <w:t>anagement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74890A8D" w14:textId="0E68E4BB" w:rsidR="00154343" w:rsidRPr="00BA34C6" w:rsidDel="007137A2" w:rsidRDefault="00154343" w:rsidP="00A402CD">
            <w:pPr>
              <w:pStyle w:val="BodyText"/>
              <w:rPr>
                <w:lang w:val="en-US"/>
              </w:rPr>
            </w:pPr>
            <w:proofErr w:type="spellStart"/>
            <w:proofErr w:type="gramStart"/>
            <w:r>
              <w:t>urn:mrn</w:t>
            </w:r>
            <w:proofErr w:type="gramEnd"/>
            <w:r>
              <w:t>:iala:ts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spec:sms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4866A813" w14:textId="77777777" w:rsidR="00154343" w:rsidRDefault="00154343" w:rsidP="00A402CD">
            <w:pPr>
              <w:pStyle w:val="BodyText"/>
            </w:pPr>
            <w:r>
              <w:t xml:space="preserve">The service </w:t>
            </w:r>
            <w:r w:rsidRPr="009474E0">
              <w:t>allocate</w:t>
            </w:r>
            <w:r>
              <w:t>s</w:t>
            </w:r>
            <w:r w:rsidRPr="009474E0">
              <w:t xml:space="preserve"> </w:t>
            </w:r>
            <w:r>
              <w:t>ships</w:t>
            </w:r>
            <w:r w:rsidRPr="009474E0">
              <w:t xml:space="preserve"> in a time window</w:t>
            </w:r>
            <w:r>
              <w:t xml:space="preserve"> to ensure safe</w:t>
            </w:r>
            <w:r w:rsidRPr="00FB0138">
              <w:t xml:space="preserve"> </w:t>
            </w:r>
            <w:r>
              <w:t xml:space="preserve">voyage in the VTS area. 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54ACDA0" w14:textId="77777777" w:rsidR="00154343" w:rsidRDefault="00154343" w:rsidP="00A402CD">
            <w:pPr>
              <w:pStyle w:val="BodyText"/>
            </w:pPr>
            <w:r>
              <w:t>[IALA]</w:t>
            </w:r>
          </w:p>
        </w:tc>
      </w:tr>
      <w:tr w:rsidR="00154343" w14:paraId="1CFCCBBA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6071AE80" w14:textId="77777777" w:rsidR="00154343" w:rsidRDefault="00154343" w:rsidP="00A402CD">
            <w:pPr>
              <w:pStyle w:val="BodyText"/>
              <w:jc w:val="left"/>
            </w:pPr>
            <w:r>
              <w:t>Traffic Clearance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0440446A" w14:textId="691B9174" w:rsidR="00154343" w:rsidRPr="00BA34C6" w:rsidDel="007137A2" w:rsidRDefault="00154343" w:rsidP="00A402CD">
            <w:pPr>
              <w:pStyle w:val="BodyText"/>
              <w:rPr>
                <w:lang w:val="en-US"/>
              </w:rPr>
            </w:pPr>
            <w:proofErr w:type="spellStart"/>
            <w:proofErr w:type="gramStart"/>
            <w:r>
              <w:t>urn:mrn</w:t>
            </w:r>
            <w:proofErr w:type="gramEnd"/>
            <w:r>
              <w:t>:iala:ts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spec:tcs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308D36CE" w14:textId="77777777" w:rsidR="00154343" w:rsidRDefault="00154343" w:rsidP="00A402CD">
            <w:pPr>
              <w:pStyle w:val="BodyText"/>
            </w:pPr>
            <w:r>
              <w:t>The service provides vessels with permission to proceed, impose conditions or deny clearance.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47C3B54" w14:textId="77777777" w:rsidR="00154343" w:rsidRDefault="00154343" w:rsidP="00A402CD">
            <w:pPr>
              <w:pStyle w:val="BodyText"/>
            </w:pPr>
            <w:r>
              <w:t>[IALA]</w:t>
            </w:r>
          </w:p>
        </w:tc>
      </w:tr>
      <w:tr w:rsidR="00154343" w14:paraId="39AF16D7" w14:textId="77777777" w:rsidTr="00F969BC">
        <w:tc>
          <w:tcPr>
            <w:tcW w:w="2325" w:type="dxa"/>
            <w:tcMar>
              <w:left w:w="57" w:type="dxa"/>
              <w:right w:w="57" w:type="dxa"/>
            </w:tcMar>
          </w:tcPr>
          <w:p w14:paraId="2920599E" w14:textId="77777777" w:rsidR="00154343" w:rsidRDefault="00154343" w:rsidP="00A402CD">
            <w:pPr>
              <w:pStyle w:val="BodyText"/>
              <w:jc w:val="left"/>
            </w:pPr>
            <w:r>
              <w:t>Anchorage Assignment Service</w:t>
            </w:r>
          </w:p>
        </w:tc>
        <w:tc>
          <w:tcPr>
            <w:tcW w:w="1639" w:type="dxa"/>
            <w:tcMar>
              <w:left w:w="57" w:type="dxa"/>
              <w:right w:w="57" w:type="dxa"/>
            </w:tcMar>
          </w:tcPr>
          <w:p w14:paraId="591ABAF8" w14:textId="61A7FFD5" w:rsidR="00154343" w:rsidRPr="00BA34C6" w:rsidDel="007137A2" w:rsidRDefault="00154343" w:rsidP="00A402CD">
            <w:pPr>
              <w:pStyle w:val="BodyText"/>
              <w:rPr>
                <w:lang w:val="en-US"/>
              </w:rPr>
            </w:pPr>
            <w:proofErr w:type="spellStart"/>
            <w:proofErr w:type="gramStart"/>
            <w:r>
              <w:t>urn:mrn</w:t>
            </w:r>
            <w:proofErr w:type="gramEnd"/>
            <w:r>
              <w:t>:iala:ts</w:t>
            </w:r>
            <w:proofErr w:type="spellEnd"/>
            <w:r>
              <w:t>:</w:t>
            </w:r>
            <w:r w:rsidR="00F969BC">
              <w:br/>
            </w:r>
            <w:proofErr w:type="spellStart"/>
            <w:r>
              <w:t>spec:aas</w:t>
            </w:r>
            <w:proofErr w:type="spellEnd"/>
            <w:r>
              <w:t>*</w:t>
            </w:r>
          </w:p>
        </w:tc>
        <w:tc>
          <w:tcPr>
            <w:tcW w:w="4598" w:type="dxa"/>
            <w:tcMar>
              <w:left w:w="57" w:type="dxa"/>
              <w:right w:w="57" w:type="dxa"/>
            </w:tcMar>
          </w:tcPr>
          <w:p w14:paraId="71839B40" w14:textId="77777777" w:rsidR="00154343" w:rsidRDefault="00154343" w:rsidP="00A402CD">
            <w:pPr>
              <w:pStyle w:val="BodyText"/>
            </w:pPr>
            <w:r>
              <w:t>The service assists ships into anchorage position by assigning anchorage areas/positions.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0E7DA50" w14:textId="77777777" w:rsidR="00154343" w:rsidRDefault="00154343" w:rsidP="00A402CD">
            <w:pPr>
              <w:pStyle w:val="BodyText"/>
            </w:pPr>
            <w:r>
              <w:t>[IALA]</w:t>
            </w:r>
          </w:p>
        </w:tc>
      </w:tr>
    </w:tbl>
    <w:p w14:paraId="7F723CF3" w14:textId="77777777" w:rsidR="00A9172A" w:rsidRDefault="00A9172A" w:rsidP="00A9172A">
      <w:pPr>
        <w:pStyle w:val="BodyText"/>
      </w:pPr>
      <w:r>
        <w:t>*</w:t>
      </w:r>
      <w:proofErr w:type="gramStart"/>
      <w:r>
        <w:t>not</w:t>
      </w:r>
      <w:proofErr w:type="gramEnd"/>
      <w:r>
        <w:t xml:space="preserve"> official designation, for example only</w:t>
      </w:r>
    </w:p>
    <w:p w14:paraId="3B1DDE1E" w14:textId="7C69A7E5" w:rsidR="0046523E" w:rsidRPr="00A9172A" w:rsidRDefault="00A9172A" w:rsidP="00D8407B">
      <w:pPr>
        <w:pStyle w:val="BodyText"/>
        <w:rPr>
          <w:lang w:val="en-US"/>
        </w:rPr>
      </w:pPr>
      <w:r w:rsidRPr="00A9172A">
        <w:rPr>
          <w:lang w:val="en-US"/>
        </w:rPr>
        <w:t>**should be defined in d</w:t>
      </w:r>
      <w:r>
        <w:rPr>
          <w:lang w:val="en-US"/>
        </w:rPr>
        <w:t>ue course</w:t>
      </w:r>
    </w:p>
    <w:p w14:paraId="3B1DDE27" w14:textId="77777777" w:rsidR="009F5C36" w:rsidRPr="000266E0" w:rsidRDefault="008E7A45" w:rsidP="002B0236">
      <w:pPr>
        <w:pStyle w:val="Heading1"/>
      </w:pPr>
      <w:r w:rsidRPr="000266E0">
        <w:t>ACTION REQUESTED</w:t>
      </w:r>
    </w:p>
    <w:p w14:paraId="3B1DDE2D" w14:textId="604E9F03" w:rsidR="00FE6C72" w:rsidRPr="005B1CA8" w:rsidRDefault="007775C6" w:rsidP="005B1CA8">
      <w:pPr>
        <w:pStyle w:val="BodyText"/>
      </w:pPr>
      <w:r w:rsidRPr="000266E0">
        <w:t xml:space="preserve">The </w:t>
      </w:r>
      <w:r w:rsidR="00A9172A">
        <w:t>PAP</w:t>
      </w:r>
      <w:r w:rsidRPr="000266E0">
        <w:t xml:space="preserve"> is requested to</w:t>
      </w:r>
      <w:r w:rsidR="00961FA3">
        <w:t xml:space="preserve"> </w:t>
      </w:r>
      <w:r w:rsidR="00D8407B" w:rsidRPr="005B1CA8">
        <w:t xml:space="preserve">note the </w:t>
      </w:r>
      <w:r w:rsidR="00961FA3" w:rsidRPr="005B1CA8">
        <w:t xml:space="preserve">examples and consider </w:t>
      </w:r>
      <w:r w:rsidR="005B1CA8" w:rsidRPr="005B1CA8">
        <w:t>using</w:t>
      </w:r>
      <w:r w:rsidR="00961FA3" w:rsidRPr="005B1CA8">
        <w:t xml:space="preserve"> them for the </w:t>
      </w:r>
      <w:r w:rsidR="005B1CA8" w:rsidRPr="005B1CA8">
        <w:t xml:space="preserve">consolidated IALA MS input to IMO NCSR 10. </w:t>
      </w:r>
      <w:r w:rsidR="00961FA3" w:rsidRPr="005B1CA8">
        <w:t xml:space="preserve"> </w:t>
      </w:r>
    </w:p>
    <w:p w14:paraId="3B1DDE2E" w14:textId="77777777" w:rsidR="00FE6C72" w:rsidRPr="002525A1" w:rsidRDefault="00FE6C72" w:rsidP="00547206">
      <w:pPr>
        <w:pStyle w:val="List1"/>
        <w:numPr>
          <w:ilvl w:val="0"/>
          <w:numId w:val="0"/>
        </w:numPr>
        <w:rPr>
          <w:lang w:val="en-US"/>
        </w:rPr>
      </w:pPr>
    </w:p>
    <w:p w14:paraId="3B1DDE2F" w14:textId="77777777" w:rsidR="004006BD" w:rsidRPr="002525A1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US"/>
        </w:rPr>
      </w:pPr>
    </w:p>
    <w:sectPr w:rsidR="004006BD" w:rsidRPr="002525A1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000A8" w14:textId="77777777" w:rsidR="007D5538" w:rsidRDefault="007D5538" w:rsidP="002B0236">
      <w:r>
        <w:separator/>
      </w:r>
    </w:p>
  </w:endnote>
  <w:endnote w:type="continuationSeparator" w:id="0">
    <w:p w14:paraId="1397E3F6" w14:textId="77777777" w:rsidR="007D5538" w:rsidRDefault="007D553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6" w14:textId="77777777" w:rsidR="00FE6C72" w:rsidRDefault="00FE6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563D4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9" w14:textId="77777777" w:rsidR="00FE6C72" w:rsidRDefault="00FE6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2B62" w14:textId="77777777" w:rsidR="007D5538" w:rsidRDefault="007D5538" w:rsidP="002B0236">
      <w:r>
        <w:separator/>
      </w:r>
    </w:p>
  </w:footnote>
  <w:footnote w:type="continuationSeparator" w:id="0">
    <w:p w14:paraId="13D1EEAD" w14:textId="77777777" w:rsidR="007D5538" w:rsidRDefault="007D553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4" w14:textId="77777777" w:rsidR="008E7A45" w:rsidRDefault="00000000" w:rsidP="002B0236">
    <w:pPr>
      <w:pStyle w:val="Header"/>
    </w:pPr>
    <w:r>
      <w:rPr>
        <w:noProof/>
      </w:rPr>
      <w:pict w14:anchorId="3B1DDE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4532" o:spid="_x0000_s1026" type="#_x0000_t136" style="position:absolute;left:0;text-align:left;margin-left:0;margin-top:0;width:439.35pt;height:263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5" w14:textId="77777777" w:rsidR="008E7A45" w:rsidRDefault="00000000" w:rsidP="002B0236">
    <w:pPr>
      <w:pStyle w:val="Header"/>
    </w:pPr>
    <w:r>
      <w:rPr>
        <w:noProof/>
      </w:rPr>
      <w:pict w14:anchorId="3B1DDE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4533" o:spid="_x0000_s1027" type="#_x0000_t136" style="position:absolute;left:0;text-align:left;margin-left:0;margin-top:0;width:439.35pt;height:32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3457A">
      <w:rPr>
        <w:noProof/>
        <w:lang w:val="sv-SE" w:eastAsia="sv-SE"/>
      </w:rPr>
      <w:drawing>
        <wp:inline distT="0" distB="0" distL="0" distR="0" wp14:anchorId="3B1DDE3C" wp14:editId="3B1DDE3D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DE38" w14:textId="77777777" w:rsidR="008E7A45" w:rsidRDefault="00000000" w:rsidP="002B0236">
    <w:pPr>
      <w:pStyle w:val="Header"/>
    </w:pPr>
    <w:r>
      <w:rPr>
        <w:noProof/>
      </w:rPr>
      <w:pict w14:anchorId="3B1DDE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4531" o:spid="_x0000_s1025" type="#_x0000_t136" style="position:absolute;left:0;text-align:left;margin-left:0;margin-top:0;width:439.35pt;height:263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3BE8"/>
    <w:multiLevelType w:val="hybridMultilevel"/>
    <w:tmpl w:val="CA2A346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0D98"/>
    <w:multiLevelType w:val="hybridMultilevel"/>
    <w:tmpl w:val="496872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23248EB"/>
    <w:multiLevelType w:val="hybridMultilevel"/>
    <w:tmpl w:val="353470A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3F83E79"/>
    <w:multiLevelType w:val="hybridMultilevel"/>
    <w:tmpl w:val="C9F44B4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94802"/>
    <w:multiLevelType w:val="hybridMultilevel"/>
    <w:tmpl w:val="4560DD90"/>
    <w:lvl w:ilvl="0" w:tplc="684A4AF0">
      <w:numFmt w:val="bullet"/>
      <w:lvlText w:val="-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B6727"/>
    <w:multiLevelType w:val="hybridMultilevel"/>
    <w:tmpl w:val="0F602C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02818082">
    <w:abstractNumId w:val="13"/>
  </w:num>
  <w:num w:numId="2" w16cid:durableId="1021393731">
    <w:abstractNumId w:val="19"/>
  </w:num>
  <w:num w:numId="3" w16cid:durableId="1450662954">
    <w:abstractNumId w:val="13"/>
  </w:num>
  <w:num w:numId="4" w16cid:durableId="1705787">
    <w:abstractNumId w:val="13"/>
  </w:num>
  <w:num w:numId="5" w16cid:durableId="1362046290">
    <w:abstractNumId w:val="7"/>
  </w:num>
  <w:num w:numId="6" w16cid:durableId="1002585794">
    <w:abstractNumId w:val="14"/>
  </w:num>
  <w:num w:numId="7" w16cid:durableId="1879008540">
    <w:abstractNumId w:val="11"/>
  </w:num>
  <w:num w:numId="8" w16cid:durableId="1497188416">
    <w:abstractNumId w:val="2"/>
  </w:num>
  <w:num w:numId="9" w16cid:durableId="837622195">
    <w:abstractNumId w:val="6"/>
  </w:num>
  <w:num w:numId="10" w16cid:durableId="474951416">
    <w:abstractNumId w:val="15"/>
  </w:num>
  <w:num w:numId="11" w16cid:durableId="2038190312">
    <w:abstractNumId w:val="4"/>
  </w:num>
  <w:num w:numId="12" w16cid:durableId="1936401671">
    <w:abstractNumId w:val="4"/>
  </w:num>
  <w:num w:numId="13" w16cid:durableId="1282146784">
    <w:abstractNumId w:val="4"/>
  </w:num>
  <w:num w:numId="14" w16cid:durableId="1142893906">
    <w:abstractNumId w:val="4"/>
  </w:num>
  <w:num w:numId="15" w16cid:durableId="1372732892">
    <w:abstractNumId w:val="4"/>
  </w:num>
  <w:num w:numId="16" w16cid:durableId="2017223335">
    <w:abstractNumId w:val="8"/>
  </w:num>
  <w:num w:numId="17" w16cid:durableId="238171180">
    <w:abstractNumId w:val="18"/>
  </w:num>
  <w:num w:numId="18" w16cid:durableId="1018658301">
    <w:abstractNumId w:val="5"/>
  </w:num>
  <w:num w:numId="19" w16cid:durableId="279647946">
    <w:abstractNumId w:val="16"/>
  </w:num>
  <w:num w:numId="20" w16cid:durableId="1599211791">
    <w:abstractNumId w:val="12"/>
  </w:num>
  <w:num w:numId="21" w16cid:durableId="1076977303">
    <w:abstractNumId w:val="8"/>
  </w:num>
  <w:num w:numId="22" w16cid:durableId="21175544">
    <w:abstractNumId w:val="8"/>
  </w:num>
  <w:num w:numId="23" w16cid:durableId="6687520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2364610">
    <w:abstractNumId w:val="4"/>
  </w:num>
  <w:num w:numId="25" w16cid:durableId="112285689">
    <w:abstractNumId w:val="8"/>
  </w:num>
  <w:num w:numId="26" w16cid:durableId="845095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4450327">
    <w:abstractNumId w:val="3"/>
  </w:num>
  <w:num w:numId="28" w16cid:durableId="16127189">
    <w:abstractNumId w:val="10"/>
  </w:num>
  <w:num w:numId="29" w16cid:durableId="38089205">
    <w:abstractNumId w:val="9"/>
  </w:num>
  <w:num w:numId="30" w16cid:durableId="487944893">
    <w:abstractNumId w:val="8"/>
  </w:num>
  <w:num w:numId="31" w16cid:durableId="1202136349">
    <w:abstractNumId w:val="1"/>
  </w:num>
  <w:num w:numId="32" w16cid:durableId="1271543724">
    <w:abstractNumId w:val="17"/>
  </w:num>
  <w:num w:numId="33" w16cid:durableId="51689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0MDK2NDYyNLIwNjdX0lEKTi0uzszPAykwrAUA2N+u0CwAAAA="/>
  </w:docVars>
  <w:rsids>
    <w:rsidRoot w:val="008E7A45"/>
    <w:rsid w:val="00002906"/>
    <w:rsid w:val="00012B54"/>
    <w:rsid w:val="000266E0"/>
    <w:rsid w:val="00031A92"/>
    <w:rsid w:val="000324D4"/>
    <w:rsid w:val="000348ED"/>
    <w:rsid w:val="00036801"/>
    <w:rsid w:val="00050DA7"/>
    <w:rsid w:val="000A566A"/>
    <w:rsid w:val="000A5A01"/>
    <w:rsid w:val="000A76DF"/>
    <w:rsid w:val="000C02EB"/>
    <w:rsid w:val="000E003D"/>
    <w:rsid w:val="0011320B"/>
    <w:rsid w:val="00124C44"/>
    <w:rsid w:val="00135447"/>
    <w:rsid w:val="00140ED9"/>
    <w:rsid w:val="00141399"/>
    <w:rsid w:val="00152273"/>
    <w:rsid w:val="00154343"/>
    <w:rsid w:val="001563D4"/>
    <w:rsid w:val="00160FFB"/>
    <w:rsid w:val="00173417"/>
    <w:rsid w:val="001A654A"/>
    <w:rsid w:val="001C74CF"/>
    <w:rsid w:val="00222F97"/>
    <w:rsid w:val="00226717"/>
    <w:rsid w:val="002525A1"/>
    <w:rsid w:val="00266210"/>
    <w:rsid w:val="00273C1A"/>
    <w:rsid w:val="002748B8"/>
    <w:rsid w:val="002B0236"/>
    <w:rsid w:val="002E02FE"/>
    <w:rsid w:val="002F143D"/>
    <w:rsid w:val="0030044D"/>
    <w:rsid w:val="003016C4"/>
    <w:rsid w:val="00345EE0"/>
    <w:rsid w:val="00353D51"/>
    <w:rsid w:val="003904A6"/>
    <w:rsid w:val="003979AE"/>
    <w:rsid w:val="003A10C4"/>
    <w:rsid w:val="003A521E"/>
    <w:rsid w:val="003B5D73"/>
    <w:rsid w:val="003D55DD"/>
    <w:rsid w:val="003E1831"/>
    <w:rsid w:val="003F6F40"/>
    <w:rsid w:val="004006BD"/>
    <w:rsid w:val="0040644F"/>
    <w:rsid w:val="004227F1"/>
    <w:rsid w:val="00424954"/>
    <w:rsid w:val="00424E8C"/>
    <w:rsid w:val="00445AF5"/>
    <w:rsid w:val="004517FC"/>
    <w:rsid w:val="0046523E"/>
    <w:rsid w:val="00497E4B"/>
    <w:rsid w:val="004A7A59"/>
    <w:rsid w:val="004B1BA8"/>
    <w:rsid w:val="004B3CCC"/>
    <w:rsid w:val="004B4283"/>
    <w:rsid w:val="004C1386"/>
    <w:rsid w:val="004C220D"/>
    <w:rsid w:val="005069FF"/>
    <w:rsid w:val="00513180"/>
    <w:rsid w:val="005215C5"/>
    <w:rsid w:val="005419BC"/>
    <w:rsid w:val="00547206"/>
    <w:rsid w:val="005664A2"/>
    <w:rsid w:val="00576085"/>
    <w:rsid w:val="005902B8"/>
    <w:rsid w:val="005961FA"/>
    <w:rsid w:val="0059717A"/>
    <w:rsid w:val="005A2E88"/>
    <w:rsid w:val="005B1CA8"/>
    <w:rsid w:val="005C33D0"/>
    <w:rsid w:val="005D05AC"/>
    <w:rsid w:val="005F31EB"/>
    <w:rsid w:val="005F7B31"/>
    <w:rsid w:val="00630F7F"/>
    <w:rsid w:val="00633FCD"/>
    <w:rsid w:val="0064435F"/>
    <w:rsid w:val="00650CE2"/>
    <w:rsid w:val="00671AF5"/>
    <w:rsid w:val="0069685C"/>
    <w:rsid w:val="006B4AD8"/>
    <w:rsid w:val="006D470F"/>
    <w:rsid w:val="006E2838"/>
    <w:rsid w:val="006F6D67"/>
    <w:rsid w:val="00727E88"/>
    <w:rsid w:val="0073457A"/>
    <w:rsid w:val="00775878"/>
    <w:rsid w:val="007775C6"/>
    <w:rsid w:val="007840CB"/>
    <w:rsid w:val="007905D4"/>
    <w:rsid w:val="00794DEE"/>
    <w:rsid w:val="007D1A0D"/>
    <w:rsid w:val="007D5538"/>
    <w:rsid w:val="007E539B"/>
    <w:rsid w:val="0080092C"/>
    <w:rsid w:val="00807746"/>
    <w:rsid w:val="00816F49"/>
    <w:rsid w:val="0083521F"/>
    <w:rsid w:val="00857A7D"/>
    <w:rsid w:val="00861994"/>
    <w:rsid w:val="0087094F"/>
    <w:rsid w:val="00872453"/>
    <w:rsid w:val="008A09E2"/>
    <w:rsid w:val="008A6A33"/>
    <w:rsid w:val="008D198A"/>
    <w:rsid w:val="008E7A45"/>
    <w:rsid w:val="008F13DD"/>
    <w:rsid w:val="008F4DC3"/>
    <w:rsid w:val="00902AA4"/>
    <w:rsid w:val="00906239"/>
    <w:rsid w:val="00940244"/>
    <w:rsid w:val="00946F5C"/>
    <w:rsid w:val="0096058F"/>
    <w:rsid w:val="00961FA3"/>
    <w:rsid w:val="0097202A"/>
    <w:rsid w:val="009922A1"/>
    <w:rsid w:val="009923AC"/>
    <w:rsid w:val="009A7F37"/>
    <w:rsid w:val="009C4420"/>
    <w:rsid w:val="009E436D"/>
    <w:rsid w:val="009F3B6C"/>
    <w:rsid w:val="009F5C36"/>
    <w:rsid w:val="00A247D2"/>
    <w:rsid w:val="00A27F12"/>
    <w:rsid w:val="00A30579"/>
    <w:rsid w:val="00A336CD"/>
    <w:rsid w:val="00A83B58"/>
    <w:rsid w:val="00A9172A"/>
    <w:rsid w:val="00A93339"/>
    <w:rsid w:val="00AA2626"/>
    <w:rsid w:val="00AA76C0"/>
    <w:rsid w:val="00B077EC"/>
    <w:rsid w:val="00B10DAB"/>
    <w:rsid w:val="00B15B24"/>
    <w:rsid w:val="00B272B7"/>
    <w:rsid w:val="00B428DA"/>
    <w:rsid w:val="00B8247E"/>
    <w:rsid w:val="00B86051"/>
    <w:rsid w:val="00BB5D57"/>
    <w:rsid w:val="00BB7D8D"/>
    <w:rsid w:val="00BC4400"/>
    <w:rsid w:val="00BD39A3"/>
    <w:rsid w:val="00BD68FA"/>
    <w:rsid w:val="00BE36E3"/>
    <w:rsid w:val="00BE56DF"/>
    <w:rsid w:val="00BE78EE"/>
    <w:rsid w:val="00C11583"/>
    <w:rsid w:val="00C265EE"/>
    <w:rsid w:val="00C31357"/>
    <w:rsid w:val="00C442CB"/>
    <w:rsid w:val="00C73B15"/>
    <w:rsid w:val="00C87505"/>
    <w:rsid w:val="00CA04AF"/>
    <w:rsid w:val="00CE768A"/>
    <w:rsid w:val="00D245AB"/>
    <w:rsid w:val="00D351D8"/>
    <w:rsid w:val="00D42A58"/>
    <w:rsid w:val="00D5243E"/>
    <w:rsid w:val="00D63F31"/>
    <w:rsid w:val="00D65ED7"/>
    <w:rsid w:val="00D8407B"/>
    <w:rsid w:val="00D95E26"/>
    <w:rsid w:val="00DB2B02"/>
    <w:rsid w:val="00DE362E"/>
    <w:rsid w:val="00E12ABC"/>
    <w:rsid w:val="00E236AF"/>
    <w:rsid w:val="00E43EFD"/>
    <w:rsid w:val="00E646B1"/>
    <w:rsid w:val="00E6495F"/>
    <w:rsid w:val="00E729A7"/>
    <w:rsid w:val="00E87487"/>
    <w:rsid w:val="00E93C9B"/>
    <w:rsid w:val="00EA0B13"/>
    <w:rsid w:val="00EB2898"/>
    <w:rsid w:val="00EE3F2F"/>
    <w:rsid w:val="00F02560"/>
    <w:rsid w:val="00F100E9"/>
    <w:rsid w:val="00F610A3"/>
    <w:rsid w:val="00F73F78"/>
    <w:rsid w:val="00F90BA5"/>
    <w:rsid w:val="00F969BC"/>
    <w:rsid w:val="00FA5842"/>
    <w:rsid w:val="00FA6769"/>
    <w:rsid w:val="00FD03CA"/>
    <w:rsid w:val="00FE6C72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DDE0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DB2B02"/>
    <w:pPr>
      <w:ind w:left="720"/>
      <w:contextualSpacing/>
    </w:pPr>
  </w:style>
  <w:style w:type="table" w:styleId="TableGrid">
    <w:name w:val="Table Grid"/>
    <w:basedOn w:val="TableNormal"/>
    <w:uiPriority w:val="39"/>
    <w:rsid w:val="00154343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Tabletext">
    <w:name w:val="Table text"/>
    <w:basedOn w:val="Normal"/>
    <w:qFormat/>
    <w:rsid w:val="00154343"/>
    <w:pPr>
      <w:tabs>
        <w:tab w:val="clear" w:pos="851"/>
      </w:tabs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0D24B16-384E-4CC2-A28C-F1536DEBD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135DC7-2F92-4CC8-B5D3-D3A547021D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00C464-C327-41F1-A0BC-F66C669651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438723-ED2A-42EC-A874-1AA0A9B21A4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55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VTS</dc:creator>
  <cp:keywords/>
  <cp:lastModifiedBy>Jaime Alvarez</cp:lastModifiedBy>
  <cp:revision>64</cp:revision>
  <cp:lastPrinted>2006-10-19T11:49:00Z</cp:lastPrinted>
  <dcterms:created xsi:type="dcterms:W3CDTF">2022-09-21T06:03:00Z</dcterms:created>
  <dcterms:modified xsi:type="dcterms:W3CDTF">2022-09-30T07:11:00Z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