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header4.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BE7A71" w:rsidP="00192FEB">
      <w:pPr>
        <w:pStyle w:val="Documentnumber"/>
      </w:pPr>
      <w:r>
        <w:t>S</w:t>
      </w:r>
      <w:r w:rsidR="0013794D">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even" r:id="rId10"/>
          <w:headerReference w:type="default" r:id="rId11"/>
          <w:footerReference w:type="default" r:id="rId12"/>
          <w:headerReference w:type="first" r:id="rId13"/>
          <w:pgSz w:w="11906" w:h="16838" w:code="9"/>
          <w:pgMar w:top="567" w:right="1276" w:bottom="2495" w:left="1276" w:header="567" w:footer="567" w:gutter="0"/>
          <w:cols w:space="708"/>
          <w:titlePg/>
          <w:docGrid w:linePitch="360"/>
        </w:sectPr>
      </w:pPr>
    </w:p>
    <w:p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7971A3">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7A7993" w:rsidP="00BA0EEF">
            <w:pPr>
              <w:spacing w:before="120" w:after="120"/>
              <w:ind w:left="170"/>
              <w:rPr>
                <w:sz w:val="22"/>
                <w:lang w:val="en-GB"/>
              </w:rPr>
            </w:pPr>
            <w:r>
              <w:rPr>
                <w:sz w:val="22"/>
                <w:lang w:val="en-GB"/>
              </w:rPr>
              <w:t>IALA Standard</w:t>
            </w:r>
          </w:p>
        </w:tc>
        <w:tc>
          <w:tcPr>
            <w:tcW w:w="6972" w:type="dxa"/>
          </w:tcPr>
          <w:p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AC3119" w:rsidP="00BA0EEF">
            <w:pPr>
              <w:spacing w:before="120" w:after="120"/>
              <w:ind w:left="170"/>
              <w:rPr>
                <w:sz w:val="22"/>
                <w:lang w:val="en-GB"/>
              </w:rPr>
            </w:pPr>
            <w:r>
              <w:rPr>
                <w:sz w:val="22"/>
                <w:lang w:val="en-GB"/>
              </w:rPr>
              <w:t>IALA Recommendation</w:t>
            </w:r>
          </w:p>
        </w:tc>
        <w:tc>
          <w:tcPr>
            <w:tcW w:w="6972" w:type="dxa"/>
          </w:tcPr>
          <w:p w:rsidR="004259CB" w:rsidRPr="004259CB" w:rsidRDefault="00AC3119" w:rsidP="00AC3119">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rsidR="004259CB" w:rsidRPr="004259CB" w:rsidRDefault="004259CB" w:rsidP="004259CB">
      <w:pPr>
        <w:rPr>
          <w:lang w:val="en-GB"/>
        </w:rPr>
      </w:pPr>
    </w:p>
    <w:p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rsidR="004259CB" w:rsidRPr="004259CB" w:rsidRDefault="004259CB" w:rsidP="004259CB">
      <w:pPr>
        <w:pStyle w:val="Sparationtitre1"/>
        <w:rPr>
          <w:lang w:val="en-GB"/>
        </w:rPr>
      </w:pPr>
    </w:p>
    <w:p w:rsidR="004259CB" w:rsidRPr="004259CB" w:rsidRDefault="004259CB" w:rsidP="004259CB">
      <w:pPr>
        <w:pStyle w:val="Corpsdetexte"/>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rsidR="004259CB" w:rsidRPr="004259CB" w:rsidRDefault="004259CB" w:rsidP="004259CB">
      <w:pPr>
        <w:pStyle w:val="Corpsdetexte"/>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rsidR="004259CB" w:rsidRPr="004259CB" w:rsidRDefault="004259CB" w:rsidP="004259CB">
      <w:pPr>
        <w:pStyle w:val="Sparationtitre1"/>
        <w:rPr>
          <w:lang w:val="en-GB"/>
        </w:rPr>
      </w:pPr>
    </w:p>
    <w:p w:rsidR="004259CB" w:rsidRPr="004259CB" w:rsidRDefault="004259CB" w:rsidP="004259CB">
      <w:pPr>
        <w:pStyle w:val="Corpsdetexte"/>
      </w:pPr>
      <w:r w:rsidRPr="004259CB">
        <w:t>This Standard is suit</w:t>
      </w:r>
      <w:r w:rsidR="00AA2802">
        <w:t>able for implementation by all Marine Aids to N</w:t>
      </w:r>
      <w:r w:rsidRPr="004259CB">
        <w:t>avigation authorities.</w:t>
      </w:r>
    </w:p>
    <w:p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rsidR="004259CB" w:rsidRPr="004259CB" w:rsidRDefault="004259CB" w:rsidP="004259CB">
      <w:pPr>
        <w:pStyle w:val="Sparationtitre1"/>
        <w:rPr>
          <w:lang w:val="en-GB"/>
        </w:rPr>
      </w:pPr>
    </w:p>
    <w:p w:rsidR="004259CB" w:rsidRPr="004259CB" w:rsidRDefault="00AA2802" w:rsidP="004259CB">
      <w:pPr>
        <w:pStyle w:val="Corpsdetexte"/>
      </w:pPr>
      <w:r>
        <w:t>IALA Standards may contain normative and i</w:t>
      </w:r>
      <w:r w:rsidR="004259CB" w:rsidRPr="004259CB">
        <w:t>nformative provisions.</w:t>
      </w:r>
    </w:p>
    <w:p w:rsidR="004259CB" w:rsidRPr="004259CB" w:rsidRDefault="004259CB" w:rsidP="004259CB">
      <w:pPr>
        <w:pStyle w:val="Corpsdetexte"/>
      </w:pPr>
      <w:r w:rsidRPr="004259CB">
        <w:t xml:space="preserve">Normative provisions are those with which it is necessary to conform in order to claim compliance </w:t>
      </w:r>
      <w:r w:rsidR="00AA2802" w:rsidRPr="004259CB">
        <w:t>to</w:t>
      </w:r>
      <w:r w:rsidRPr="004259CB">
        <w:t xml:space="preserve"> the Standard.</w:t>
      </w:r>
    </w:p>
    <w:p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p>
    <w:p w:rsidR="004259CB" w:rsidRPr="004259CB" w:rsidRDefault="00AA2802" w:rsidP="004259CB">
      <w:pPr>
        <w:pStyle w:val="Corpsdetexte"/>
      </w:pPr>
      <w:r>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r>
        <w:t>Vessel Traffic Services i</w:t>
      </w:r>
      <w:r w:rsidR="00457308">
        <w:t>mplementation</w:t>
      </w:r>
    </w:p>
    <w:p w:rsidR="00457308" w:rsidRDefault="00AA2802" w:rsidP="004259CB">
      <w:pPr>
        <w:pStyle w:val="Bullet1"/>
      </w:pPr>
      <w:r>
        <w:t>Vessel Traffic Services o</w:t>
      </w:r>
      <w:r w:rsidR="00457308">
        <w:t>perations</w:t>
      </w:r>
    </w:p>
    <w:p w:rsidR="00457308" w:rsidRDefault="00AA2802" w:rsidP="004259CB">
      <w:pPr>
        <w:pStyle w:val="Bullet1"/>
      </w:pPr>
      <w:r>
        <w:t>Vessel Traffic Services data and information m</w:t>
      </w:r>
      <w:r w:rsidR="00457308">
        <w:t>anagement</w:t>
      </w:r>
    </w:p>
    <w:p w:rsidR="00457308" w:rsidRDefault="00457308" w:rsidP="004259CB">
      <w:pPr>
        <w:pStyle w:val="Bullet1"/>
      </w:pPr>
      <w:r>
        <w:t>Vessel Traffic S</w:t>
      </w:r>
      <w:r w:rsidR="00AA2802">
        <w:t>ervices c</w:t>
      </w:r>
      <w:r>
        <w:t>ommunications</w:t>
      </w:r>
    </w:p>
    <w:p w:rsidR="00457308" w:rsidRDefault="00AA2802" w:rsidP="004259CB">
      <w:pPr>
        <w:pStyle w:val="Bullet1"/>
      </w:pPr>
      <w:r>
        <w:t>Vessel Traffic Services t</w:t>
      </w:r>
      <w:r w:rsidR="00457308">
        <w:t>echnologies</w:t>
      </w:r>
    </w:p>
    <w:p w:rsidR="00457308" w:rsidRDefault="006B50D5" w:rsidP="004259CB">
      <w:pPr>
        <w:pStyle w:val="Bullet1"/>
      </w:pPr>
      <w:r>
        <w:t>Vessel Traffic Services a</w:t>
      </w:r>
      <w:r w:rsidR="00AA2802">
        <w:t>uditing and a</w:t>
      </w:r>
      <w:r w:rsidR="007A7993">
        <w:t>ssessing</w:t>
      </w:r>
    </w:p>
    <w:p w:rsidR="00A40365" w:rsidRPr="00BE0675" w:rsidRDefault="00A40365" w:rsidP="004259CB">
      <w:pPr>
        <w:pStyle w:val="Bullet1"/>
      </w:pPr>
      <w:r>
        <w:t xml:space="preserve">Vessel Traffic </w:t>
      </w:r>
      <w:r w:rsidR="000A21EC">
        <w:t xml:space="preserve">Services </w:t>
      </w:r>
      <w:r>
        <w:t>additional services</w:t>
      </w:r>
    </w:p>
    <w:p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Corpsdetexte"/>
      </w:pPr>
      <w:bookmarkStart w:id="22" w:name="_Toc455589139"/>
      <w:bookmarkEnd w:id="22"/>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5A181A" w:rsidRPr="004259CB" w:rsidTr="0057692D">
        <w:trPr>
          <w:jc w:val="center"/>
        </w:trPr>
        <w:tc>
          <w:tcPr>
            <w:tcW w:w="2526" w:type="dxa"/>
          </w:tcPr>
          <w:p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rsidR="005A181A" w:rsidRDefault="0060160B" w:rsidP="007678FC">
            <w:pPr>
              <w:spacing w:before="120" w:after="120"/>
              <w:rPr>
                <w:sz w:val="22"/>
                <w:lang w:val="en-GB"/>
              </w:rPr>
            </w:pPr>
            <w:r>
              <w:rPr>
                <w:sz w:val="22"/>
                <w:lang w:val="en-GB"/>
              </w:rPr>
              <w:t>V-119</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rsidR="0060160B" w:rsidRDefault="00EE2C05" w:rsidP="007678FC">
            <w:pPr>
              <w:spacing w:before="120" w:after="120"/>
              <w:rPr>
                <w:sz w:val="22"/>
                <w:lang w:val="en-GB"/>
              </w:rPr>
            </w:pPr>
            <w:r>
              <w:rPr>
                <w:sz w:val="22"/>
                <w:lang w:val="en-GB"/>
              </w:rPr>
              <w:t>V-127</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rsidTr="00583C53">
        <w:trPr>
          <w:trHeight w:val="304"/>
          <w:jc w:val="center"/>
        </w:trPr>
        <w:tc>
          <w:tcPr>
            <w:tcW w:w="2526" w:type="dxa"/>
            <w:vMerge w:val="restart"/>
          </w:tcPr>
          <w:p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583C53" w:rsidRDefault="006A30AE" w:rsidP="007678FC">
            <w:pPr>
              <w:spacing w:before="120" w:after="120"/>
              <w:rPr>
                <w:sz w:val="22"/>
                <w:lang w:val="en-GB"/>
              </w:rPr>
            </w:pPr>
            <w:r>
              <w:rPr>
                <w:sz w:val="22"/>
                <w:lang w:val="en-GB"/>
              </w:rPr>
              <w:t>V-125</w:t>
            </w:r>
          </w:p>
        </w:tc>
        <w:tc>
          <w:tcPr>
            <w:tcW w:w="6237" w:type="dxa"/>
          </w:tcPr>
          <w:p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tr>
      <w:tr w:rsidR="00583C53" w:rsidRPr="004259CB" w:rsidTr="0057692D">
        <w:trPr>
          <w:trHeight w:val="303"/>
          <w:jc w:val="center"/>
        </w:trPr>
        <w:tc>
          <w:tcPr>
            <w:tcW w:w="2526" w:type="dxa"/>
            <w:vMerge/>
          </w:tcPr>
          <w:p w:rsidR="00583C53" w:rsidRPr="00EE2C05" w:rsidRDefault="00583C53" w:rsidP="00BA0EEF">
            <w:pPr>
              <w:spacing w:before="120" w:after="120"/>
              <w:rPr>
                <w:b/>
                <w:sz w:val="22"/>
                <w:lang w:val="en-GB"/>
              </w:rPr>
            </w:pPr>
          </w:p>
        </w:tc>
        <w:tc>
          <w:tcPr>
            <w:tcW w:w="1580" w:type="dxa"/>
          </w:tcPr>
          <w:p w:rsidR="00583C53" w:rsidRDefault="00583C53" w:rsidP="007678FC">
            <w:pPr>
              <w:spacing w:before="120" w:after="120"/>
              <w:rPr>
                <w:sz w:val="22"/>
                <w:lang w:val="en-GB"/>
              </w:rPr>
            </w:pPr>
            <w:r w:rsidRPr="00AE4193">
              <w:rPr>
                <w:sz w:val="22"/>
                <w:lang w:val="en-GB"/>
              </w:rPr>
              <w:t>R1014</w:t>
            </w:r>
          </w:p>
        </w:tc>
        <w:tc>
          <w:tcPr>
            <w:tcW w:w="6237" w:type="dxa"/>
          </w:tcPr>
          <w:p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rsidTr="0057692D">
        <w:trPr>
          <w:jc w:val="center"/>
        </w:trPr>
        <w:tc>
          <w:tcPr>
            <w:tcW w:w="2526" w:type="dxa"/>
          </w:tcPr>
          <w:p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rsidR="00583C53" w:rsidRPr="00AE4193" w:rsidRDefault="00583C53" w:rsidP="00817B3D">
            <w:pPr>
              <w:spacing w:before="120" w:after="120"/>
              <w:rPr>
                <w:sz w:val="22"/>
                <w:lang w:val="en-GB"/>
              </w:rPr>
            </w:pPr>
            <w:r w:rsidRPr="00AE4193">
              <w:rPr>
                <w:sz w:val="22"/>
                <w:lang w:val="en-GB"/>
              </w:rPr>
              <w:t>R1012</w:t>
            </w:r>
          </w:p>
        </w:tc>
        <w:tc>
          <w:tcPr>
            <w:tcW w:w="6237" w:type="dxa"/>
          </w:tcPr>
          <w:p w:rsidR="00583C53" w:rsidRPr="00EE2C05" w:rsidRDefault="00583C53" w:rsidP="00EE2C05">
            <w:pPr>
              <w:spacing w:before="120" w:after="120"/>
              <w:rPr>
                <w:sz w:val="22"/>
                <w:lang w:val="en-GB"/>
              </w:rPr>
            </w:pPr>
            <w:r w:rsidRPr="00303C56">
              <w:rPr>
                <w:sz w:val="22"/>
                <w:lang w:val="en-GB"/>
              </w:rPr>
              <w:t>VTS Communications</w:t>
            </w:r>
          </w:p>
        </w:tc>
      </w:tr>
      <w:tr w:rsidR="00583C53" w:rsidRPr="004259CB" w:rsidTr="0057692D">
        <w:trPr>
          <w:jc w:val="center"/>
        </w:trPr>
        <w:tc>
          <w:tcPr>
            <w:tcW w:w="2526" w:type="dxa"/>
          </w:tcPr>
          <w:p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rsidR="00583C53" w:rsidRPr="00AE4193" w:rsidRDefault="006A30AE" w:rsidP="007678FC">
            <w:pPr>
              <w:spacing w:before="120" w:after="120"/>
              <w:rPr>
                <w:sz w:val="22"/>
                <w:lang w:val="en-GB"/>
              </w:rPr>
            </w:pPr>
            <w:r>
              <w:rPr>
                <w:sz w:val="22"/>
                <w:lang w:val="en-GB"/>
              </w:rPr>
              <w:t>V-128</w:t>
            </w:r>
          </w:p>
        </w:tc>
        <w:tc>
          <w:tcPr>
            <w:tcW w:w="6237" w:type="dxa"/>
          </w:tcPr>
          <w:p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Tr="0057692D">
        <w:trPr>
          <w:jc w:val="center"/>
        </w:trPr>
        <w:tc>
          <w:tcPr>
            <w:tcW w:w="2526" w:type="dxa"/>
          </w:tcPr>
          <w:p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rsidR="00583C53" w:rsidRPr="00AE4193" w:rsidRDefault="00583C53" w:rsidP="00817B3D">
            <w:pPr>
              <w:spacing w:before="120" w:after="120"/>
              <w:rPr>
                <w:sz w:val="22"/>
                <w:lang w:val="en-GB"/>
              </w:rPr>
            </w:pPr>
            <w:r w:rsidRPr="00AE4193">
              <w:rPr>
                <w:sz w:val="22"/>
                <w:lang w:val="en-GB"/>
              </w:rPr>
              <w:t>R1013</w:t>
            </w:r>
          </w:p>
        </w:tc>
        <w:tc>
          <w:tcPr>
            <w:tcW w:w="6237" w:type="dxa"/>
          </w:tcPr>
          <w:p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rsidR="004259CB" w:rsidRPr="004259CB" w:rsidRDefault="004259CB" w:rsidP="004259CB">
      <w:pPr>
        <w:rPr>
          <w:lang w:val="en-GB"/>
        </w:rPr>
      </w:pPr>
      <w:bookmarkStart w:id="23" w:name="_Toc432687601"/>
      <w:bookmarkEnd w:id="23"/>
    </w:p>
    <w:p w:rsidR="004259CB" w:rsidRPr="004259CB" w:rsidRDefault="004259CB" w:rsidP="004259CB">
      <w:pPr>
        <w:pStyle w:val="Corpsdetexte"/>
      </w:pPr>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Grilledutableau"/>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rsidR="00EE2C05" w:rsidRDefault="00EE2C05" w:rsidP="001078A0">
            <w:pPr>
              <w:spacing w:before="120" w:after="120"/>
              <w:rPr>
                <w:sz w:val="22"/>
                <w:lang w:val="en-GB"/>
              </w:rPr>
            </w:pPr>
            <w:r>
              <w:rPr>
                <w:sz w:val="22"/>
                <w:lang w:val="en-GB"/>
              </w:rPr>
              <w:t>V-102</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EE2C05" w:rsidP="001078A0">
            <w:pPr>
              <w:spacing w:before="120" w:after="120"/>
              <w:rPr>
                <w:sz w:val="22"/>
                <w:lang w:val="en-GB"/>
              </w:rPr>
            </w:pPr>
            <w:r>
              <w:rPr>
                <w:sz w:val="22"/>
                <w:lang w:val="en-GB"/>
              </w:rPr>
              <w:t>V-120</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24" w:name="_Toc464136443"/>
      <w:bookmarkStart w:id="25" w:name="_Toc464139609"/>
      <w:r>
        <w:rPr>
          <w:caps/>
        </w:rPr>
        <w:br w:type="page"/>
      </w:r>
    </w:p>
    <w:p w:rsidR="004259CB" w:rsidRPr="004259CB" w:rsidRDefault="004259CB" w:rsidP="004259CB">
      <w:pPr>
        <w:pStyle w:val="Titre1"/>
        <w:tabs>
          <w:tab w:val="clear" w:pos="0"/>
        </w:tabs>
        <w:spacing w:before="0"/>
        <w:ind w:left="0" w:firstLine="0"/>
        <w:rPr>
          <w:caps w:val="0"/>
        </w:rPr>
      </w:pPr>
      <w:r w:rsidRPr="004259CB">
        <w:rPr>
          <w:caps w:val="0"/>
        </w:rPr>
        <w:t>SUPPLEMENTARY ELEMENTS</w:t>
      </w:r>
      <w:bookmarkEnd w:id="24"/>
      <w:bookmarkEnd w:id="25"/>
    </w:p>
    <w:p w:rsidR="004259CB" w:rsidRPr="004259CB" w:rsidRDefault="004259CB" w:rsidP="004259CB">
      <w:pPr>
        <w:pStyle w:val="Sparationtitre1"/>
        <w:rPr>
          <w:lang w:val="en-GB"/>
        </w:rPr>
      </w:pPr>
    </w:p>
    <w:p w:rsidR="004259CB" w:rsidRPr="004259CB" w:rsidRDefault="004259CB" w:rsidP="004259CB">
      <w:pPr>
        <w:pStyle w:val="Corpsdetexte"/>
      </w:pPr>
      <w:r w:rsidRPr="004259CB">
        <w:t>There are no supplementary elements to this Standard.</w:t>
      </w:r>
    </w:p>
    <w:p w:rsidR="004259CB" w:rsidRPr="004259CB" w:rsidRDefault="00BB1792"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rsidR="004259CB" w:rsidRPr="004259CB" w:rsidRDefault="004259CB" w:rsidP="004259CB">
      <w:pPr>
        <w:pStyle w:val="Sparationtitre1"/>
        <w:rPr>
          <w:lang w:val="en-GB"/>
        </w:rPr>
      </w:pPr>
    </w:p>
    <w:p w:rsidR="004259CB" w:rsidRPr="004259CB" w:rsidRDefault="004259CB" w:rsidP="004259CB">
      <w:pPr>
        <w:pStyle w:val="Corpsdetexte"/>
      </w:pPr>
      <w:r w:rsidRPr="004259CB">
        <w:t xml:space="preserve">IALA Standards may be </w:t>
      </w:r>
      <w:r w:rsidR="00BB1792">
        <w:t>approved</w:t>
      </w:r>
      <w:r w:rsidRPr="004259CB">
        <w:t xml:space="preserve"> </w:t>
      </w:r>
      <w:r w:rsidR="00BB1792">
        <w:t>at a General Assembly</w:t>
      </w:r>
      <w:r w:rsidRPr="004259CB">
        <w:t>.</w:t>
      </w:r>
    </w:p>
    <w:p w:rsidR="004259CB" w:rsidRPr="004259CB" w:rsidRDefault="004259CB" w:rsidP="004259CB">
      <w:pPr>
        <w:pStyle w:val="Titre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rsidR="004259CB" w:rsidRPr="004259CB" w:rsidRDefault="004259CB" w:rsidP="004259CB">
      <w:pPr>
        <w:pStyle w:val="Sparationtitre1"/>
        <w:rPr>
          <w:lang w:val="en-GB"/>
        </w:rPr>
      </w:pPr>
    </w:p>
    <w:p w:rsidR="004259CB" w:rsidRPr="004259CB" w:rsidRDefault="004259CB" w:rsidP="004259CB">
      <w:pPr>
        <w:rPr>
          <w:lang w:val="en-GB"/>
        </w:rPr>
      </w:pPr>
    </w:p>
    <w:tbl>
      <w:tblPr>
        <w:tblStyle w:val="Grilledutableau"/>
        <w:tblW w:w="10065" w:type="dxa"/>
        <w:tblInd w:w="-5" w:type="dxa"/>
        <w:tblLook w:val="04A0" w:firstRow="1" w:lastRow="0" w:firstColumn="1" w:lastColumn="0" w:noHBand="0" w:noVBand="1"/>
      </w:tblPr>
      <w:tblGrid>
        <w:gridCol w:w="1417"/>
        <w:gridCol w:w="2268"/>
        <w:gridCol w:w="6380"/>
      </w:tblGrid>
      <w:tr w:rsidR="004259CB" w:rsidRPr="004259CB" w:rsidTr="00BB1792">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B1792">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rsidR="00AB326D" w:rsidRPr="004259CB" w:rsidRDefault="00AB326D" w:rsidP="004259CB">
      <w:pPr>
        <w:pStyle w:val="Corpsdetexte"/>
      </w:pPr>
      <w:bookmarkStart w:id="56" w:name="_GoBack"/>
      <w:bookmarkEnd w:id="56"/>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Default="006A30AE"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7C04D544">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28EA0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Pieddepage"/>
      <w:rPr>
        <w:lang w:val="en-GB"/>
      </w:rPr>
    </w:pPr>
  </w:p>
  <w:p w:rsidR="00857580" w:rsidRPr="00ED2A8D" w:rsidRDefault="00857580" w:rsidP="008747E0">
    <w:pPr>
      <w:pStyle w:val="Pieddepage"/>
      <w:rPr>
        <w:lang w:val="en-GB"/>
      </w:rPr>
    </w:pPr>
  </w:p>
  <w:p w:rsidR="00857580" w:rsidRPr="00ED2A8D" w:rsidRDefault="00857580" w:rsidP="008747E0">
    <w:pPr>
      <w:pStyle w:val="Pieddepage"/>
      <w:rPr>
        <w:lang w:val="en-GB"/>
      </w:rPr>
    </w:pPr>
  </w:p>
  <w:p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0AE" w:rsidRDefault="006A30AE" w:rsidP="008747E0">
    <w:pPr>
      <w:pStyle w:val="Pieddepage"/>
      <w:rPr>
        <w:lang w:val="en-GB"/>
      </w:rPr>
    </w:pPr>
    <w:r>
      <w:rPr>
        <w:noProof/>
        <w:lang w:val="fr-FR" w:eastAsia="fr-FR"/>
      </w:rPr>
      <mc:AlternateContent>
        <mc:Choice Requires="wps">
          <w:drawing>
            <wp:anchor distT="0" distB="0" distL="114300" distR="114300" simplePos="0" relativeHeight="251672576" behindDoc="0" locked="0" layoutInCell="1" allowOverlap="1" wp14:anchorId="4DA522E4" wp14:editId="533870A6">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AC3F6F"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rsidR="006A30AE" w:rsidRPr="00ED2A8D" w:rsidRDefault="006A30AE" w:rsidP="008747E0">
    <w:pPr>
      <w:pStyle w:val="Pieddepage"/>
      <w:rPr>
        <w:lang w:val="en-GB"/>
      </w:rPr>
    </w:pPr>
  </w:p>
  <w:p w:rsidR="006A30AE" w:rsidRPr="00ED2A8D" w:rsidRDefault="006A30AE" w:rsidP="008747E0">
    <w:pPr>
      <w:pStyle w:val="Pieddepage"/>
      <w:rPr>
        <w:lang w:val="en-GB"/>
      </w:rPr>
    </w:pPr>
  </w:p>
  <w:p w:rsidR="006A30AE" w:rsidRPr="00ED2A8D" w:rsidRDefault="006A30AE" w:rsidP="008747E0">
    <w:pPr>
      <w:pStyle w:val="Pieddepage"/>
      <w:rPr>
        <w:lang w:val="en-GB"/>
      </w:rPr>
    </w:pPr>
  </w:p>
  <w:p w:rsidR="006A30AE" w:rsidRPr="00ED2A8D" w:rsidRDefault="006A30AE" w:rsidP="008747E0">
    <w:pPr>
      <w:pStyle w:val="Pieddepage"/>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Pr="00C716E5" w:rsidRDefault="00857580" w:rsidP="00CB19DB">
    <w:pPr>
      <w:pStyle w:val="Pieddepage"/>
      <w:rPr>
        <w:sz w:val="15"/>
        <w:szCs w:val="15"/>
      </w:rPr>
    </w:pPr>
  </w:p>
  <w:p w:rsidR="00857580" w:rsidRDefault="00857580" w:rsidP="00CB19DB">
    <w:pPr>
      <w:pStyle w:val="Footerportrait"/>
    </w:pPr>
  </w:p>
  <w:p w:rsidR="00857580" w:rsidRPr="00C907DF" w:rsidRDefault="00BE7A71" w:rsidP="00CB19DB">
    <w:pPr>
      <w:pStyle w:val="Footerportrait"/>
      <w:rPr>
        <w:rStyle w:val="Numrodepage"/>
        <w:szCs w:val="15"/>
      </w:rPr>
    </w:pPr>
    <w:fldSimple w:instr=" STYLEREF &quot;Document type&quot; \* MERGEFORMAT ">
      <w:r w:rsidR="007971A3">
        <w:t>IALA Standard</w:t>
      </w:r>
    </w:fldSimple>
    <w:r w:rsidR="00857580" w:rsidRPr="00C907DF">
      <w:t xml:space="preserve"> </w:t>
    </w:r>
    <w:fldSimple w:instr=" STYLEREF &quot;Document number&quot; \* MERGEFORMAT ">
      <w:r w:rsidR="007971A3">
        <w:t>S1040</w:t>
      </w:r>
    </w:fldSimple>
    <w:r w:rsidR="00857580" w:rsidRPr="00C907DF">
      <w:t xml:space="preserve"> –</w:t>
    </w:r>
    <w:r w:rsidR="00857580">
      <w:t xml:space="preserve"> </w:t>
    </w:r>
    <w:fldSimple w:instr=" STYLEREF &quot;Document name&quot; \* MERGEFORMAT ">
      <w:r w:rsidR="007971A3">
        <w:t>Vessel Traffic Services</w:t>
      </w:r>
    </w:fldSimple>
  </w:p>
  <w:p w:rsidR="00857580" w:rsidRPr="00CB19DB" w:rsidRDefault="00BE7A71" w:rsidP="00CB19DB">
    <w:pPr>
      <w:pStyle w:val="Footerportrait"/>
    </w:pPr>
    <w:fldSimple w:instr=" STYLEREF &quot;Edition number&quot; \* MERGEFORMAT ">
      <w:r w:rsidR="007971A3">
        <w:t>Edition 1.0</w:t>
      </w:r>
    </w:fldSimple>
    <w:r w:rsidR="00857580">
      <w:t xml:space="preserve">  </w:t>
    </w:r>
    <w:fldSimple w:instr=" STYLEREF &quot;Document date&quot; \* MERGEFORMAT ">
      <w:r w:rsidR="007971A3">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7971A3">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F7C" w:rsidRPr="003B2F7C" w:rsidRDefault="003B2F7C" w:rsidP="007971A3">
    <w:pPr>
      <w:pStyle w:val="En-tte"/>
      <w:jc w:val="center"/>
      <w:rPr>
        <w:sz w:val="22"/>
        <w:lang w:val="en-GB"/>
      </w:rPr>
    </w:pPr>
  </w:p>
  <w:p w:rsidR="00857580" w:rsidRPr="0081052A" w:rsidRDefault="00857580" w:rsidP="003371B3">
    <w:pPr>
      <w:pStyle w:val="En-tte"/>
      <w:jc w:val="right"/>
      <w:rPr>
        <w:sz w:val="18"/>
        <w:szCs w:val="18"/>
        <w:lang w:val="en-GB"/>
      </w:rPr>
    </w:pPr>
    <w:r w:rsidRPr="003B2F7C">
      <w:rPr>
        <w:noProof/>
        <w:sz w:val="18"/>
        <w:szCs w:val="18"/>
        <w:lang w:val="fr-FR" w:eastAsia="fr-FR"/>
      </w:rPr>
      <w:drawing>
        <wp:anchor distT="0" distB="0" distL="114300" distR="114300" simplePos="0" relativeHeight="251656192"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ED2A8D" w:rsidRDefault="00857580" w:rsidP="008747E0">
    <w:pPr>
      <w:pStyle w:val="En-tte"/>
      <w:rPr>
        <w:lang w:val="en-GB"/>
      </w:rPr>
    </w:pPr>
  </w:p>
  <w:p w:rsidR="00857580" w:rsidRPr="00ED2A8D" w:rsidRDefault="0081052A" w:rsidP="001349DB">
    <w:pPr>
      <w:pStyle w:val="En-tte"/>
      <w:spacing w:line="360" w:lineRule="exact"/>
      <w:rPr>
        <w:lang w:val="en-GB"/>
      </w:rPr>
    </w:pPr>
    <w:r>
      <w:rPr>
        <w:noProof/>
        <w:lang w:val="fr-FR" w:eastAsia="fr-FR"/>
      </w:rPr>
      <w:drawing>
        <wp:anchor distT="0" distB="0" distL="114300" distR="114300" simplePos="0" relativeHeight="251669504" behindDoc="1" locked="0" layoutInCell="1" allowOverlap="1" wp14:anchorId="3AECCB5F" wp14:editId="2942C817">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3371B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F7" w:rsidRDefault="007462F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802" w:rsidRPr="006A30AE" w:rsidRDefault="006A30AE" w:rsidP="006A30AE">
    <w:pPr>
      <w:pStyle w:val="En-tte"/>
      <w:jc w:val="right"/>
      <w:rPr>
        <w:sz w:val="22"/>
        <w:lang w:val="en-GB"/>
      </w:rPr>
    </w:pPr>
    <w:r>
      <w:rPr>
        <w:noProof/>
        <w:sz w:val="22"/>
        <w:lang w:val="fr-FR" w:eastAsia="fr-FR"/>
      </w:rPr>
      <w:drawing>
        <wp:anchor distT="0" distB="0" distL="114300" distR="114300" simplePos="0" relativeHeight="251673600" behindDoc="1" locked="0" layoutInCell="1" allowOverlap="1">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rsidR="00AA2802" w:rsidRPr="006A30AE" w:rsidRDefault="00AA2802" w:rsidP="006A30AE">
    <w:pPr>
      <w:pStyle w:val="En-tte"/>
      <w:jc w:val="right"/>
      <w:rPr>
        <w:sz w:val="18"/>
        <w:szCs w:val="18"/>
        <w:lang w:val="en-GB"/>
      </w:rPr>
    </w:pPr>
  </w:p>
  <w:p w:rsidR="00AA2802" w:rsidRDefault="00AA2802" w:rsidP="008747E0">
    <w:pPr>
      <w:pStyle w:val="En-tte"/>
      <w:rPr>
        <w:lang w:val="en-GB"/>
      </w:rPr>
    </w:pPr>
  </w:p>
  <w:p w:rsidR="00AA2802" w:rsidRDefault="00AA2802" w:rsidP="008747E0">
    <w:pPr>
      <w:pStyle w:val="En-tte"/>
      <w:rPr>
        <w:lang w:val="en-GB"/>
      </w:rPr>
    </w:pPr>
  </w:p>
  <w:p w:rsidR="00AA2802" w:rsidRPr="00ED2A8D" w:rsidRDefault="00AA2802" w:rsidP="008747E0">
    <w:pPr>
      <w:pStyle w:val="En-tte"/>
      <w:rPr>
        <w:lang w:val="en-GB"/>
      </w:rPr>
    </w:pPr>
  </w:p>
  <w:p w:rsidR="00AA2802" w:rsidRPr="00ED2A8D" w:rsidRDefault="00AA2802"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2F7" w:rsidRDefault="007462F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3371B3">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Default="003B2F7C" w:rsidP="003B2F7C">
    <w:pPr>
      <w:pStyle w:val="En-tte"/>
      <w:tabs>
        <w:tab w:val="right" w:pos="10205"/>
      </w:tabs>
      <w:rPr>
        <w:lang w:val="en-GB"/>
      </w:rPr>
    </w:pPr>
    <w:r>
      <w:rPr>
        <w:noProof/>
        <w:lang w:val="fr-FR" w:eastAsia="fr-FR"/>
      </w:rPr>
      <w:drawing>
        <wp:anchor distT="0" distB="0" distL="114300" distR="114300" simplePos="0" relativeHeight="251655680" behindDoc="1" locked="0" layoutInCell="1" allowOverlap="1" wp14:anchorId="739B292A" wp14:editId="22872CA4">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rsidR="006A30AE" w:rsidRPr="006A30AE" w:rsidRDefault="006A30AE" w:rsidP="006A30AE">
    <w:pPr>
      <w:pStyle w:val="En-tte"/>
      <w:tabs>
        <w:tab w:val="right" w:pos="10205"/>
      </w:tabs>
      <w:jc w:val="right"/>
      <w:rPr>
        <w:sz w:val="22"/>
        <w:lang w:val="en-GB"/>
      </w:rPr>
    </w:pPr>
  </w:p>
  <w:p w:rsidR="003B2F7C" w:rsidRPr="006A30AE" w:rsidRDefault="003B2F7C" w:rsidP="003B2F7C">
    <w:pPr>
      <w:pStyle w:val="En-tte"/>
      <w:tabs>
        <w:tab w:val="right" w:pos="10205"/>
      </w:tabs>
      <w:jc w:val="right"/>
      <w:rPr>
        <w:sz w:val="18"/>
        <w:szCs w:val="18"/>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441393" w:rsidRDefault="00857580" w:rsidP="00AB623C">
    <w:pPr>
      <w:pStyle w:val="Contents"/>
    </w:pPr>
    <w:r w:rsidRPr="00441393">
      <w:t>contents</w:t>
    </w: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ED2A8D" w:rsidRDefault="00857580" w:rsidP="008747E0">
    <w:pPr>
      <w:pStyle w:val="En-tte"/>
      <w:rPr>
        <w:lang w:val="en-GB"/>
      </w:rPr>
    </w:pPr>
  </w:p>
  <w:p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3371B3">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3371B3">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F7C" w:rsidRDefault="003B2F7C" w:rsidP="003371B3">
    <w:pPr>
      <w:pStyle w:val="En-tte"/>
      <w:jc w:val="right"/>
      <w:rPr>
        <w:lang w:val="en-GB"/>
      </w:rPr>
    </w:pPr>
    <w:r w:rsidRPr="00303C56">
      <w:rPr>
        <w:noProof/>
        <w:highlight w:val="yellow"/>
        <w:lang w:val="fr-FR" w:eastAsia="fr-FR"/>
      </w:rPr>
      <w:drawing>
        <wp:anchor distT="0" distB="0" distL="114300" distR="114300" simplePos="0" relativeHeight="251654656" behindDoc="1" locked="0" layoutInCell="1" allowOverlap="1" wp14:anchorId="7265616B" wp14:editId="3CBA6635">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6A30AE" w:rsidRPr="006A30AE" w:rsidRDefault="006A30AE" w:rsidP="003371B3">
    <w:pPr>
      <w:pStyle w:val="En-tte"/>
      <w:jc w:val="right"/>
      <w:rPr>
        <w:sz w:val="22"/>
        <w:lang w:val="en-GB"/>
      </w:rPr>
    </w:pPr>
  </w:p>
  <w:p w:rsidR="00857580" w:rsidRPr="006A30AE" w:rsidRDefault="00857580" w:rsidP="003371B3">
    <w:pPr>
      <w:pStyle w:val="En-tte"/>
      <w:jc w:val="right"/>
      <w:rPr>
        <w:sz w:val="18"/>
        <w:szCs w:val="18"/>
        <w:lang w:val="en-GB"/>
      </w:rPr>
    </w:pPr>
  </w:p>
  <w:p w:rsidR="006A30AE" w:rsidRPr="00AB623C" w:rsidRDefault="006A30AE" w:rsidP="003371B3">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85375"/>
    <w:rsid w:val="000A21EC"/>
    <w:rsid w:val="000C43D3"/>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7033"/>
    <w:rsid w:val="007F7544"/>
    <w:rsid w:val="0081052A"/>
    <w:rsid w:val="00817B3D"/>
    <w:rsid w:val="00823AAA"/>
    <w:rsid w:val="008431CF"/>
    <w:rsid w:val="00854278"/>
    <w:rsid w:val="00857580"/>
    <w:rsid w:val="008747E0"/>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DFB7568-4343-41BB-B2D6-80823096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404250-0ED7-4107-B70B-2703F93232E6}">
  <ds:schemaRefs>
    <ds:schemaRef ds:uri="http://schemas.openxmlformats.org/officeDocument/2006/bibliography"/>
  </ds:schemaRefs>
</ds:datastoreItem>
</file>

<file path=customXml/itemProps2.xml><?xml version="1.0" encoding="utf-8"?>
<ds:datastoreItem xmlns:ds="http://schemas.openxmlformats.org/officeDocument/2006/customXml" ds:itemID="{106FD6F5-EFB4-4ACA-BEFD-BE049A0D8194}"/>
</file>

<file path=customXml/itemProps3.xml><?xml version="1.0" encoding="utf-8"?>
<ds:datastoreItem xmlns:ds="http://schemas.openxmlformats.org/officeDocument/2006/customXml" ds:itemID="{E8514971-816B-4852-80AF-BB7775F8338A}"/>
</file>

<file path=customXml/itemProps4.xml><?xml version="1.0" encoding="utf-8"?>
<ds:datastoreItem xmlns:ds="http://schemas.openxmlformats.org/officeDocument/2006/customXml" ds:itemID="{8B7323D5-B87F-459B-B0BC-87C1E112A824}"/>
</file>

<file path=docProps/app.xml><?xml version="1.0" encoding="utf-8"?>
<Properties xmlns="http://schemas.openxmlformats.org/officeDocument/2006/extended-properties" xmlns:vt="http://schemas.openxmlformats.org/officeDocument/2006/docPropsVTypes">
  <Template>Normal</Template>
  <TotalTime>2</TotalTime>
  <Pages>7</Pages>
  <Words>922</Words>
  <Characters>5076</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2017-04-04T15:17:00Z</cp:lastPrinted>
  <dcterms:created xsi:type="dcterms:W3CDTF">2018-03-15T07:27:00Z</dcterms:created>
  <dcterms:modified xsi:type="dcterms:W3CDTF">2018-06-21T14:00:00Z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