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7B6369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36" w:rsidRDefault="00D21936" w:rsidP="009E1230">
      <w:r>
        <w:separator/>
      </w:r>
    </w:p>
  </w:endnote>
  <w:endnote w:type="continuationSeparator" w:id="0">
    <w:p w:rsidR="00D21936" w:rsidRDefault="00D21936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7B6369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7B6369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36" w:rsidRDefault="00D21936" w:rsidP="009E1230">
      <w:r>
        <w:separator/>
      </w:r>
    </w:p>
  </w:footnote>
  <w:footnote w:type="continuationSeparator" w:id="0">
    <w:p w:rsidR="00D21936" w:rsidRDefault="00D21936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7B6369" w:rsidP="00E570D0">
    <w:pPr>
      <w:pStyle w:val="Header"/>
      <w:jc w:val="right"/>
      <w:rPr>
        <w:lang w:val="en-US"/>
      </w:rPr>
    </w:pPr>
    <w:r>
      <w:rPr>
        <w:lang w:val="en-US"/>
      </w:rPr>
      <w:t>ARM</w:t>
    </w:r>
    <w:r>
      <w:rPr>
        <w:lang w:val="en-US"/>
      </w:rPr>
      <w:t>5</w:t>
    </w:r>
    <w:r>
      <w:rPr>
        <w:lang w:val="en-US"/>
      </w:rPr>
      <w:t>-8.2.1</w:t>
    </w:r>
    <w:r>
      <w:rPr>
        <w:lang w:val="en-US"/>
      </w:rPr>
      <w:t xml:space="preserve"> (</w:t>
    </w:r>
    <w:r w:rsidR="00827818">
      <w:rPr>
        <w:lang w:val="en-US"/>
      </w:rPr>
      <w:t>ARM4</w:t>
    </w:r>
    <w:r>
      <w:rPr>
        <w:lang w:val="en-US"/>
      </w:rPr>
      <w:t>-</w:t>
    </w:r>
    <w:r w:rsidR="00827818">
      <w:rPr>
        <w:lang w:val="en-US"/>
      </w:rPr>
      <w:t>12.2.6</w:t>
    </w:r>
    <w:r w:rsidR="00FC18AA"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758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1149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B6369"/>
    <w:rsid w:val="007D251F"/>
    <w:rsid w:val="007E43BC"/>
    <w:rsid w:val="007F71BF"/>
    <w:rsid w:val="00800D78"/>
    <w:rsid w:val="008136BC"/>
    <w:rsid w:val="00820397"/>
    <w:rsid w:val="00821CE7"/>
    <w:rsid w:val="0082756A"/>
    <w:rsid w:val="00827818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C7933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1936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570D0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3AB75-D03C-42BC-AEED-62AF3C20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6</TotalTime>
  <Pages>5</Pages>
  <Words>486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8</cp:revision>
  <cp:lastPrinted>2008-12-16T06:04:00Z</cp:lastPrinted>
  <dcterms:created xsi:type="dcterms:W3CDTF">2015-05-26T11:00:00Z</dcterms:created>
  <dcterms:modified xsi:type="dcterms:W3CDTF">2016-08-30T15:45:00Z</dcterms:modified>
</cp:coreProperties>
</file>