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35BC" w:rsidRPr="004800A2" w:rsidRDefault="00FE35BC" w:rsidP="000049D8">
      <w:pPr>
        <w:pStyle w:val="Header"/>
        <w:tabs>
          <w:tab w:val="clear" w:pos="9639"/>
          <w:tab w:val="right" w:pos="5954"/>
        </w:tabs>
        <w:spacing w:after="240"/>
        <w:jc w:val="right"/>
        <w:rPr>
          <w:rFonts w:ascii="Calibri" w:hAnsi="Calibri" w:cs="Calibri"/>
          <w:lang w:val="en-GB"/>
        </w:rPr>
      </w:pPr>
      <w:r w:rsidRPr="004800A2">
        <w:rPr>
          <w:rFonts w:ascii="Calibri" w:hAnsi="Calibri" w:cs="Calibri"/>
          <w:lang w:val="en-GB"/>
        </w:rPr>
        <w:t xml:space="preserve">Input paper: </w:t>
      </w:r>
      <w:r w:rsidRPr="007A395D">
        <w:rPr>
          <w:rStyle w:val="FootnoteReference"/>
          <w:rFonts w:ascii="Calibri" w:hAnsi="Calibri" w:cs="Calibri"/>
          <w:sz w:val="22"/>
          <w:szCs w:val="22"/>
          <w:vertAlign w:val="superscript"/>
        </w:rPr>
        <w:footnoteReference w:id="1"/>
      </w:r>
      <w:r w:rsidRPr="004800A2">
        <w:rPr>
          <w:rFonts w:ascii="Calibri" w:hAnsi="Calibri" w:cs="Calibri"/>
          <w:lang w:val="en-GB"/>
        </w:rPr>
        <w:t xml:space="preserve">  ARM5-</w:t>
      </w:r>
      <w:r w:rsidR="009D7DCB">
        <w:rPr>
          <w:rFonts w:ascii="Calibri" w:hAnsi="Calibri" w:cs="Calibri"/>
          <w:lang w:val="en-GB"/>
        </w:rPr>
        <w:t>8.5.2</w:t>
      </w:r>
      <w:bookmarkStart w:id="0" w:name="_GoBack"/>
      <w:bookmarkEnd w:id="0"/>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 xml:space="preserve">Input paper for the following Committee(s): </w:t>
      </w:r>
      <w:r w:rsidRPr="004800A2">
        <w:rPr>
          <w:rFonts w:ascii="Calibri" w:hAnsi="Calibri" w:cs="Calibri"/>
          <w:lang w:val="en-GB"/>
        </w:rPr>
        <w:tab/>
      </w:r>
      <w:r w:rsidRPr="004800A2">
        <w:rPr>
          <w:rFonts w:ascii="Calibri" w:hAnsi="Calibri" w:cs="Calibri"/>
          <w:sz w:val="18"/>
          <w:szCs w:val="18"/>
          <w:lang w:val="en-GB"/>
        </w:rPr>
        <w:t>check as appropriate</w:t>
      </w:r>
      <w:r w:rsidRPr="004800A2">
        <w:rPr>
          <w:rFonts w:ascii="Calibri" w:hAnsi="Calibri" w:cs="Calibri"/>
          <w:sz w:val="18"/>
          <w:szCs w:val="18"/>
          <w:lang w:val="en-GB"/>
        </w:rPr>
        <w:tab/>
      </w:r>
      <w:r w:rsidRPr="004800A2">
        <w:rPr>
          <w:rFonts w:ascii="Calibri" w:hAnsi="Calibri" w:cs="Calibri"/>
          <w:lang w:val="en-GB"/>
        </w:rPr>
        <w:tab/>
        <w:t>Purpose of paper:</w:t>
      </w:r>
    </w:p>
    <w:p w:rsidR="00FE35BC" w:rsidRPr="004800A2" w:rsidRDefault="00FE35BC" w:rsidP="00037DF4">
      <w:pPr>
        <w:pStyle w:val="BodyText"/>
        <w:tabs>
          <w:tab w:val="left" w:pos="1843"/>
        </w:tabs>
        <w:rPr>
          <w:rFonts w:ascii="Calibri" w:hAnsi="Calibri" w:cs="Calibri"/>
          <w:b/>
          <w:bCs/>
          <w:sz w:val="24"/>
          <w:szCs w:val="24"/>
          <w:lang w:val="en-GB"/>
        </w:rPr>
      </w:pPr>
      <w:r>
        <w:rPr>
          <w:rFonts w:ascii="Calibri" w:hAnsi="Calibri" w:cs="Calibri"/>
          <w:b/>
          <w:bCs/>
          <w:sz w:val="24"/>
          <w:szCs w:val="24"/>
        </w:rPr>
        <w:sym w:font="Wingdings 2" w:char="F052"/>
      </w:r>
      <w:r w:rsidRPr="004800A2">
        <w:rPr>
          <w:rFonts w:ascii="Calibri" w:hAnsi="Calibri" w:cs="Calibri"/>
          <w:sz w:val="24"/>
          <w:szCs w:val="24"/>
          <w:lang w:val="en-GB"/>
        </w:rPr>
        <w:t xml:space="preserve">  </w:t>
      </w:r>
      <w:r w:rsidRPr="004800A2">
        <w:rPr>
          <w:rFonts w:ascii="Calibri" w:hAnsi="Calibri" w:cs="Calibri"/>
          <w:lang w:val="en-GB"/>
        </w:rPr>
        <w:t>ARM</w:t>
      </w:r>
      <w:r w:rsidRPr="004800A2">
        <w:rPr>
          <w:rFonts w:ascii="Calibri" w:hAnsi="Calibri" w:cs="Calibri"/>
          <w:lang w:val="en-GB"/>
        </w:rPr>
        <w:tab/>
      </w:r>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ENG</w:t>
      </w:r>
      <w:r w:rsidRPr="004800A2">
        <w:rPr>
          <w:rFonts w:ascii="Calibri" w:hAnsi="Calibri" w:cs="Calibri"/>
          <w:lang w:val="en-GB"/>
        </w:rPr>
        <w:tab/>
      </w:r>
      <w:r w:rsidRPr="004800A2">
        <w:rPr>
          <w:rFonts w:ascii="Calibri" w:hAnsi="Calibri" w:cs="Calibri"/>
          <w:lang w:val="en-GB"/>
        </w:rPr>
        <w:tab/>
      </w:r>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PAP</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b/>
          <w:bCs/>
          <w:sz w:val="24"/>
          <w:szCs w:val="24"/>
          <w:lang w:val="en-GB"/>
        </w:rPr>
        <w:t>□</w:t>
      </w:r>
      <w:r w:rsidRPr="004800A2">
        <w:rPr>
          <w:rFonts w:ascii="Calibri" w:hAnsi="Calibri" w:cs="Calibri"/>
          <w:sz w:val="24"/>
          <w:szCs w:val="24"/>
          <w:lang w:val="en-GB"/>
        </w:rPr>
        <w:t xml:space="preserve">  Input</w:t>
      </w:r>
    </w:p>
    <w:p w:rsidR="00FE35BC" w:rsidRPr="004800A2" w:rsidRDefault="00FE35BC" w:rsidP="00037DF4">
      <w:pPr>
        <w:pStyle w:val="BodyText"/>
        <w:tabs>
          <w:tab w:val="left" w:pos="1843"/>
        </w:tabs>
        <w:rPr>
          <w:rFonts w:ascii="Calibri" w:hAnsi="Calibri" w:cs="Calibri"/>
          <w:lang w:val="en-GB"/>
        </w:rPr>
      </w:pPr>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Pr>
          <w:rFonts w:ascii="Calibri" w:hAnsi="Calibri" w:cs="Calibri"/>
          <w:sz w:val="24"/>
          <w:szCs w:val="24"/>
          <w:lang w:val="en-GB"/>
        </w:rPr>
        <w:sym w:font="Wingdings 2" w:char="F052"/>
      </w:r>
      <w:r w:rsidRPr="004800A2">
        <w:rPr>
          <w:rFonts w:ascii="Calibri" w:hAnsi="Calibri" w:cs="Calibri"/>
          <w:sz w:val="24"/>
          <w:szCs w:val="24"/>
          <w:lang w:val="en-GB"/>
        </w:rPr>
        <w:t xml:space="preserve">  Information</w:t>
      </w:r>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 xml:space="preserve">Agenda item </w:t>
      </w:r>
      <w:r w:rsidRPr="007A395D">
        <w:rPr>
          <w:rStyle w:val="FootnoteReference"/>
          <w:rFonts w:ascii="Calibri" w:hAnsi="Calibri" w:cs="Calibri"/>
          <w:sz w:val="22"/>
          <w:szCs w:val="22"/>
          <w:vertAlign w:val="superscript"/>
        </w:rPr>
        <w:footnoteReference w:id="2"/>
      </w:r>
      <w:r>
        <w:rPr>
          <w:rFonts w:ascii="Calibri" w:hAnsi="Calibri" w:cs="Calibri"/>
          <w:lang w:val="en-GB"/>
        </w:rPr>
        <w:tab/>
      </w:r>
      <w:r>
        <w:rPr>
          <w:rFonts w:ascii="Calibri" w:hAnsi="Calibri" w:cs="Calibri"/>
          <w:lang w:val="en-GB"/>
        </w:rPr>
        <w:tab/>
      </w:r>
      <w:r>
        <w:rPr>
          <w:rFonts w:ascii="Calibri" w:hAnsi="Calibri" w:cs="Calibri"/>
          <w:lang w:val="en-GB"/>
        </w:rPr>
        <w:tab/>
        <w:t>8.5</w:t>
      </w:r>
    </w:p>
    <w:p w:rsidR="00FE35BC" w:rsidRPr="004800A2" w:rsidRDefault="00FE35BC" w:rsidP="00FE5674">
      <w:pPr>
        <w:pStyle w:val="BodyText"/>
        <w:tabs>
          <w:tab w:val="left" w:pos="2835"/>
        </w:tabs>
        <w:rPr>
          <w:rFonts w:ascii="Calibri" w:hAnsi="Calibri" w:cs="Calibri"/>
          <w:lang w:val="en-GB"/>
        </w:rPr>
      </w:pPr>
      <w:r w:rsidRPr="004800A2">
        <w:rPr>
          <w:rFonts w:ascii="Calibri" w:hAnsi="Calibri" w:cs="Calibri"/>
          <w:lang w:val="en-GB"/>
        </w:rPr>
        <w:t xml:space="preserve">Technical Domain / Task Number </w:t>
      </w:r>
      <w:r w:rsidRPr="004800A2">
        <w:rPr>
          <w:rFonts w:ascii="Calibri" w:hAnsi="Calibri" w:cs="Calibri"/>
          <w:vertAlign w:val="superscript"/>
          <w:lang w:val="en-GB"/>
        </w:rPr>
        <w:t>2</w:t>
      </w:r>
      <w:r>
        <w:rPr>
          <w:rFonts w:ascii="Calibri" w:hAnsi="Calibri" w:cs="Calibri"/>
          <w:lang w:val="en-GB"/>
        </w:rPr>
        <w:tab/>
      </w:r>
      <w:r>
        <w:rPr>
          <w:rFonts w:ascii="Calibri" w:hAnsi="Calibri" w:cs="Calibri"/>
          <w:lang w:val="en-GB"/>
        </w:rPr>
        <w:tab/>
      </w:r>
      <w:r>
        <w:rPr>
          <w:rFonts w:ascii="Calibri" w:hAnsi="Calibri" w:cs="Calibri"/>
          <w:lang w:val="en-GB"/>
        </w:rPr>
        <w:tab/>
        <w:t>1.1.6</w:t>
      </w:r>
    </w:p>
    <w:p w:rsidR="00FE35BC" w:rsidRPr="004800A2" w:rsidRDefault="00FE35BC" w:rsidP="00FE5674">
      <w:pPr>
        <w:pStyle w:val="BodyText"/>
        <w:tabs>
          <w:tab w:val="left" w:pos="2835"/>
        </w:tabs>
        <w:rPr>
          <w:rFonts w:ascii="Calibri" w:hAnsi="Calibri" w:cs="Calibri"/>
          <w:color w:val="FF0000"/>
          <w:lang w:val="en-GB"/>
        </w:rPr>
      </w:pPr>
      <w:r w:rsidRPr="004800A2">
        <w:rPr>
          <w:rFonts w:ascii="Calibri" w:hAnsi="Calibri" w:cs="Calibri"/>
          <w:lang w:val="en-GB"/>
        </w:rPr>
        <w:t>Author(s) / Submitter(s)</w:t>
      </w:r>
      <w:r w:rsidRPr="004800A2">
        <w:rPr>
          <w:rFonts w:ascii="Calibri" w:hAnsi="Calibri" w:cs="Calibri"/>
          <w:lang w:val="en-GB"/>
        </w:rPr>
        <w:tab/>
      </w:r>
      <w:r w:rsidRPr="004800A2">
        <w:rPr>
          <w:rFonts w:ascii="Calibri" w:hAnsi="Calibri" w:cs="Calibri"/>
          <w:lang w:val="en-GB"/>
        </w:rPr>
        <w:tab/>
      </w:r>
      <w:r w:rsidRPr="004800A2">
        <w:rPr>
          <w:rFonts w:ascii="Calibri" w:hAnsi="Calibri" w:cs="Calibri"/>
          <w:lang w:val="en-GB"/>
        </w:rPr>
        <w:tab/>
      </w:r>
      <w:r>
        <w:rPr>
          <w:rFonts w:ascii="Calibri" w:hAnsi="Calibri" w:cs="Calibri"/>
          <w:lang w:val="en-GB"/>
        </w:rPr>
        <w:t xml:space="preserve">France </w:t>
      </w:r>
    </w:p>
    <w:p w:rsidR="00FE35BC" w:rsidRPr="004800A2" w:rsidRDefault="00FE35BC" w:rsidP="00FE5674">
      <w:pPr>
        <w:pStyle w:val="BodyText"/>
        <w:tabs>
          <w:tab w:val="left" w:pos="2835"/>
        </w:tabs>
        <w:rPr>
          <w:rFonts w:ascii="Calibri" w:hAnsi="Calibri" w:cs="Calibri"/>
          <w:lang w:val="en-GB"/>
        </w:rPr>
      </w:pPr>
    </w:p>
    <w:p w:rsidR="00FE35BC" w:rsidRPr="004800A2" w:rsidRDefault="00FE35BC" w:rsidP="00A446C9">
      <w:pPr>
        <w:pStyle w:val="Title"/>
        <w:rPr>
          <w:rFonts w:ascii="Calibri" w:hAnsi="Calibri" w:cs="Calibri"/>
          <w:color w:val="0070C0"/>
          <w:lang w:val="en-GB"/>
        </w:rPr>
      </w:pPr>
      <w:r>
        <w:rPr>
          <w:rFonts w:ascii="Calibri" w:hAnsi="Calibri" w:cs="Calibri"/>
          <w:color w:val="0070C0"/>
          <w:lang w:val="en-GB"/>
        </w:rPr>
        <w:t>Information related to the draft guideline on the use of mobile AtoN</w:t>
      </w:r>
    </w:p>
    <w:p w:rsidR="00FE35BC" w:rsidRPr="004800A2" w:rsidRDefault="00FE35BC" w:rsidP="00605E43">
      <w:pPr>
        <w:pStyle w:val="Heading1"/>
        <w:rPr>
          <w:lang w:val="en-GB"/>
        </w:rPr>
      </w:pPr>
      <w:r w:rsidRPr="004800A2">
        <w:rPr>
          <w:lang w:val="en-GB"/>
        </w:rPr>
        <w:t>Summary</w:t>
      </w:r>
    </w:p>
    <w:p w:rsidR="00FE35BC" w:rsidRPr="00813FEC" w:rsidRDefault="00FE35BC" w:rsidP="00B56BDF">
      <w:pPr>
        <w:pStyle w:val="BodyText"/>
        <w:rPr>
          <w:rFonts w:ascii="Calibri" w:hAnsi="Calibri" w:cs="Calibri"/>
          <w:sz w:val="22"/>
          <w:szCs w:val="22"/>
          <w:lang w:val="en-GB"/>
        </w:rPr>
      </w:pPr>
      <w:r w:rsidRPr="00813FEC">
        <w:rPr>
          <w:rFonts w:ascii="Calibri" w:hAnsi="Calibri" w:cs="Calibri"/>
          <w:sz w:val="22"/>
          <w:szCs w:val="22"/>
          <w:lang w:val="en-GB"/>
        </w:rPr>
        <w:t>Present paper provides information on the discussion during 12</w:t>
      </w:r>
      <w:r w:rsidRPr="00813FEC">
        <w:rPr>
          <w:rFonts w:ascii="Calibri" w:hAnsi="Calibri" w:cs="Calibri"/>
          <w:sz w:val="22"/>
          <w:szCs w:val="22"/>
          <w:vertAlign w:val="superscript"/>
          <w:lang w:val="en-GB"/>
        </w:rPr>
        <w:t>th</w:t>
      </w:r>
      <w:r w:rsidRPr="00813FEC">
        <w:rPr>
          <w:rFonts w:ascii="Calibri" w:hAnsi="Calibri" w:cs="Calibri"/>
          <w:sz w:val="22"/>
          <w:szCs w:val="22"/>
          <w:lang w:val="en-GB"/>
        </w:rPr>
        <w:t xml:space="preserve"> IMO/ITU experts group that took place at IMO headquarter from 11</w:t>
      </w:r>
      <w:r w:rsidRPr="00813FEC">
        <w:rPr>
          <w:rFonts w:ascii="Calibri" w:hAnsi="Calibri" w:cs="Calibri"/>
          <w:sz w:val="22"/>
          <w:szCs w:val="22"/>
          <w:vertAlign w:val="superscript"/>
          <w:lang w:val="en-GB"/>
        </w:rPr>
        <w:t>th</w:t>
      </w:r>
      <w:r w:rsidRPr="00813FEC">
        <w:rPr>
          <w:rFonts w:ascii="Calibri" w:hAnsi="Calibri" w:cs="Calibri"/>
          <w:sz w:val="22"/>
          <w:szCs w:val="22"/>
          <w:lang w:val="en-GB"/>
        </w:rPr>
        <w:t xml:space="preserve"> to 15</w:t>
      </w:r>
      <w:r w:rsidRPr="00813FEC">
        <w:rPr>
          <w:rFonts w:ascii="Calibri" w:hAnsi="Calibri" w:cs="Calibri"/>
          <w:sz w:val="22"/>
          <w:szCs w:val="22"/>
          <w:vertAlign w:val="superscript"/>
          <w:lang w:val="en-GB"/>
        </w:rPr>
        <w:t>th</w:t>
      </w:r>
      <w:r w:rsidRPr="00813FEC">
        <w:rPr>
          <w:rFonts w:ascii="Calibri" w:hAnsi="Calibri" w:cs="Calibri"/>
          <w:sz w:val="22"/>
          <w:szCs w:val="22"/>
          <w:lang w:val="en-GB"/>
        </w:rPr>
        <w:t xml:space="preserve"> July 2016 concerning the identification and categorization of autonomous maritime radio devices (AMRD). In that respect, the IMO/ITU EG considered regulatory actions within the frequency band 156-162.05 MHz for autonomous maritime radio devices to protect the GMDSS and automatic identifications system (AIS), in accordance with Resolution 362 (WRC15).</w:t>
      </w:r>
    </w:p>
    <w:p w:rsidR="00FE35BC" w:rsidRPr="004800A2" w:rsidRDefault="00FE35BC" w:rsidP="00B56BDF">
      <w:pPr>
        <w:pStyle w:val="BodyText"/>
        <w:rPr>
          <w:rFonts w:ascii="Calibri" w:hAnsi="Calibri" w:cs="Calibri"/>
          <w:lang w:val="en-GB"/>
        </w:rPr>
      </w:pPr>
    </w:p>
    <w:p w:rsidR="00FE35BC" w:rsidRPr="00605E43" w:rsidRDefault="00FE35BC" w:rsidP="00605E43">
      <w:pPr>
        <w:pStyle w:val="Heading2"/>
      </w:pPr>
      <w:r w:rsidRPr="00605E43">
        <w:t>Purpose of the document</w:t>
      </w:r>
    </w:p>
    <w:p w:rsidR="00FE35BC" w:rsidRDefault="00FE35BC" w:rsidP="00E55927">
      <w:pPr>
        <w:pStyle w:val="BodyText"/>
        <w:rPr>
          <w:rFonts w:ascii="Calibri" w:hAnsi="Calibri" w:cs="Calibri"/>
          <w:sz w:val="22"/>
          <w:szCs w:val="22"/>
          <w:lang w:val="en-GB"/>
        </w:rPr>
      </w:pPr>
      <w:r>
        <w:rPr>
          <w:rFonts w:ascii="Calibri" w:hAnsi="Calibri" w:cs="Calibri"/>
          <w:lang w:val="en-GB"/>
        </w:rPr>
        <w:t xml:space="preserve">ARM committee should take into account development at ITU and IMO relative to </w:t>
      </w:r>
      <w:r w:rsidRPr="00316D84">
        <w:rPr>
          <w:rFonts w:ascii="Calibri" w:hAnsi="Calibri" w:cs="Calibri"/>
          <w:sz w:val="22"/>
          <w:szCs w:val="22"/>
          <w:lang w:val="en-GB"/>
        </w:rPr>
        <w:t>autonomou</w:t>
      </w:r>
      <w:r>
        <w:rPr>
          <w:rFonts w:ascii="Calibri" w:hAnsi="Calibri" w:cs="Calibri"/>
          <w:sz w:val="22"/>
          <w:szCs w:val="22"/>
          <w:lang w:val="en-GB"/>
        </w:rPr>
        <w:t>s maritime radio devices (AMRD) before finalizing the draft guidelines on the marking and use of mobile AtoN.</w:t>
      </w:r>
    </w:p>
    <w:p w:rsidR="00FE35BC" w:rsidRPr="00316D84" w:rsidRDefault="00FE35BC" w:rsidP="00E55927">
      <w:pPr>
        <w:pStyle w:val="BodyText"/>
        <w:rPr>
          <w:rFonts w:ascii="Calibri" w:hAnsi="Calibri" w:cs="Calibri"/>
          <w:sz w:val="22"/>
          <w:szCs w:val="22"/>
          <w:lang w:val="en-GB"/>
        </w:rPr>
      </w:pPr>
    </w:p>
    <w:p w:rsidR="00FE35BC" w:rsidRPr="007A395D" w:rsidRDefault="00FE35BC" w:rsidP="00605E43">
      <w:pPr>
        <w:pStyle w:val="Heading2"/>
      </w:pPr>
      <w:r w:rsidRPr="007A395D">
        <w:t>Related documents</w:t>
      </w:r>
    </w:p>
    <w:p w:rsidR="00FE35BC" w:rsidRPr="00813FEC" w:rsidRDefault="00FE35BC" w:rsidP="00316D84">
      <w:pPr>
        <w:pStyle w:val="Default"/>
        <w:numPr>
          <w:ilvl w:val="0"/>
          <w:numId w:val="18"/>
        </w:numPr>
        <w:rPr>
          <w:rFonts w:ascii="Calibri" w:hAnsi="Calibri" w:cs="Calibri"/>
          <w:sz w:val="22"/>
          <w:szCs w:val="22"/>
          <w:lang w:val="en-GB"/>
        </w:rPr>
      </w:pPr>
      <w:r w:rsidRPr="00813FEC">
        <w:rPr>
          <w:rFonts w:ascii="Calibri" w:hAnsi="Calibri" w:cs="Calibri"/>
          <w:sz w:val="22"/>
          <w:szCs w:val="22"/>
          <w:lang w:val="en-GB"/>
        </w:rPr>
        <w:t>ARM 5-8.5.1 draft guideline on the use of mobile AtoN</w:t>
      </w:r>
    </w:p>
    <w:p w:rsidR="00FE35BC" w:rsidRPr="00813FEC" w:rsidRDefault="00FE35BC" w:rsidP="00316D84">
      <w:pPr>
        <w:pStyle w:val="Default"/>
        <w:numPr>
          <w:ilvl w:val="0"/>
          <w:numId w:val="18"/>
        </w:numPr>
        <w:rPr>
          <w:rFonts w:ascii="Calibri" w:hAnsi="Calibri" w:cs="Calibri"/>
          <w:sz w:val="22"/>
          <w:szCs w:val="22"/>
          <w:lang w:val="en-GB"/>
        </w:rPr>
      </w:pPr>
      <w:r w:rsidRPr="00813FEC">
        <w:rPr>
          <w:rFonts w:ascii="Calibri" w:hAnsi="Calibri" w:cs="Calibri"/>
          <w:sz w:val="22"/>
          <w:szCs w:val="22"/>
          <w:lang w:val="en-GB"/>
        </w:rPr>
        <w:t>IMO/ITU 12/5/3 WRC-19 Agenda item 1.9.1 - Working document - Work plan for WRC-19</w:t>
      </w:r>
    </w:p>
    <w:p w:rsidR="00FE35BC" w:rsidRPr="00813FEC" w:rsidRDefault="00FE35BC" w:rsidP="00316D84">
      <w:pPr>
        <w:pStyle w:val="Default"/>
        <w:numPr>
          <w:ilvl w:val="0"/>
          <w:numId w:val="18"/>
        </w:numPr>
        <w:rPr>
          <w:rFonts w:ascii="Calibri" w:hAnsi="Calibri" w:cs="Calibri"/>
          <w:sz w:val="22"/>
          <w:szCs w:val="22"/>
          <w:lang w:val="en-GB"/>
        </w:rPr>
      </w:pPr>
      <w:r w:rsidRPr="00813FEC">
        <w:rPr>
          <w:rFonts w:ascii="Calibri" w:hAnsi="Calibri" w:cs="Calibri"/>
          <w:sz w:val="22"/>
          <w:szCs w:val="22"/>
          <w:lang w:val="en-GB"/>
        </w:rPr>
        <w:t>IMO/ITU 12/5/7 Identification and Categorization of autonomous maritime radio devices</w:t>
      </w:r>
    </w:p>
    <w:p w:rsidR="00FE35BC" w:rsidRPr="00813FEC" w:rsidRDefault="00FE35BC" w:rsidP="00F77608">
      <w:pPr>
        <w:pStyle w:val="Default"/>
        <w:numPr>
          <w:ilvl w:val="0"/>
          <w:numId w:val="18"/>
        </w:numPr>
        <w:rPr>
          <w:rFonts w:ascii="Calibri" w:hAnsi="Calibri" w:cs="Calibri"/>
          <w:sz w:val="22"/>
          <w:szCs w:val="22"/>
          <w:lang w:val="en-GB"/>
        </w:rPr>
      </w:pPr>
      <w:r w:rsidRPr="00813FEC">
        <w:rPr>
          <w:rFonts w:ascii="Calibri" w:hAnsi="Calibri" w:cs="Calibri"/>
          <w:sz w:val="22"/>
          <w:szCs w:val="22"/>
          <w:lang w:val="en-GB"/>
        </w:rPr>
        <w:t>IMO/ITU 12/5/11</w:t>
      </w:r>
      <w:r w:rsidRPr="00813FEC">
        <w:rPr>
          <w:sz w:val="22"/>
          <w:szCs w:val="22"/>
          <w:lang w:val="en-GB"/>
        </w:rPr>
        <w:t xml:space="preserve"> </w:t>
      </w:r>
      <w:r w:rsidRPr="00813FEC">
        <w:rPr>
          <w:rFonts w:ascii="Calibri" w:hAnsi="Calibri" w:cs="Calibri"/>
          <w:sz w:val="22"/>
          <w:szCs w:val="22"/>
          <w:lang w:val="en-GB"/>
        </w:rPr>
        <w:t>WRC-19, Agenda item 1.9.1</w:t>
      </w:r>
    </w:p>
    <w:p w:rsidR="00FE35BC" w:rsidRPr="00813FEC" w:rsidRDefault="00FE35BC" w:rsidP="00F77608">
      <w:pPr>
        <w:pStyle w:val="Default"/>
        <w:numPr>
          <w:ilvl w:val="0"/>
          <w:numId w:val="18"/>
        </w:numPr>
        <w:rPr>
          <w:rFonts w:ascii="Calibri" w:hAnsi="Calibri" w:cs="Calibri"/>
          <w:sz w:val="22"/>
          <w:szCs w:val="22"/>
          <w:lang w:val="en-GB"/>
        </w:rPr>
      </w:pPr>
      <w:r w:rsidRPr="00813FEC">
        <w:rPr>
          <w:rFonts w:ascii="Calibri" w:hAnsi="Calibri" w:cs="Calibri"/>
          <w:sz w:val="22"/>
          <w:szCs w:val="22"/>
          <w:lang w:val="en-GB"/>
        </w:rPr>
        <w:t>IMO/ITU 12/5/12</w:t>
      </w:r>
      <w:r w:rsidRPr="00813FEC">
        <w:rPr>
          <w:sz w:val="22"/>
          <w:szCs w:val="22"/>
          <w:lang w:val="en-GB"/>
        </w:rPr>
        <w:t xml:space="preserve"> </w:t>
      </w:r>
      <w:r w:rsidRPr="00813FEC">
        <w:rPr>
          <w:rFonts w:ascii="Calibri" w:hAnsi="Calibri" w:cs="Calibri"/>
          <w:sz w:val="22"/>
          <w:szCs w:val="22"/>
          <w:lang w:val="en-GB"/>
        </w:rPr>
        <w:t>New maritime agenda items to be considered at WRC-19</w:t>
      </w:r>
    </w:p>
    <w:p w:rsidR="00FE35BC" w:rsidRPr="007A395D" w:rsidRDefault="00FE35BC" w:rsidP="00605E43">
      <w:pPr>
        <w:pStyle w:val="Heading1"/>
      </w:pPr>
      <w:r w:rsidRPr="007A395D">
        <w:t>Background</w:t>
      </w:r>
    </w:p>
    <w:p w:rsidR="00FE35BC" w:rsidRPr="00D64FC1" w:rsidRDefault="00FE35BC" w:rsidP="00A446C9">
      <w:pPr>
        <w:pStyle w:val="BodyText"/>
        <w:rPr>
          <w:rFonts w:ascii="Calibri" w:hAnsi="Calibri" w:cs="Calibri"/>
          <w:lang w:val="en-GB"/>
        </w:rPr>
      </w:pPr>
      <w:r w:rsidRPr="00D64FC1">
        <w:rPr>
          <w:rFonts w:ascii="Calibri" w:hAnsi="Calibri" w:cs="Calibri"/>
          <w:sz w:val="22"/>
          <w:szCs w:val="22"/>
          <w:lang w:val="en-GB"/>
        </w:rPr>
        <w:t>There are some kinds of autonomous maritime radio devices using automatic identification system (AIS) technology or digital selective calling (DSC) technology, or transmitting synthetic voice messages, or with a combination of those technologies, and have been developed and operating in maritime environment, and their number is expected to increase. Some of these devices are not related to the safety of navigation or the purpose of communication between coast stations and ship stations, or between ship stations, or between associated on-board communication stations, or survival craft stations and emergency position-indicating radio beacon stations, but occupying the spectrum and identities of maritime mobile service. There are general requirements to categorize and regulate the usage of autonomous maritime radio devices.</w:t>
      </w:r>
    </w:p>
    <w:p w:rsidR="00FE35BC" w:rsidRPr="007A395D" w:rsidRDefault="00FE35BC" w:rsidP="00605E43">
      <w:pPr>
        <w:pStyle w:val="Heading1"/>
      </w:pPr>
      <w:r w:rsidRPr="007A395D">
        <w:lastRenderedPageBreak/>
        <w:t>Discussion</w:t>
      </w:r>
    </w:p>
    <w:p w:rsidR="00FE35BC" w:rsidRPr="00E34451" w:rsidRDefault="00FE35BC" w:rsidP="00D64FC1">
      <w:pPr>
        <w:jc w:val="both"/>
        <w:rPr>
          <w:rFonts w:ascii="Calibri" w:hAnsi="Calibri" w:cs="Calibri"/>
        </w:rPr>
      </w:pPr>
      <w:r w:rsidRPr="00E34451">
        <w:rPr>
          <w:rFonts w:ascii="Calibri" w:hAnsi="Calibri" w:cs="Calibri"/>
        </w:rPr>
        <w:t>12</w:t>
      </w:r>
      <w:r w:rsidRPr="00E34451">
        <w:rPr>
          <w:rFonts w:ascii="Calibri" w:hAnsi="Calibri" w:cs="Calibri"/>
          <w:vertAlign w:val="superscript"/>
        </w:rPr>
        <w:t>th</w:t>
      </w:r>
      <w:r w:rsidRPr="00E34451">
        <w:rPr>
          <w:rFonts w:ascii="Calibri" w:hAnsi="Calibri" w:cs="Calibri"/>
        </w:rPr>
        <w:t xml:space="preserve"> IMO/ITU EG noted that the following two issues should be considered with priority:</w:t>
      </w:r>
    </w:p>
    <w:p w:rsidR="00FE35BC" w:rsidRPr="00E34451" w:rsidRDefault="00FE35BC" w:rsidP="00D64FC1">
      <w:pPr>
        <w:pStyle w:val="Default"/>
        <w:ind w:left="540"/>
        <w:jc w:val="both"/>
        <w:rPr>
          <w:rFonts w:ascii="Calibri" w:hAnsi="Calibri" w:cs="Calibri"/>
          <w:color w:val="auto"/>
          <w:sz w:val="22"/>
          <w:szCs w:val="22"/>
          <w:lang w:val="en-GB"/>
        </w:rPr>
      </w:pPr>
      <w:r w:rsidRPr="00E34451">
        <w:rPr>
          <w:rFonts w:ascii="Calibri" w:hAnsi="Calibri" w:cs="Calibri"/>
          <w:color w:val="auto"/>
          <w:sz w:val="22"/>
          <w:szCs w:val="22"/>
          <w:lang w:val="en-GB"/>
        </w:rPr>
        <w:t xml:space="preserve">.1 review, and complete if possible, the definitions/scope of AMRD; and </w:t>
      </w:r>
    </w:p>
    <w:p w:rsidR="00FE35BC" w:rsidRPr="00E34451" w:rsidRDefault="00FE35BC" w:rsidP="00D64FC1">
      <w:pPr>
        <w:pStyle w:val="BodyText"/>
        <w:ind w:firstLine="540"/>
        <w:rPr>
          <w:rFonts w:ascii="Calibri" w:hAnsi="Calibri" w:cs="Calibri"/>
          <w:sz w:val="22"/>
          <w:szCs w:val="22"/>
          <w:lang w:val="en-GB"/>
        </w:rPr>
      </w:pPr>
      <w:r w:rsidRPr="00E34451">
        <w:rPr>
          <w:rFonts w:ascii="Calibri" w:hAnsi="Calibri" w:cs="Calibri"/>
          <w:sz w:val="22"/>
          <w:szCs w:val="22"/>
          <w:lang w:val="en-GB"/>
        </w:rPr>
        <w:t>.2 collecting information on categorization of AMRD.</w:t>
      </w:r>
    </w:p>
    <w:p w:rsidR="00FE35BC" w:rsidRPr="00E34451" w:rsidRDefault="00FE35BC" w:rsidP="00D64FC1">
      <w:pPr>
        <w:pStyle w:val="List1"/>
        <w:rPr>
          <w:rFonts w:ascii="Calibri" w:hAnsi="Calibri" w:cs="Calibri"/>
        </w:rPr>
      </w:pPr>
      <w:r w:rsidRPr="00E34451">
        <w:rPr>
          <w:rFonts w:ascii="Calibri" w:hAnsi="Calibri" w:cs="Calibri"/>
        </w:rPr>
        <w:t xml:space="preserve">Taking into account the information provided in documents IMO/ITU EG 12/5/11 and IMO/ITU EG 12/5/12, the IMO/ITU EG considered a liaison statement from WP 5B to IMO and IALA (IMO/ITU EG 12/5/7) inviting IMO and IALA to: </w:t>
      </w:r>
    </w:p>
    <w:p w:rsidR="00FE35BC" w:rsidRPr="00E34451" w:rsidRDefault="00FE35BC" w:rsidP="00D64FC1">
      <w:pPr>
        <w:pStyle w:val="Default"/>
        <w:ind w:left="540"/>
        <w:jc w:val="both"/>
        <w:rPr>
          <w:rFonts w:ascii="Calibri" w:hAnsi="Calibri" w:cs="Calibri"/>
          <w:color w:val="auto"/>
          <w:sz w:val="22"/>
          <w:szCs w:val="22"/>
          <w:lang w:val="en-GB"/>
        </w:rPr>
      </w:pPr>
      <w:r w:rsidRPr="00E34451">
        <w:rPr>
          <w:rFonts w:ascii="Calibri" w:hAnsi="Calibri" w:cs="Calibri"/>
          <w:color w:val="auto"/>
          <w:sz w:val="22"/>
          <w:szCs w:val="22"/>
          <w:lang w:val="en-GB"/>
        </w:rPr>
        <w:t>.1 consider to this topic related issues, particularly on the need to categorize the various autonomous maritime radio devices</w:t>
      </w:r>
      <w:r>
        <w:rPr>
          <w:rFonts w:ascii="Calibri" w:hAnsi="Calibri" w:cs="Calibri"/>
          <w:color w:val="auto"/>
          <w:sz w:val="22"/>
          <w:szCs w:val="22"/>
          <w:lang w:val="en-GB"/>
        </w:rPr>
        <w:t xml:space="preserve"> (AMRD)</w:t>
      </w:r>
      <w:r w:rsidRPr="00E34451">
        <w:rPr>
          <w:rFonts w:ascii="Calibri" w:hAnsi="Calibri" w:cs="Calibri"/>
          <w:color w:val="auto"/>
          <w:sz w:val="22"/>
          <w:szCs w:val="22"/>
          <w:lang w:val="en-GB"/>
        </w:rPr>
        <w:t xml:space="preserve">; and </w:t>
      </w:r>
    </w:p>
    <w:p w:rsidR="00FE35BC" w:rsidRPr="00E34451" w:rsidRDefault="00FE35BC" w:rsidP="00D64FC1">
      <w:pPr>
        <w:pStyle w:val="Default"/>
        <w:ind w:left="540"/>
        <w:jc w:val="both"/>
        <w:rPr>
          <w:rFonts w:ascii="Calibri" w:hAnsi="Calibri" w:cs="Calibri"/>
          <w:color w:val="auto"/>
          <w:sz w:val="22"/>
          <w:szCs w:val="22"/>
          <w:lang w:val="en-GB"/>
        </w:rPr>
      </w:pPr>
      <w:r w:rsidRPr="00E34451">
        <w:rPr>
          <w:rFonts w:ascii="Calibri" w:hAnsi="Calibri" w:cs="Calibri"/>
          <w:color w:val="auto"/>
          <w:sz w:val="22"/>
          <w:szCs w:val="22"/>
          <w:lang w:val="en-GB"/>
        </w:rPr>
        <w:t xml:space="preserve">.2 note that WP 5B was working towards a formal definition for the term AMRD. </w:t>
      </w:r>
    </w:p>
    <w:p w:rsidR="00FE35BC" w:rsidRPr="00E34451" w:rsidRDefault="00FE35BC" w:rsidP="00BF32F0">
      <w:pPr>
        <w:rPr>
          <w:rFonts w:ascii="Calibri" w:hAnsi="Calibri" w:cs="Calibri"/>
        </w:rPr>
      </w:pPr>
    </w:p>
    <w:p w:rsidR="00FE35BC" w:rsidRPr="00E34451" w:rsidRDefault="00FE35BC" w:rsidP="00D64FC1">
      <w:pPr>
        <w:pStyle w:val="List1"/>
        <w:rPr>
          <w:rFonts w:ascii="Calibri" w:hAnsi="Calibri" w:cs="Calibri"/>
        </w:rPr>
      </w:pPr>
      <w:r w:rsidRPr="00E34451">
        <w:rPr>
          <w:rFonts w:ascii="Calibri" w:hAnsi="Calibri" w:cs="Calibri"/>
        </w:rPr>
        <w:t>The IMO/ITU EG noted the draft definition for AMRD under discussion in WP 5B. The Group further noted the many square brackets in the draft definition, and that many issues needed to be discussed in detail.</w:t>
      </w:r>
    </w:p>
    <w:p w:rsidR="00FE35BC" w:rsidRPr="00E34451" w:rsidRDefault="00FE35BC" w:rsidP="00D64FC1">
      <w:pPr>
        <w:pStyle w:val="List1"/>
        <w:rPr>
          <w:rFonts w:ascii="Calibri" w:hAnsi="Calibri" w:cs="Calibri"/>
        </w:rPr>
      </w:pPr>
      <w:r w:rsidRPr="00E34451">
        <w:rPr>
          <w:rFonts w:ascii="Calibri" w:hAnsi="Calibri" w:cs="Calibri"/>
        </w:rPr>
        <w:t>The Group further noted that care should be taken to define this matter, because there was a risk that a definition of AMRD might cause more problems in the end than it might solve.</w:t>
      </w:r>
    </w:p>
    <w:p w:rsidR="00FE35BC" w:rsidRPr="00E34451" w:rsidRDefault="00FE35BC" w:rsidP="00D64FC1">
      <w:pPr>
        <w:pStyle w:val="List1"/>
        <w:rPr>
          <w:rFonts w:ascii="Calibri" w:hAnsi="Calibri" w:cs="Calibri"/>
        </w:rPr>
      </w:pPr>
      <w:r w:rsidRPr="00E34451">
        <w:rPr>
          <w:rFonts w:ascii="Calibri" w:hAnsi="Calibri" w:cs="Calibri"/>
        </w:rPr>
        <w:t>The view was expressed that it was important to look at the operational environment and approach the matter from that perspective and to distinct what would be of importance for the safety of navigation, and what would not. For instance by answering the question which devices should be shown on an ECDIS, and which one should not, it might be possible to identify several categories and consequential a better way to decide on the appropriate definition.</w:t>
      </w:r>
    </w:p>
    <w:p w:rsidR="00FE35BC" w:rsidRPr="00E34451" w:rsidRDefault="00FE35BC" w:rsidP="004A6DCB">
      <w:pPr>
        <w:pStyle w:val="List1"/>
        <w:rPr>
          <w:rFonts w:ascii="Calibri" w:hAnsi="Calibri" w:cs="Calibri"/>
        </w:rPr>
      </w:pPr>
      <w:r w:rsidRPr="00E34451">
        <w:rPr>
          <w:rFonts w:ascii="Calibri" w:hAnsi="Calibri" w:cs="Calibri"/>
        </w:rPr>
        <w:t xml:space="preserve">After consideration, the Group suggested the following definition of AMRDs: </w:t>
      </w:r>
    </w:p>
    <w:p w:rsidR="00FE35BC" w:rsidRPr="00E34451" w:rsidRDefault="00FE35BC" w:rsidP="004A6DCB">
      <w:pPr>
        <w:pStyle w:val="Default"/>
        <w:jc w:val="both"/>
        <w:rPr>
          <w:rFonts w:ascii="Calibri" w:hAnsi="Calibri" w:cs="Calibri"/>
          <w:sz w:val="22"/>
          <w:szCs w:val="22"/>
          <w:lang w:val="en-GB"/>
        </w:rPr>
      </w:pPr>
      <w:r w:rsidRPr="00E34451">
        <w:rPr>
          <w:rFonts w:ascii="Calibri" w:hAnsi="Calibri" w:cs="Calibri"/>
          <w:sz w:val="22"/>
          <w:szCs w:val="22"/>
          <w:lang w:val="en-GB"/>
        </w:rPr>
        <w:t xml:space="preserve">“An autonomous maritime radio device (AMRD) is a mobile station; operating at sea and transmitting independently of a ship station or a coast station. Two groups of AMRDs are identified: </w:t>
      </w:r>
    </w:p>
    <w:p w:rsidR="00FE35BC" w:rsidRPr="00E34451" w:rsidRDefault="00FE35BC" w:rsidP="004A6DCB">
      <w:pPr>
        <w:pStyle w:val="Default"/>
        <w:ind w:left="540"/>
        <w:jc w:val="both"/>
        <w:rPr>
          <w:rFonts w:ascii="Calibri" w:hAnsi="Calibri" w:cs="Calibri"/>
          <w:sz w:val="22"/>
          <w:szCs w:val="22"/>
          <w:lang w:val="en-GB"/>
        </w:rPr>
      </w:pPr>
      <w:r w:rsidRPr="00E34451">
        <w:rPr>
          <w:rFonts w:ascii="Calibri" w:hAnsi="Calibri" w:cs="Calibri"/>
          <w:sz w:val="22"/>
          <w:szCs w:val="22"/>
          <w:lang w:val="en-GB"/>
        </w:rPr>
        <w:t xml:space="preserve">.1 AMRDs that influence the safety of navigation; and </w:t>
      </w:r>
    </w:p>
    <w:p w:rsidR="00FE35BC" w:rsidRPr="00E34451" w:rsidRDefault="00FE35BC" w:rsidP="004A6DCB">
      <w:pPr>
        <w:ind w:left="540"/>
        <w:jc w:val="both"/>
        <w:rPr>
          <w:rFonts w:ascii="Calibri" w:hAnsi="Calibri" w:cs="Calibri"/>
        </w:rPr>
      </w:pPr>
      <w:r w:rsidRPr="00E34451">
        <w:rPr>
          <w:rFonts w:ascii="Calibri" w:hAnsi="Calibri" w:cs="Calibri"/>
        </w:rPr>
        <w:t>.2 AMRDs that do not influence the safety of navigation.”</w:t>
      </w:r>
    </w:p>
    <w:p w:rsidR="00FE35BC" w:rsidRPr="00E34451" w:rsidRDefault="00FE35BC" w:rsidP="004A6DCB">
      <w:pPr>
        <w:ind w:left="540"/>
        <w:jc w:val="both"/>
        <w:rPr>
          <w:rFonts w:ascii="Calibri" w:hAnsi="Calibri" w:cs="Calibri"/>
        </w:rPr>
      </w:pPr>
    </w:p>
    <w:p w:rsidR="00FE35BC" w:rsidRPr="00E34451" w:rsidRDefault="00FE35BC" w:rsidP="00180DDA">
      <w:pPr>
        <w:pStyle w:val="List1"/>
        <w:rPr>
          <w:rFonts w:ascii="Calibri" w:hAnsi="Calibri" w:cs="Calibri"/>
        </w:rPr>
      </w:pPr>
      <w:r w:rsidRPr="00E34451">
        <w:rPr>
          <w:rFonts w:ascii="Calibri" w:hAnsi="Calibri" w:cs="Calibri"/>
        </w:rPr>
        <w:t>The Group discussed the need for protection of all systems operating under the Maritime Mobile Service and not only the integrity of AIS and GMDSS. After consideration, the Group decided to restrict the draft IMO position, for the time being, to protection of the integrity of AIS and GMDSS and to consider the matter further at future meetings.</w:t>
      </w:r>
    </w:p>
    <w:p w:rsidR="00FE35BC" w:rsidRPr="007A395D" w:rsidRDefault="00FE35BC" w:rsidP="00605E43">
      <w:pPr>
        <w:pStyle w:val="Heading1"/>
      </w:pPr>
      <w:r w:rsidRPr="007A395D">
        <w:t>References</w:t>
      </w:r>
    </w:p>
    <w:p w:rsidR="00FE35BC" w:rsidRDefault="00FE35BC" w:rsidP="004A6DCB">
      <w:pPr>
        <w:pStyle w:val="References"/>
        <w:numPr>
          <w:ilvl w:val="0"/>
          <w:numId w:val="0"/>
        </w:numPr>
      </w:pPr>
      <w:r w:rsidRPr="00813FEC">
        <w:t xml:space="preserve">Related enclosed documents: </w:t>
      </w:r>
    </w:p>
    <w:p w:rsidR="00FE35BC" w:rsidRPr="00813FEC" w:rsidRDefault="00FE35BC" w:rsidP="004A6DCB">
      <w:pPr>
        <w:pStyle w:val="References"/>
        <w:numPr>
          <w:ilvl w:val="0"/>
          <w:numId w:val="0"/>
        </w:numPr>
      </w:pPr>
      <w:r w:rsidRPr="00813FEC">
        <w:t>IMO/ITU 12/5/3, IMO/ITU 12/5/7, IMO/ITU 12/5/11 &amp; IMO/ITU 12/5/12</w:t>
      </w:r>
    </w:p>
    <w:p w:rsidR="00FE35BC" w:rsidRPr="004A6DCB" w:rsidRDefault="00FE35BC" w:rsidP="00605E43">
      <w:pPr>
        <w:pStyle w:val="Heading1"/>
        <w:rPr>
          <w:lang w:val="en-GB"/>
        </w:rPr>
      </w:pPr>
      <w:r w:rsidRPr="004A6DCB">
        <w:rPr>
          <w:lang w:val="en-GB"/>
        </w:rPr>
        <w:t>Action requested of the Committee</w:t>
      </w:r>
    </w:p>
    <w:p w:rsidR="00FE35BC" w:rsidRPr="00E34451" w:rsidRDefault="00FE35BC" w:rsidP="00A446C9">
      <w:pPr>
        <w:pStyle w:val="BodyText"/>
        <w:rPr>
          <w:rFonts w:ascii="Calibri" w:hAnsi="Calibri" w:cs="Calibri"/>
          <w:sz w:val="22"/>
          <w:szCs w:val="22"/>
          <w:lang w:val="en-GB"/>
        </w:rPr>
      </w:pPr>
      <w:r w:rsidRPr="00E34451">
        <w:rPr>
          <w:rFonts w:ascii="Calibri" w:hAnsi="Calibri" w:cs="Calibri"/>
          <w:sz w:val="22"/>
          <w:szCs w:val="22"/>
          <w:lang w:val="en-GB"/>
        </w:rPr>
        <w:t xml:space="preserve">The Committee is requested to: </w:t>
      </w:r>
    </w:p>
    <w:p w:rsidR="00FE35BC" w:rsidRPr="00E34451" w:rsidRDefault="00FE35BC" w:rsidP="00362CD9">
      <w:pPr>
        <w:pStyle w:val="List1"/>
        <w:numPr>
          <w:ilvl w:val="0"/>
          <w:numId w:val="16"/>
        </w:numPr>
        <w:rPr>
          <w:rFonts w:ascii="Calibri" w:hAnsi="Calibri" w:cs="Calibri"/>
        </w:rPr>
      </w:pPr>
      <w:r w:rsidRPr="00E34451">
        <w:rPr>
          <w:rFonts w:ascii="Calibri" w:hAnsi="Calibri" w:cs="Calibri"/>
        </w:rPr>
        <w:t>Note the information provided from IMO and ITU</w:t>
      </w:r>
    </w:p>
    <w:p w:rsidR="00FE35BC" w:rsidRPr="00E34451" w:rsidRDefault="00FE35BC" w:rsidP="00E34451">
      <w:pPr>
        <w:pStyle w:val="List1"/>
        <w:rPr>
          <w:rFonts w:ascii="Calibri" w:hAnsi="Calibri" w:cs="Calibri"/>
        </w:rPr>
      </w:pPr>
      <w:r w:rsidRPr="00E34451">
        <w:rPr>
          <w:rFonts w:ascii="Calibri" w:hAnsi="Calibri" w:cs="Calibri"/>
        </w:rPr>
        <w:t>Delay the draft guidelines on the use of mobile AtoN pending a final definition of AMRD within the work plan for WRC-19.</w:t>
      </w:r>
    </w:p>
    <w:sectPr w:rsidR="00FE35BC" w:rsidRPr="00E34451" w:rsidSect="003B35A3">
      <w:headerReference w:type="default" r:id="rId8"/>
      <w:footerReference w:type="default" r:id="rId9"/>
      <w:type w:val="continuous"/>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622" w:rsidRDefault="000B3622" w:rsidP="00362CD9">
      <w:r>
        <w:separator/>
      </w:r>
    </w:p>
  </w:endnote>
  <w:endnote w:type="continuationSeparator" w:id="0">
    <w:p w:rsidR="000B3622" w:rsidRDefault="000B3622"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panose1 w:val="00000000000000000000"/>
    <w:charset w:val="00"/>
    <w:family w:val="auto"/>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BC" w:rsidRPr="00036B9E" w:rsidRDefault="00FE35BC">
    <w:pPr>
      <w:pStyle w:val="Footer"/>
      <w:rPr>
        <w:rFonts w:ascii="Calibri" w:hAnsi="Calibri" w:cs="Calibri"/>
      </w:rPr>
    </w:pPr>
    <w:r w:rsidRPr="00036B9E">
      <w:rPr>
        <w:rFonts w:ascii="Calibri" w:hAnsi="Calibri" w:cs="Calibri"/>
      </w:rPr>
      <w:t>Input paper title</w:t>
    </w: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9D7DCB">
      <w:rPr>
        <w:rFonts w:ascii="Calibri" w:hAnsi="Calibri" w:cs="Calibri"/>
        <w:noProof/>
      </w:rPr>
      <w:t>1</w:t>
    </w:r>
    <w:r w:rsidRPr="00036B9E">
      <w:rPr>
        <w:rFonts w:ascii="Calibri" w:hAnsi="Calibri" w:cs="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622" w:rsidRDefault="000B3622" w:rsidP="00362CD9">
      <w:r>
        <w:separator/>
      </w:r>
    </w:p>
  </w:footnote>
  <w:footnote w:type="continuationSeparator" w:id="0">
    <w:p w:rsidR="000B3622" w:rsidRDefault="000B3622" w:rsidP="00362CD9">
      <w:r>
        <w:continuationSeparator/>
      </w:r>
    </w:p>
  </w:footnote>
  <w:footnote w:id="1">
    <w:p w:rsidR="00FE35BC" w:rsidRDefault="00FE35BC">
      <w:pPr>
        <w:pStyle w:val="FootnoteText"/>
      </w:pPr>
      <w:r>
        <w:rPr>
          <w:rStyle w:val="FootnoteReference"/>
        </w:rPr>
        <w:footnoteRef/>
      </w:r>
      <w:r w:rsidRPr="004800A2">
        <w:rPr>
          <w:lang w:val="en-GB"/>
        </w:rPr>
        <w:t xml:space="preserve"> </w:t>
      </w:r>
      <w:r w:rsidRPr="004800A2">
        <w:rPr>
          <w:sz w:val="16"/>
          <w:szCs w:val="16"/>
          <w:lang w:val="en-GB"/>
        </w:rPr>
        <w:t>Input document number, to be assigned by the Committee Secretary</w:t>
      </w:r>
    </w:p>
  </w:footnote>
  <w:footnote w:id="2">
    <w:p w:rsidR="00FE35BC" w:rsidRDefault="00FE35BC">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5BC" w:rsidRDefault="000B3622" w:rsidP="007A395D">
    <w:pPr>
      <w:pStyle w:val="Header"/>
      <w:jc w:val="right"/>
    </w:pP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49" type="#_x0000_t75" style="position:absolute;left:0;text-align:left;margin-left:428.9pt;margin-top:-33.7pt;width:45.25pt;height:44.1pt;z-index:1;visibility:visible">
          <v:imagedata r:id="rId1" o:title=""/>
          <w10:wrap type="square"/>
        </v:shape>
      </w:pict>
    </w:r>
    <w:r>
      <w:rPr>
        <w:noProof/>
        <w:lang w:eastAsia="fr-F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1;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8">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3">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effect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1"/>
  </w:num>
  <w:num w:numId="3">
    <w:abstractNumId w:val="1"/>
  </w:num>
  <w:num w:numId="4">
    <w:abstractNumId w:val="17"/>
  </w:num>
  <w:num w:numId="5">
    <w:abstractNumId w:val="6"/>
  </w:num>
  <w:num w:numId="6">
    <w:abstractNumId w:val="5"/>
  </w:num>
  <w:num w:numId="7">
    <w:abstractNumId w:val="13"/>
  </w:num>
  <w:num w:numId="8">
    <w:abstractNumId w:val="12"/>
  </w:num>
  <w:num w:numId="9">
    <w:abstractNumId w:val="16"/>
  </w:num>
  <w:num w:numId="10">
    <w:abstractNumId w:val="3"/>
  </w:num>
  <w:num w:numId="11">
    <w:abstractNumId w:val="14"/>
  </w:num>
  <w:num w:numId="12">
    <w:abstractNumId w:val="8"/>
  </w:num>
  <w:num w:numId="13">
    <w:abstractNumId w:val="7"/>
  </w:num>
  <w:num w:numId="14">
    <w:abstractNumId w:val="2"/>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4"/>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doNotDisplayPageBoundaries/>
  <w:displayBackgroundShape/>
  <w:embedSystemFonts/>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049D8"/>
    <w:rsid w:val="00036B9E"/>
    <w:rsid w:val="00037DF4"/>
    <w:rsid w:val="0004700E"/>
    <w:rsid w:val="00070C13"/>
    <w:rsid w:val="000715C9"/>
    <w:rsid w:val="00084F33"/>
    <w:rsid w:val="000A77A7"/>
    <w:rsid w:val="000B1707"/>
    <w:rsid w:val="000B3622"/>
    <w:rsid w:val="000C1B3E"/>
    <w:rsid w:val="000C349E"/>
    <w:rsid w:val="00110AE7"/>
    <w:rsid w:val="00176CDE"/>
    <w:rsid w:val="00177F4D"/>
    <w:rsid w:val="00180DDA"/>
    <w:rsid w:val="001B2A2D"/>
    <w:rsid w:val="001B737D"/>
    <w:rsid w:val="001C44A3"/>
    <w:rsid w:val="001E0E15"/>
    <w:rsid w:val="001F528A"/>
    <w:rsid w:val="001F704E"/>
    <w:rsid w:val="001F7B3E"/>
    <w:rsid w:val="00201722"/>
    <w:rsid w:val="002125B0"/>
    <w:rsid w:val="00243228"/>
    <w:rsid w:val="00251483"/>
    <w:rsid w:val="00254641"/>
    <w:rsid w:val="00255CAA"/>
    <w:rsid w:val="00264305"/>
    <w:rsid w:val="002A0346"/>
    <w:rsid w:val="002A4487"/>
    <w:rsid w:val="002B49E9"/>
    <w:rsid w:val="002C632E"/>
    <w:rsid w:val="002D3E8B"/>
    <w:rsid w:val="002D4575"/>
    <w:rsid w:val="002D5C0C"/>
    <w:rsid w:val="002E03D1"/>
    <w:rsid w:val="002E6B74"/>
    <w:rsid w:val="002E6FCA"/>
    <w:rsid w:val="0030208E"/>
    <w:rsid w:val="00313D9F"/>
    <w:rsid w:val="00316D84"/>
    <w:rsid w:val="00356CD0"/>
    <w:rsid w:val="00362CD9"/>
    <w:rsid w:val="003761CA"/>
    <w:rsid w:val="00380DAF"/>
    <w:rsid w:val="003972CE"/>
    <w:rsid w:val="003B28F5"/>
    <w:rsid w:val="003B35A3"/>
    <w:rsid w:val="003B7B7D"/>
    <w:rsid w:val="003C54CB"/>
    <w:rsid w:val="003C7A2A"/>
    <w:rsid w:val="003D2DC1"/>
    <w:rsid w:val="003D69D0"/>
    <w:rsid w:val="003F2918"/>
    <w:rsid w:val="003F430E"/>
    <w:rsid w:val="0041088C"/>
    <w:rsid w:val="00420A38"/>
    <w:rsid w:val="00431B19"/>
    <w:rsid w:val="004661AD"/>
    <w:rsid w:val="004800A2"/>
    <w:rsid w:val="004A6DCB"/>
    <w:rsid w:val="004D1D85"/>
    <w:rsid w:val="004D3C3A"/>
    <w:rsid w:val="004E1CD1"/>
    <w:rsid w:val="004E1ED6"/>
    <w:rsid w:val="005107EB"/>
    <w:rsid w:val="00521345"/>
    <w:rsid w:val="00526DF0"/>
    <w:rsid w:val="00545CC4"/>
    <w:rsid w:val="00551FFF"/>
    <w:rsid w:val="005607A2"/>
    <w:rsid w:val="0057198B"/>
    <w:rsid w:val="00573CFE"/>
    <w:rsid w:val="0059191B"/>
    <w:rsid w:val="005969F2"/>
    <w:rsid w:val="00597FAE"/>
    <w:rsid w:val="005B2D78"/>
    <w:rsid w:val="005B32A3"/>
    <w:rsid w:val="005C0D44"/>
    <w:rsid w:val="005C3C18"/>
    <w:rsid w:val="005C566C"/>
    <w:rsid w:val="005C7E69"/>
    <w:rsid w:val="005E262D"/>
    <w:rsid w:val="005F23D3"/>
    <w:rsid w:val="005F3E2D"/>
    <w:rsid w:val="005F7E20"/>
    <w:rsid w:val="00605E43"/>
    <w:rsid w:val="00606A31"/>
    <w:rsid w:val="006153BB"/>
    <w:rsid w:val="006652C3"/>
    <w:rsid w:val="00691FD0"/>
    <w:rsid w:val="00692148"/>
    <w:rsid w:val="006A1A1E"/>
    <w:rsid w:val="006C5948"/>
    <w:rsid w:val="006F2A74"/>
    <w:rsid w:val="007118F5"/>
    <w:rsid w:val="00712AA4"/>
    <w:rsid w:val="007146C4"/>
    <w:rsid w:val="00721AA1"/>
    <w:rsid w:val="00724B67"/>
    <w:rsid w:val="00732AED"/>
    <w:rsid w:val="007547F8"/>
    <w:rsid w:val="00765622"/>
    <w:rsid w:val="00770B6C"/>
    <w:rsid w:val="00783FEA"/>
    <w:rsid w:val="007A395D"/>
    <w:rsid w:val="007B0218"/>
    <w:rsid w:val="007B6BD5"/>
    <w:rsid w:val="007C346C"/>
    <w:rsid w:val="007E6479"/>
    <w:rsid w:val="0080294B"/>
    <w:rsid w:val="00813FEC"/>
    <w:rsid w:val="0082480E"/>
    <w:rsid w:val="0083607C"/>
    <w:rsid w:val="00850293"/>
    <w:rsid w:val="00851373"/>
    <w:rsid w:val="00851BA6"/>
    <w:rsid w:val="0085654D"/>
    <w:rsid w:val="00861160"/>
    <w:rsid w:val="0086654F"/>
    <w:rsid w:val="008A356F"/>
    <w:rsid w:val="008A3D16"/>
    <w:rsid w:val="008A4653"/>
    <w:rsid w:val="008A4717"/>
    <w:rsid w:val="008A50CC"/>
    <w:rsid w:val="008B17D6"/>
    <w:rsid w:val="008D1694"/>
    <w:rsid w:val="008D79CB"/>
    <w:rsid w:val="008E7BE5"/>
    <w:rsid w:val="008F07BC"/>
    <w:rsid w:val="0092692B"/>
    <w:rsid w:val="00943E9C"/>
    <w:rsid w:val="00953F4D"/>
    <w:rsid w:val="00960BB8"/>
    <w:rsid w:val="00964F5C"/>
    <w:rsid w:val="00973B57"/>
    <w:rsid w:val="009831C0"/>
    <w:rsid w:val="0099161D"/>
    <w:rsid w:val="009D7DCB"/>
    <w:rsid w:val="00A0389B"/>
    <w:rsid w:val="00A24C44"/>
    <w:rsid w:val="00A33A3C"/>
    <w:rsid w:val="00A446C9"/>
    <w:rsid w:val="00A60D9A"/>
    <w:rsid w:val="00A635D6"/>
    <w:rsid w:val="00A8553A"/>
    <w:rsid w:val="00A93AED"/>
    <w:rsid w:val="00AC1A4A"/>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A6F2C"/>
    <w:rsid w:val="00CF1871"/>
    <w:rsid w:val="00D019CE"/>
    <w:rsid w:val="00D1133E"/>
    <w:rsid w:val="00D17A34"/>
    <w:rsid w:val="00D26628"/>
    <w:rsid w:val="00D332B3"/>
    <w:rsid w:val="00D55207"/>
    <w:rsid w:val="00D64FC1"/>
    <w:rsid w:val="00D81801"/>
    <w:rsid w:val="00D92B45"/>
    <w:rsid w:val="00D95962"/>
    <w:rsid w:val="00DC389B"/>
    <w:rsid w:val="00DC4803"/>
    <w:rsid w:val="00DE2FEE"/>
    <w:rsid w:val="00E00BE9"/>
    <w:rsid w:val="00E22A11"/>
    <w:rsid w:val="00E31E5C"/>
    <w:rsid w:val="00E34451"/>
    <w:rsid w:val="00E44DD2"/>
    <w:rsid w:val="00E558C3"/>
    <w:rsid w:val="00E55927"/>
    <w:rsid w:val="00E6561D"/>
    <w:rsid w:val="00E912A6"/>
    <w:rsid w:val="00EA4844"/>
    <w:rsid w:val="00EA4D9C"/>
    <w:rsid w:val="00EA5A97"/>
    <w:rsid w:val="00EB75EE"/>
    <w:rsid w:val="00EE4C1D"/>
    <w:rsid w:val="00EF3685"/>
    <w:rsid w:val="00F04350"/>
    <w:rsid w:val="00F133DB"/>
    <w:rsid w:val="00F159EB"/>
    <w:rsid w:val="00F25BF4"/>
    <w:rsid w:val="00F267DB"/>
    <w:rsid w:val="00F36C56"/>
    <w:rsid w:val="00F46F6F"/>
    <w:rsid w:val="00F60608"/>
    <w:rsid w:val="00F62217"/>
    <w:rsid w:val="00F77608"/>
    <w:rsid w:val="00FB17A9"/>
    <w:rsid w:val="00FB1ACA"/>
    <w:rsid w:val="00FB527C"/>
    <w:rsid w:val="00FB6F75"/>
    <w:rsid w:val="00FC0EB3"/>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B17A9"/>
    <w:rPr>
      <w:rFonts w:ascii="Arial" w:hAnsi="Arial" w:cs="Arial"/>
      <w:sz w:val="22"/>
      <w:szCs w:val="22"/>
    </w:rPr>
  </w:style>
  <w:style w:type="paragraph" w:styleId="Heading1">
    <w:name w:val="heading 1"/>
    <w:basedOn w:val="Normal"/>
    <w:next w:val="BodyText"/>
    <w:link w:val="Heading1Char"/>
    <w:uiPriority w:val="99"/>
    <w:qFormat/>
    <w:rsid w:val="00605E43"/>
    <w:pPr>
      <w:keepNext/>
      <w:numPr>
        <w:numId w:val="14"/>
      </w:numPr>
      <w:spacing w:before="240" w:after="240"/>
      <w:outlineLvl w:val="0"/>
    </w:pPr>
    <w:rPr>
      <w:rFonts w:ascii="Calibri" w:hAnsi="Calibri" w:cs="Calibri"/>
      <w:b/>
      <w:bCs/>
      <w:caps/>
      <w:color w:val="0070C0"/>
      <w:kern w:val="28"/>
      <w:sz w:val="24"/>
      <w:szCs w:val="24"/>
      <w:lang w:val="fr-FR" w:eastAsia="de-DE"/>
    </w:rPr>
  </w:style>
  <w:style w:type="paragraph" w:styleId="Heading2">
    <w:name w:val="heading 2"/>
    <w:basedOn w:val="Normal"/>
    <w:next w:val="BodyText"/>
    <w:link w:val="Heading2Char"/>
    <w:uiPriority w:val="99"/>
    <w:qFormat/>
    <w:rsid w:val="00605E43"/>
    <w:pPr>
      <w:numPr>
        <w:ilvl w:val="1"/>
        <w:numId w:val="14"/>
      </w:numPr>
      <w:spacing w:before="120" w:after="120"/>
      <w:outlineLvl w:val="1"/>
    </w:pPr>
    <w:rPr>
      <w:rFonts w:ascii="Calibri" w:hAnsi="Calibri" w:cs="Calibri"/>
      <w:b/>
      <w:bCs/>
      <w:color w:val="0070C0"/>
      <w:sz w:val="24"/>
      <w:szCs w:val="24"/>
      <w:lang w:val="fr-FR" w:eastAsia="fr-FR"/>
    </w:rPr>
  </w:style>
  <w:style w:type="paragraph" w:styleId="Heading3">
    <w:name w:val="heading 3"/>
    <w:basedOn w:val="Normal"/>
    <w:next w:val="BodyText"/>
    <w:link w:val="Heading3Char"/>
    <w:uiPriority w:val="99"/>
    <w:qFormat/>
    <w:rsid w:val="00D332B3"/>
    <w:pPr>
      <w:keepNext/>
      <w:numPr>
        <w:ilvl w:val="2"/>
        <w:numId w:val="14"/>
      </w:numPr>
      <w:spacing w:before="120" w:after="120"/>
      <w:outlineLvl w:val="2"/>
    </w:pPr>
    <w:rPr>
      <w:sz w:val="20"/>
      <w:szCs w:val="20"/>
      <w:lang w:val="fr-FR" w:eastAsia="de-DE"/>
    </w:rPr>
  </w:style>
  <w:style w:type="paragraph" w:styleId="Heading4">
    <w:name w:val="heading 4"/>
    <w:basedOn w:val="Normal"/>
    <w:next w:val="BodyTextIndent"/>
    <w:link w:val="Heading4Char"/>
    <w:uiPriority w:val="99"/>
    <w:qFormat/>
    <w:rsid w:val="00D332B3"/>
    <w:pPr>
      <w:keepNext/>
      <w:numPr>
        <w:ilvl w:val="3"/>
        <w:numId w:val="14"/>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605E43"/>
    <w:rPr>
      <w:rFonts w:ascii="Calibri" w:hAnsi="Calibri" w:cs="Calibri"/>
      <w:b/>
      <w:bCs/>
      <w:caps/>
      <w:color w:val="0070C0"/>
      <w:kern w:val="28"/>
      <w:sz w:val="24"/>
      <w:szCs w:val="24"/>
      <w:lang w:val="fr-FR" w:eastAsia="de-DE"/>
    </w:rPr>
  </w:style>
  <w:style w:type="character" w:customStyle="1" w:styleId="Heading2Char">
    <w:name w:val="Heading 2 Char"/>
    <w:link w:val="Heading2"/>
    <w:uiPriority w:val="99"/>
    <w:locked/>
    <w:rsid w:val="00605E43"/>
    <w:rPr>
      <w:rFonts w:ascii="Calibri" w:hAnsi="Calibri" w:cs="Calibri"/>
      <w:b/>
      <w:bCs/>
      <w:color w:val="0070C0"/>
      <w:sz w:val="24"/>
      <w:szCs w:val="24"/>
      <w:lang w:val="fr-FR" w:eastAsia="fr-FR"/>
    </w:rPr>
  </w:style>
  <w:style w:type="character" w:customStyle="1" w:styleId="Heading3Char">
    <w:name w:val="Heading 3 Char"/>
    <w:link w:val="Heading3"/>
    <w:uiPriority w:val="99"/>
    <w:locked/>
    <w:rsid w:val="00E00BE9"/>
    <w:rPr>
      <w:rFonts w:ascii="Arial" w:hAnsi="Arial" w:cs="Arial"/>
      <w:lang w:val="fr-FR" w:eastAsia="de-DE"/>
    </w:rPr>
  </w:style>
  <w:style w:type="character" w:customStyle="1" w:styleId="Heading4Char">
    <w:name w:val="Heading 4 Char"/>
    <w:link w:val="Heading4"/>
    <w:uiPriority w:val="99"/>
    <w:locked/>
    <w:rsid w:val="00E00BE9"/>
    <w:rPr>
      <w:rFonts w:ascii="Arial" w:hAnsi="Arial" w:cs="Arial"/>
      <w:lang w:val="en-US" w:eastAsia="de-DE"/>
    </w:rPr>
  </w:style>
  <w:style w:type="character" w:customStyle="1" w:styleId="Heading5Char">
    <w:name w:val="Heading 5 Char"/>
    <w:link w:val="Heading5"/>
    <w:uiPriority w:val="99"/>
    <w:locked/>
    <w:rsid w:val="00D332B3"/>
    <w:rPr>
      <w:rFonts w:ascii="Arial" w:eastAsia="Times New Roman" w:hAnsi="Arial" w:cs="Arial"/>
      <w:lang w:val="de-DE" w:eastAsia="de-DE"/>
    </w:rPr>
  </w:style>
  <w:style w:type="character" w:customStyle="1" w:styleId="Heading6Char">
    <w:name w:val="Heading 6 Char"/>
    <w:link w:val="Heading6"/>
    <w:uiPriority w:val="99"/>
    <w:locked/>
    <w:rsid w:val="00E00BE9"/>
    <w:rPr>
      <w:rFonts w:ascii="Arial" w:hAnsi="Arial" w:cs="Arial"/>
      <w:lang w:val="de-DE" w:eastAsia="de-DE"/>
    </w:rPr>
  </w:style>
  <w:style w:type="character" w:customStyle="1" w:styleId="Heading7Char">
    <w:name w:val="Heading 7 Char"/>
    <w:link w:val="Heading7"/>
    <w:uiPriority w:val="99"/>
    <w:locked/>
    <w:rsid w:val="00E00BE9"/>
    <w:rPr>
      <w:rFonts w:ascii="Arial" w:hAnsi="Arial" w:cs="Arial"/>
      <w:lang w:val="de-DE" w:eastAsia="de-DE"/>
    </w:rPr>
  </w:style>
  <w:style w:type="character" w:customStyle="1" w:styleId="Heading8Char">
    <w:name w:val="Heading 8 Char"/>
    <w:link w:val="Heading8"/>
    <w:uiPriority w:val="99"/>
    <w:locked/>
    <w:rsid w:val="00E00BE9"/>
    <w:rPr>
      <w:rFonts w:ascii="Arial" w:hAnsi="Arial" w:cs="Arial"/>
      <w:lang w:val="de-DE" w:eastAsia="de-DE"/>
    </w:rPr>
  </w:style>
  <w:style w:type="character" w:customStyle="1" w:styleId="Heading9Char">
    <w:name w:val="Heading 9 Char"/>
    <w:link w:val="Heading9"/>
    <w:uiPriority w:val="99"/>
    <w:locked/>
    <w:rsid w:val="00E00BE9"/>
    <w:rPr>
      <w:rFonts w:ascii="Arial" w:hAnsi="Arial" w:cs="Arial"/>
      <w:lang w:val="de-DE" w:eastAsia="de-DE"/>
    </w:rPr>
  </w:style>
  <w:style w:type="paragraph" w:customStyle="1" w:styleId="Annex">
    <w:name w:val="Annex"/>
    <w:basedOn w:val="Heading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BodyText"/>
    <w:uiPriority w:val="99"/>
    <w:rsid w:val="008D1694"/>
    <w:pPr>
      <w:numPr>
        <w:numId w:val="3"/>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BodyText"/>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val="fr-FR" w:eastAsia="fr-FR"/>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val="fr-FR" w:eastAsia="fr-FR"/>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lang w:val="fr-FR"/>
    </w:rPr>
  </w:style>
  <w:style w:type="character" w:customStyle="1" w:styleId="HeaderChar">
    <w:name w:val="Header Char"/>
    <w:link w:val="Header"/>
    <w:uiPriority w:val="99"/>
    <w:locked/>
    <w:rsid w:val="005C566C"/>
    <w:rPr>
      <w:rFonts w:ascii="Arial"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val="fr-FR" w:eastAsia="fr-FR"/>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val="fr-FR"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fr-FR" w:eastAsia="fr-FR"/>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val="fr-FR" w:eastAsia="fr-FR"/>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fr-FR" w:eastAsia="fr-FR"/>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BodyText"/>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BodyText"/>
    <w:uiPriority w:val="99"/>
    <w:rsid w:val="008D1694"/>
    <w:pPr>
      <w:numPr>
        <w:ilvl w:val="3"/>
        <w:numId w:val="5"/>
      </w:numPr>
      <w:spacing w:before="120" w:after="120"/>
    </w:pPr>
  </w:style>
  <w:style w:type="paragraph" w:customStyle="1" w:styleId="equation">
    <w:name w:val="equation"/>
    <w:basedOn w:val="Normal"/>
    <w:next w:val="BodyText"/>
    <w:uiPriority w:val="99"/>
    <w:rsid w:val="008A50CC"/>
    <w:pPr>
      <w:keepNext/>
      <w:numPr>
        <w:numId w:val="13"/>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NoList"/>
    <w:uiPriority w:val="99"/>
    <w:semiHidden/>
    <w:unhideWhenUsed/>
    <w:locked/>
    <w:rsid w:val="00752EFC"/>
    <w:pPr>
      <w:numPr>
        <w:numId w:val="6"/>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1621</TotalTime>
  <Pages>2</Pages>
  <Words>723</Words>
  <Characters>4124</Characters>
  <Application>Microsoft Office Word</Application>
  <DocSecurity>0</DocSecurity>
  <Lines>34</Lines>
  <Paragraphs>9</Paragraphs>
  <ScaleCrop>false</ScaleCrop>
  <Company/>
  <LinksUpToDate>false</LinksUpToDate>
  <CharactersWithSpaces>4838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cp:keywords/>
  <dc:description/>
  <cp:lastModifiedBy>Wim</cp:lastModifiedBy>
  <cp:revision>29</cp:revision>
  <dcterms:created xsi:type="dcterms:W3CDTF">2016-01-07T12:05:00Z</dcterms:created>
  <dcterms:modified xsi:type="dcterms:W3CDTF">2016-10-05T14:57:00Z</dcterms:modified>
</cp:coreProperties>
</file>