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008B645A" w:rsidR="006B26E5" w:rsidRPr="00F55AD7" w:rsidRDefault="006B26E5" w:rsidP="006B26E5">
            <w:pPr>
              <w:pStyle w:val="Tabletext"/>
            </w:pPr>
            <w:ins w:id="4" w:author="Trainor, Neil" w:date="2021-12-06T20:20:00Z">
              <w:r w:rsidRPr="00ED6D43">
                <w:rPr>
                  <w:highlight w:val="yellow"/>
                </w:rPr>
                <w:t xml:space="preserve">Working paper </w:t>
              </w:r>
              <w:r w:rsidRPr="005D188E">
                <w:rPr>
                  <w:highlight w:val="yellow"/>
                </w:rPr>
                <w:t xml:space="preserve">edition </w:t>
              </w:r>
            </w:ins>
            <w:r w:rsidR="005D188E" w:rsidRPr="005D188E">
              <w:rPr>
                <w:highlight w:val="yellow"/>
              </w:rPr>
              <w:t>1.0</w:t>
            </w:r>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1BA78B7" w:rsidR="00BA0027" w:rsidRDefault="00BA0027" w:rsidP="00CC38EE">
      <w:pPr>
        <w:pStyle w:val="BodyText"/>
      </w:pPr>
      <w:r w:rsidRPr="00CC38EE">
        <w:t>MSC105 is scheduled to be held 20-29 April 2022.</w:t>
      </w:r>
    </w:p>
    <w:p w14:paraId="7C5125DE" w14:textId="552374A2" w:rsidR="006B1792" w:rsidRPr="006B1792" w:rsidRDefault="006B1792" w:rsidP="006B1792">
      <w:pPr>
        <w:spacing w:before="120" w:after="120" w:line="240" w:lineRule="auto"/>
        <w:rPr>
          <w:sz w:val="22"/>
        </w:rPr>
      </w:pPr>
      <w:r w:rsidRPr="006B1792">
        <w:rPr>
          <w:sz w:val="22"/>
        </w:rPr>
        <w:t>A draft road map for the development of a goal-based instrument for MASS will be considered at MSC105 (</w:t>
      </w:r>
      <w:r w:rsidRPr="006B1792">
        <w:rPr>
          <w:i/>
          <w:iCs/>
          <w:sz w:val="22"/>
        </w:rPr>
        <w:t>MSC 105/7</w:t>
      </w:r>
      <w:r w:rsidRPr="006B1792">
        <w:rPr>
          <w:sz w:val="22"/>
        </w:rPr>
        <w:t>).  Three key parts to the roadmap</w:t>
      </w:r>
      <w:r>
        <w:rPr>
          <w:sz w:val="22"/>
        </w:rPr>
        <w:t xml:space="preserve"> include</w:t>
      </w:r>
      <w:r w:rsidRPr="006B1792">
        <w:rPr>
          <w:sz w:val="22"/>
        </w:rPr>
        <w:t>:</w:t>
      </w:r>
    </w:p>
    <w:p w14:paraId="5026ABD9" w14:textId="77777777" w:rsidR="006B1792" w:rsidRDefault="006B1792" w:rsidP="006B1792">
      <w:pPr>
        <w:pStyle w:val="ListParagraph"/>
        <w:numPr>
          <w:ilvl w:val="0"/>
          <w:numId w:val="72"/>
        </w:numPr>
        <w:spacing w:before="120" w:after="120" w:line="240" w:lineRule="auto"/>
        <w:contextualSpacing w:val="0"/>
      </w:pPr>
      <w:r>
        <w:t>development of the content of the instrument(s), including consideration of common issues and framework of the MASS instrument(s) and development of provisions of MASS instrument(s);</w:t>
      </w:r>
    </w:p>
    <w:p w14:paraId="769B7F2B" w14:textId="77777777" w:rsidR="006B1792" w:rsidRDefault="006B1792" w:rsidP="006B1792">
      <w:pPr>
        <w:pStyle w:val="ListParagraph"/>
        <w:numPr>
          <w:ilvl w:val="0"/>
          <w:numId w:val="72"/>
        </w:numPr>
        <w:spacing w:before="120" w:after="120" w:line="240" w:lineRule="auto"/>
        <w:contextualSpacing w:val="0"/>
      </w:pPr>
      <w:r>
        <w:t>amendment process for the entry into force of the instrument(s) (if it is a mandatory instrument, amendments to existing conventions; if non-mandatory, through MSC circulars); and</w:t>
      </w:r>
    </w:p>
    <w:p w14:paraId="466A7E92" w14:textId="77777777" w:rsidR="006B1792" w:rsidRDefault="006B1792" w:rsidP="006B1792">
      <w:pPr>
        <w:pStyle w:val="ListParagraph"/>
        <w:numPr>
          <w:ilvl w:val="0"/>
          <w:numId w:val="72"/>
        </w:numPr>
        <w:spacing w:before="120" w:after="120" w:line="240" w:lineRule="auto"/>
        <w:contextualSpacing w:val="0"/>
      </w:pPr>
      <w:r>
        <w:t>amendments to existing conventions that are necessary for MASS (for example, COLREG to address issues identified, STCW to potentially address remote operator).</w:t>
      </w:r>
    </w:p>
    <w:p w14:paraId="7E867AE1" w14:textId="77777777" w:rsidR="006B1792" w:rsidRPr="006B1792" w:rsidRDefault="006B1792" w:rsidP="006B1792">
      <w:pPr>
        <w:spacing w:before="120" w:after="120" w:line="240" w:lineRule="auto"/>
        <w:rPr>
          <w:sz w:val="22"/>
        </w:rPr>
      </w:pPr>
      <w:r w:rsidRPr="006B1792">
        <w:rPr>
          <w:sz w:val="22"/>
        </w:rPr>
        <w:t>Key elements of the draft roadmap include:</w:t>
      </w:r>
    </w:p>
    <w:tbl>
      <w:tblPr>
        <w:tblStyle w:val="TableGrid"/>
        <w:tblW w:w="10201" w:type="dxa"/>
        <w:tblLook w:val="04A0" w:firstRow="1" w:lastRow="0" w:firstColumn="1" w:lastColumn="0" w:noHBand="0" w:noVBand="1"/>
      </w:tblPr>
      <w:tblGrid>
        <w:gridCol w:w="704"/>
        <w:gridCol w:w="1134"/>
        <w:gridCol w:w="8363"/>
      </w:tblGrid>
      <w:tr w:rsidR="00CC38EE" w:rsidRPr="006B1792" w14:paraId="333580F5" w14:textId="77777777" w:rsidTr="00CC38EE">
        <w:trPr>
          <w:tblHeader/>
        </w:trPr>
        <w:tc>
          <w:tcPr>
            <w:tcW w:w="1838" w:type="dxa"/>
            <w:gridSpan w:val="2"/>
            <w:tcBorders>
              <w:bottom w:val="nil"/>
            </w:tcBorders>
            <w:shd w:val="clear" w:color="auto" w:fill="FADBD1" w:themeFill="background2" w:themeFillTint="33"/>
          </w:tcPr>
          <w:p w14:paraId="3F6A8414" w14:textId="73038874" w:rsidR="00CC38EE" w:rsidRPr="00CC38EE" w:rsidRDefault="00CC38EE" w:rsidP="006B1792">
            <w:pPr>
              <w:spacing w:before="60" w:after="60" w:line="240" w:lineRule="auto"/>
              <w:rPr>
                <w:b/>
                <w:bCs/>
                <w:sz w:val="20"/>
                <w:szCs w:val="20"/>
              </w:rPr>
            </w:pPr>
            <w:r w:rsidRPr="00CC38EE">
              <w:rPr>
                <w:b/>
                <w:bCs/>
                <w:sz w:val="20"/>
                <w:szCs w:val="20"/>
              </w:rPr>
              <w:t>Date</w:t>
            </w:r>
          </w:p>
        </w:tc>
        <w:tc>
          <w:tcPr>
            <w:tcW w:w="8363" w:type="dxa"/>
            <w:shd w:val="clear" w:color="auto" w:fill="FADBD1" w:themeFill="background2" w:themeFillTint="33"/>
          </w:tcPr>
          <w:p w14:paraId="7459C708" w14:textId="4AFAC610" w:rsidR="00CC38EE" w:rsidRPr="00CC38EE" w:rsidRDefault="00CC38EE" w:rsidP="00CC38EE">
            <w:pPr>
              <w:spacing w:before="60" w:after="60" w:line="240" w:lineRule="auto"/>
              <w:rPr>
                <w:b/>
                <w:bCs/>
                <w:sz w:val="20"/>
                <w:szCs w:val="20"/>
              </w:rPr>
            </w:pPr>
            <w:r w:rsidRPr="00CC38EE">
              <w:rPr>
                <w:b/>
                <w:bCs/>
                <w:sz w:val="20"/>
                <w:szCs w:val="20"/>
              </w:rPr>
              <w:t>Items</w:t>
            </w:r>
          </w:p>
        </w:tc>
      </w:tr>
      <w:tr w:rsidR="006B1792" w:rsidRPr="006B1792" w14:paraId="57D3308D" w14:textId="77777777" w:rsidTr="006B1792">
        <w:tc>
          <w:tcPr>
            <w:tcW w:w="704" w:type="dxa"/>
            <w:tcBorders>
              <w:bottom w:val="nil"/>
            </w:tcBorders>
          </w:tcPr>
          <w:p w14:paraId="082513C3" w14:textId="77777777" w:rsidR="006B1792" w:rsidRPr="006B1792" w:rsidRDefault="006B1792" w:rsidP="006B1792">
            <w:pPr>
              <w:spacing w:before="60" w:after="60" w:line="240" w:lineRule="auto"/>
              <w:rPr>
                <w:b/>
                <w:bCs/>
                <w:sz w:val="20"/>
                <w:szCs w:val="20"/>
              </w:rPr>
            </w:pPr>
            <w:r w:rsidRPr="006B1792">
              <w:rPr>
                <w:b/>
                <w:bCs/>
                <w:sz w:val="20"/>
                <w:szCs w:val="20"/>
              </w:rPr>
              <w:t>2022</w:t>
            </w:r>
          </w:p>
        </w:tc>
        <w:tc>
          <w:tcPr>
            <w:tcW w:w="1134" w:type="dxa"/>
          </w:tcPr>
          <w:p w14:paraId="1173C36F" w14:textId="77777777" w:rsidR="006B1792" w:rsidRPr="006B1792" w:rsidRDefault="006B1792" w:rsidP="006B1792">
            <w:pPr>
              <w:spacing w:before="60" w:after="60" w:line="240" w:lineRule="auto"/>
              <w:rPr>
                <w:b/>
                <w:bCs/>
                <w:sz w:val="20"/>
                <w:szCs w:val="20"/>
              </w:rPr>
            </w:pPr>
            <w:r w:rsidRPr="006B1792">
              <w:rPr>
                <w:b/>
                <w:bCs/>
                <w:sz w:val="20"/>
                <w:szCs w:val="20"/>
              </w:rPr>
              <w:t>April</w:t>
            </w:r>
          </w:p>
        </w:tc>
        <w:tc>
          <w:tcPr>
            <w:tcW w:w="8363" w:type="dxa"/>
          </w:tcPr>
          <w:p w14:paraId="211D3784"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of key principles and common understanding</w:t>
            </w:r>
          </w:p>
          <w:p w14:paraId="78E793A6"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decision on a mandatory or non-mandatory Code as a first step, and whether non-mandatory instruments (recommendations/guidelines) should be developed1 in the interim</w:t>
            </w:r>
          </w:p>
          <w:p w14:paraId="67183932"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preliminary discussion on how the instrument would be given effect</w:t>
            </w:r>
          </w:p>
          <w:p w14:paraId="2757109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purpose and objectives for the new instrument</w:t>
            </w:r>
          </w:p>
          <w:p w14:paraId="5224AAD4"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lastRenderedPageBreak/>
              <w:t>common understanding of what is meant by goal-based instrument</w:t>
            </w:r>
          </w:p>
          <w:p w14:paraId="63BA5A6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finalization, and agreement of this roadmap</w:t>
            </w:r>
          </w:p>
          <w:p w14:paraId="7F2B4E5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Commence consideration of the common potential gaps and/or themes identified during the Regulatory Scoping Exercise (RSE) (MSC.1/Circ.1638, section 5) starting with the high priority items (MSC.1/Circ.1638,paragraphs 6.11.1 to 6.11.3).  These include but are not limited to:</w:t>
            </w:r>
          </w:p>
          <w:p w14:paraId="3B69B53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consideration, together with relevant documents, whether to amend the definition for MASS and degrees of autonomy (including the respective definition)</w:t>
            </w:r>
          </w:p>
          <w:p w14:paraId="615A4683"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 xml:space="preserve">meaning of the terms master, </w:t>
            </w:r>
            <w:proofErr w:type="gramStart"/>
            <w:r w:rsidRPr="006B1792">
              <w:rPr>
                <w:sz w:val="20"/>
                <w:szCs w:val="20"/>
              </w:rPr>
              <w:t>crew</w:t>
            </w:r>
            <w:proofErr w:type="gramEnd"/>
            <w:r w:rsidRPr="006B1792">
              <w:rPr>
                <w:sz w:val="20"/>
                <w:szCs w:val="20"/>
              </w:rPr>
              <w:t xml:space="preserve"> or responsible person</w:t>
            </w:r>
          </w:p>
          <w:p w14:paraId="5F5004A0"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remote control station/centre</w:t>
            </w:r>
          </w:p>
          <w:p w14:paraId="1BCE63B1"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determination of the remote operator as a seafarer</w:t>
            </w:r>
          </w:p>
        </w:tc>
      </w:tr>
      <w:tr w:rsidR="006B1792" w:rsidRPr="006B1792" w14:paraId="1B1D2671" w14:textId="77777777" w:rsidTr="006B1792">
        <w:tc>
          <w:tcPr>
            <w:tcW w:w="704" w:type="dxa"/>
            <w:tcBorders>
              <w:top w:val="nil"/>
            </w:tcBorders>
          </w:tcPr>
          <w:p w14:paraId="5BFA745A" w14:textId="77777777" w:rsidR="006B1792" w:rsidRPr="006B1792" w:rsidRDefault="006B1792" w:rsidP="006B1792">
            <w:pPr>
              <w:spacing w:before="60" w:after="60" w:line="240" w:lineRule="auto"/>
              <w:rPr>
                <w:b/>
                <w:bCs/>
                <w:sz w:val="20"/>
                <w:szCs w:val="20"/>
              </w:rPr>
            </w:pPr>
          </w:p>
        </w:tc>
        <w:tc>
          <w:tcPr>
            <w:tcW w:w="1134" w:type="dxa"/>
          </w:tcPr>
          <w:p w14:paraId="324E8673" w14:textId="77777777" w:rsidR="006B1792" w:rsidRPr="006B1792" w:rsidRDefault="006B1792" w:rsidP="006B1792">
            <w:pPr>
              <w:spacing w:before="60" w:after="60" w:line="240" w:lineRule="auto"/>
              <w:rPr>
                <w:b/>
                <w:bCs/>
                <w:sz w:val="20"/>
                <w:szCs w:val="20"/>
              </w:rPr>
            </w:pPr>
            <w:r w:rsidRPr="006B1792">
              <w:rPr>
                <w:b/>
                <w:bCs/>
                <w:sz w:val="20"/>
                <w:szCs w:val="20"/>
              </w:rPr>
              <w:t>November</w:t>
            </w:r>
          </w:p>
        </w:tc>
        <w:tc>
          <w:tcPr>
            <w:tcW w:w="8363" w:type="dxa"/>
          </w:tcPr>
          <w:p w14:paraId="0988B6E2"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consideration of the scope and framework of the mandatory and/or non-mandatory instrument to be developed</w:t>
            </w:r>
          </w:p>
          <w:p w14:paraId="5CDCAC0E"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development of provisions for a goal-based instrument</w:t>
            </w:r>
          </w:p>
          <w:p w14:paraId="18C17885"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procedures for amending existing IMO instruments</w:t>
            </w:r>
          </w:p>
          <w:p w14:paraId="51393B37"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need and timing to:</w:t>
            </w:r>
          </w:p>
          <w:p w14:paraId="1BA18FF7"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involve sub-committees</w:t>
            </w:r>
          </w:p>
          <w:p w14:paraId="201CA82F"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initiate overall coordination with other committees</w:t>
            </w:r>
          </w:p>
          <w:p w14:paraId="066CE86C"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liaise with other international organizations such as ILO, ISO, IHO, IALA, IMSO</w:t>
            </w:r>
          </w:p>
        </w:tc>
      </w:tr>
      <w:tr w:rsidR="006B1792" w:rsidRPr="006B1792" w14:paraId="554F4B37" w14:textId="77777777" w:rsidTr="006B1792">
        <w:tc>
          <w:tcPr>
            <w:tcW w:w="704" w:type="dxa"/>
            <w:tcBorders>
              <w:bottom w:val="single" w:sz="4" w:space="0" w:color="auto"/>
            </w:tcBorders>
          </w:tcPr>
          <w:p w14:paraId="48588129" w14:textId="77777777" w:rsidR="006B1792" w:rsidRPr="006B1792" w:rsidRDefault="006B1792" w:rsidP="006B1792">
            <w:pPr>
              <w:spacing w:before="60" w:after="60" w:line="240" w:lineRule="auto"/>
              <w:rPr>
                <w:b/>
                <w:bCs/>
                <w:sz w:val="20"/>
                <w:szCs w:val="20"/>
              </w:rPr>
            </w:pPr>
            <w:r w:rsidRPr="006B1792">
              <w:rPr>
                <w:b/>
                <w:bCs/>
                <w:sz w:val="20"/>
                <w:szCs w:val="20"/>
              </w:rPr>
              <w:t>2023</w:t>
            </w:r>
          </w:p>
        </w:tc>
        <w:tc>
          <w:tcPr>
            <w:tcW w:w="1134" w:type="dxa"/>
          </w:tcPr>
          <w:p w14:paraId="065FE002"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721659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 xml:space="preserve">Continue the development of the new instrument </w:t>
            </w:r>
          </w:p>
          <w:p w14:paraId="47437340"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continue to review the scope and framework</w:t>
            </w:r>
          </w:p>
          <w:p w14:paraId="01A941D5"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 xml:space="preserve">develop provisions for a goal-based instrument, </w:t>
            </w:r>
            <w:proofErr w:type="gramStart"/>
            <w:r w:rsidRPr="006B1792">
              <w:rPr>
                <w:sz w:val="20"/>
                <w:szCs w:val="20"/>
              </w:rPr>
              <w:t>taking into account</w:t>
            </w:r>
            <w:proofErr w:type="gramEnd"/>
            <w:r w:rsidRPr="006B1792">
              <w:rPr>
                <w:sz w:val="20"/>
                <w:szCs w:val="20"/>
              </w:rPr>
              <w:t xml:space="preserve"> the input from sub-committees, as appropriate</w:t>
            </w:r>
          </w:p>
        </w:tc>
      </w:tr>
      <w:tr w:rsidR="006B1792" w:rsidRPr="006B1792" w14:paraId="4EDB0968" w14:textId="77777777" w:rsidTr="006B1792">
        <w:tc>
          <w:tcPr>
            <w:tcW w:w="704" w:type="dxa"/>
            <w:tcBorders>
              <w:bottom w:val="nil"/>
            </w:tcBorders>
          </w:tcPr>
          <w:p w14:paraId="5E0557B8" w14:textId="77777777" w:rsidR="006B1792" w:rsidRPr="006B1792" w:rsidRDefault="006B1792" w:rsidP="006B1792">
            <w:pPr>
              <w:spacing w:before="60" w:after="60" w:line="240" w:lineRule="auto"/>
              <w:rPr>
                <w:b/>
                <w:bCs/>
                <w:sz w:val="20"/>
                <w:szCs w:val="20"/>
              </w:rPr>
            </w:pPr>
            <w:r w:rsidRPr="006B1792">
              <w:rPr>
                <w:b/>
                <w:bCs/>
                <w:sz w:val="20"/>
                <w:szCs w:val="20"/>
              </w:rPr>
              <w:t>2024</w:t>
            </w:r>
          </w:p>
        </w:tc>
        <w:tc>
          <w:tcPr>
            <w:tcW w:w="1134" w:type="dxa"/>
          </w:tcPr>
          <w:p w14:paraId="0E0311E0"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6D184A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Decision on the means to adopt the mandatory instrument (Code): implementation through one Convention or through several conventions.</w:t>
            </w:r>
          </w:p>
        </w:tc>
      </w:tr>
      <w:tr w:rsidR="006B1792" w:rsidRPr="006B1792" w14:paraId="2E62AD4E" w14:textId="77777777" w:rsidTr="006B1792">
        <w:tc>
          <w:tcPr>
            <w:tcW w:w="704" w:type="dxa"/>
            <w:tcBorders>
              <w:top w:val="nil"/>
            </w:tcBorders>
          </w:tcPr>
          <w:p w14:paraId="4404B598" w14:textId="77777777" w:rsidR="006B1792" w:rsidRPr="006B1792" w:rsidRDefault="006B1792" w:rsidP="006B1792">
            <w:pPr>
              <w:spacing w:before="60" w:after="60" w:line="240" w:lineRule="auto"/>
              <w:rPr>
                <w:b/>
                <w:bCs/>
                <w:sz w:val="20"/>
                <w:szCs w:val="20"/>
              </w:rPr>
            </w:pPr>
          </w:p>
        </w:tc>
        <w:tc>
          <w:tcPr>
            <w:tcW w:w="1134" w:type="dxa"/>
          </w:tcPr>
          <w:p w14:paraId="03B767C2" w14:textId="77777777" w:rsidR="006B1792" w:rsidRPr="006B1792" w:rsidRDefault="006B1792" w:rsidP="006B1792">
            <w:pPr>
              <w:spacing w:before="60" w:after="60" w:line="240" w:lineRule="auto"/>
              <w:rPr>
                <w:b/>
                <w:bCs/>
                <w:sz w:val="20"/>
                <w:szCs w:val="20"/>
              </w:rPr>
            </w:pPr>
            <w:r w:rsidRPr="006B1792">
              <w:rPr>
                <w:b/>
                <w:bCs/>
                <w:sz w:val="20"/>
                <w:szCs w:val="20"/>
              </w:rPr>
              <w:t>2nd half</w:t>
            </w:r>
          </w:p>
        </w:tc>
        <w:tc>
          <w:tcPr>
            <w:tcW w:w="8363" w:type="dxa"/>
          </w:tcPr>
          <w:p w14:paraId="2E14214B"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the new instrument</w:t>
            </w:r>
          </w:p>
          <w:p w14:paraId="554E0D57"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amendments to existing instruments necessary for the entry into force of the new instrument</w:t>
            </w:r>
          </w:p>
        </w:tc>
      </w:tr>
      <w:tr w:rsidR="006B1792" w:rsidRPr="006B1792" w14:paraId="22EA3071" w14:textId="77777777" w:rsidTr="006B1792">
        <w:tc>
          <w:tcPr>
            <w:tcW w:w="704" w:type="dxa"/>
          </w:tcPr>
          <w:p w14:paraId="1A9F55FD" w14:textId="77777777" w:rsidR="006B1792" w:rsidRPr="006B1792" w:rsidRDefault="006B1792" w:rsidP="006B1792">
            <w:pPr>
              <w:spacing w:before="60" w:after="60" w:line="240" w:lineRule="auto"/>
              <w:rPr>
                <w:b/>
                <w:bCs/>
                <w:sz w:val="20"/>
                <w:szCs w:val="20"/>
              </w:rPr>
            </w:pPr>
            <w:r w:rsidRPr="006B1792">
              <w:rPr>
                <w:b/>
                <w:bCs/>
                <w:sz w:val="20"/>
                <w:szCs w:val="20"/>
              </w:rPr>
              <w:t>2025</w:t>
            </w:r>
          </w:p>
        </w:tc>
        <w:tc>
          <w:tcPr>
            <w:tcW w:w="1134" w:type="dxa"/>
          </w:tcPr>
          <w:p w14:paraId="6DB29DC7"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785BD772"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of the new instrument</w:t>
            </w:r>
          </w:p>
          <w:p w14:paraId="76652FDD"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and/or final approval of amendments to existing instruments necessary for the entry into force of the new instrument</w:t>
            </w:r>
          </w:p>
        </w:tc>
      </w:tr>
      <w:tr w:rsidR="006B1792" w:rsidRPr="006B1792" w14:paraId="281089DD" w14:textId="77777777" w:rsidTr="006B1792">
        <w:tc>
          <w:tcPr>
            <w:tcW w:w="704" w:type="dxa"/>
          </w:tcPr>
          <w:p w14:paraId="0D511BF9" w14:textId="77777777" w:rsidR="006B1792" w:rsidRPr="006B1792" w:rsidRDefault="006B1792" w:rsidP="006B1792">
            <w:pPr>
              <w:spacing w:before="60" w:after="60" w:line="240" w:lineRule="auto"/>
              <w:rPr>
                <w:b/>
                <w:bCs/>
                <w:sz w:val="20"/>
                <w:szCs w:val="20"/>
              </w:rPr>
            </w:pPr>
            <w:r w:rsidRPr="006B1792">
              <w:rPr>
                <w:b/>
                <w:bCs/>
                <w:sz w:val="20"/>
                <w:szCs w:val="20"/>
              </w:rPr>
              <w:t>2028</w:t>
            </w:r>
          </w:p>
        </w:tc>
        <w:tc>
          <w:tcPr>
            <w:tcW w:w="1134" w:type="dxa"/>
          </w:tcPr>
          <w:p w14:paraId="7BAAC66B" w14:textId="77777777" w:rsidR="006B1792" w:rsidRPr="006B1792" w:rsidRDefault="006B1792" w:rsidP="006B1792">
            <w:pPr>
              <w:spacing w:before="60" w:after="60" w:line="240" w:lineRule="auto"/>
              <w:rPr>
                <w:b/>
                <w:bCs/>
                <w:sz w:val="20"/>
                <w:szCs w:val="20"/>
              </w:rPr>
            </w:pPr>
            <w:r w:rsidRPr="006B1792">
              <w:rPr>
                <w:b/>
                <w:bCs/>
                <w:sz w:val="20"/>
                <w:szCs w:val="20"/>
              </w:rPr>
              <w:t>January</w:t>
            </w:r>
          </w:p>
        </w:tc>
        <w:tc>
          <w:tcPr>
            <w:tcW w:w="8363" w:type="dxa"/>
          </w:tcPr>
          <w:p w14:paraId="618AE217" w14:textId="77777777" w:rsidR="006B1792" w:rsidRPr="006B1792" w:rsidRDefault="006B1792" w:rsidP="006B1792">
            <w:pPr>
              <w:spacing w:before="60" w:after="60" w:line="240" w:lineRule="auto"/>
              <w:rPr>
                <w:sz w:val="20"/>
                <w:szCs w:val="20"/>
              </w:rPr>
            </w:pPr>
            <w:r w:rsidRPr="006B1792">
              <w:rPr>
                <w:sz w:val="20"/>
                <w:szCs w:val="20"/>
              </w:rPr>
              <w:t>Entry into force date of 1 January 2028 means adoption on 1 July 2026 at the latest (first half of 2026)</w:t>
            </w:r>
          </w:p>
        </w:tc>
      </w:tr>
    </w:tbl>
    <w:p w14:paraId="1D85A047" w14:textId="77777777" w:rsidR="006B1792" w:rsidRDefault="006B1792" w:rsidP="006B1792"/>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Toc97705214"/>
      <w:bookmarkStart w:id="26" w:name="_Hlk97032182"/>
      <w:bookmarkEnd w:id="23"/>
      <w:r>
        <w:rPr>
          <w:snapToGrid w:val="0"/>
        </w:rPr>
        <w:t>Discussion Paper</w:t>
      </w:r>
      <w:bookmarkEnd w:id="25"/>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6"/>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Toc97705216"/>
      <w:bookmarkStart w:id="29" w:name="_Hlk94272861"/>
      <w:r w:rsidRPr="007B7BC3">
        <w:rPr>
          <w:snapToGrid w:val="0"/>
        </w:rPr>
        <w:t>Position Paper</w:t>
      </w:r>
      <w:bookmarkEnd w:id="28"/>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9"/>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Toc97705217"/>
      <w:bookmarkStart w:id="36" w:name="_Hlk97032830"/>
      <w:r>
        <w:rPr>
          <w:snapToGrid w:val="0"/>
        </w:rPr>
        <w:t>Fast tracking adoption of new/revised IALA guidance</w:t>
      </w:r>
      <w:bookmarkEnd w:id="35"/>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6"/>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Toc97705220"/>
      <w:bookmarkStart w:id="42"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1"/>
    </w:p>
    <w:bookmarkEnd w:id="42"/>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B8EDD" w14:textId="77777777" w:rsidR="00D14522" w:rsidRDefault="00D14522" w:rsidP="003274DB">
      <w:r>
        <w:separator/>
      </w:r>
    </w:p>
    <w:p w14:paraId="4BE47E8A" w14:textId="77777777" w:rsidR="00D14522" w:rsidRDefault="00D14522"/>
  </w:endnote>
  <w:endnote w:type="continuationSeparator" w:id="0">
    <w:p w14:paraId="39DFBABE" w14:textId="77777777" w:rsidR="00D14522" w:rsidRDefault="00D14522" w:rsidP="003274DB">
      <w:r>
        <w:continuationSeparator/>
      </w:r>
    </w:p>
    <w:p w14:paraId="570BD80C" w14:textId="77777777" w:rsidR="00D14522" w:rsidRDefault="00D14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360F079B"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1B606CCD" w14:textId="01E4180C" w:rsidR="00376BDD" w:rsidRPr="00C907DF"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Date:</w:t>
    </w:r>
    <w:r>
      <w:fldChar w:fldCharType="begin"/>
    </w:r>
    <w:r>
      <w:instrText xml:space="preserve"> STYLEREF "Document date" \* MERGEFORMAT </w:instrText>
    </w:r>
    <w:r>
      <w:fldChar w:fldCharType="separate"/>
    </w:r>
    <w:r w:rsidR="005D188E">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4FABB89A"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63904568" w14:textId="6CD1967E" w:rsidR="00376BDD" w:rsidRPr="00525922"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28B56FA2"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r>
      <w:rPr>
        <w:lang w:eastAsia="zh-CN"/>
      </w:rPr>
      <w:tab/>
    </w:r>
  </w:p>
  <w:p w14:paraId="69C56F9E" w14:textId="22FD3DE0" w:rsidR="00376BDD" w:rsidRPr="00C907DF" w:rsidRDefault="00D14522" w:rsidP="00760004">
    <w:pPr>
      <w:pStyle w:val="Footerportrait"/>
      <w:tabs>
        <w:tab w:val="clear" w:pos="10206"/>
        <w:tab w:val="right" w:pos="15704"/>
      </w:tabs>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w:t>
    </w:r>
    <w:r>
      <w:fldChar w:fldCharType="begin"/>
    </w:r>
    <w:r>
      <w:instrText xml:space="preserve"> STYLEREF "Document date" \* MERGEFORMAT </w:instrText>
    </w:r>
    <w:r>
      <w:fldChar w:fldCharType="separate"/>
    </w:r>
    <w:r w:rsidR="005D188E">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FB3F" w14:textId="77777777" w:rsidR="00D14522" w:rsidRDefault="00D14522" w:rsidP="003274DB">
      <w:r>
        <w:separator/>
      </w:r>
    </w:p>
    <w:p w14:paraId="7E8289FB" w14:textId="77777777" w:rsidR="00D14522" w:rsidRDefault="00D14522"/>
  </w:footnote>
  <w:footnote w:type="continuationSeparator" w:id="0">
    <w:p w14:paraId="6B9A3442" w14:textId="77777777" w:rsidR="00D14522" w:rsidRDefault="00D14522" w:rsidP="003274DB">
      <w:r>
        <w:continuationSeparator/>
      </w:r>
    </w:p>
    <w:p w14:paraId="15D3C82F" w14:textId="77777777" w:rsidR="00D14522" w:rsidRDefault="00D14522"/>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D14522">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D14522">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D14522"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D14522">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D14522"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D14522">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D14522">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D14522"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D14522">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D14522">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D14522"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D14522"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2"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3"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4"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6"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6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0"/>
  </w:num>
  <w:num w:numId="2">
    <w:abstractNumId w:val="69"/>
  </w:num>
  <w:num w:numId="3">
    <w:abstractNumId w:val="11"/>
  </w:num>
  <w:num w:numId="4">
    <w:abstractNumId w:val="41"/>
  </w:num>
  <w:num w:numId="5">
    <w:abstractNumId w:val="32"/>
  </w:num>
  <w:num w:numId="6">
    <w:abstractNumId w:val="14"/>
  </w:num>
  <w:num w:numId="7">
    <w:abstractNumId w:val="26"/>
  </w:num>
  <w:num w:numId="8">
    <w:abstractNumId w:val="45"/>
  </w:num>
  <w:num w:numId="9">
    <w:abstractNumId w:val="10"/>
  </w:num>
  <w:num w:numId="10">
    <w:abstractNumId w:val="23"/>
  </w:num>
  <w:num w:numId="11">
    <w:abstractNumId w:val="34"/>
  </w:num>
  <w:num w:numId="12">
    <w:abstractNumId w:val="7"/>
  </w:num>
  <w:num w:numId="13">
    <w:abstractNumId w:val="49"/>
  </w:num>
  <w:num w:numId="14">
    <w:abstractNumId w:val="0"/>
  </w:num>
  <w:num w:numId="15">
    <w:abstractNumId w:val="62"/>
  </w:num>
  <w:num w:numId="16">
    <w:abstractNumId w:val="66"/>
  </w:num>
  <w:num w:numId="17">
    <w:abstractNumId w:val="20"/>
  </w:num>
  <w:num w:numId="18">
    <w:abstractNumId w:val="17"/>
  </w:num>
  <w:num w:numId="19">
    <w:abstractNumId w:val="67"/>
  </w:num>
  <w:num w:numId="20">
    <w:abstractNumId w:val="44"/>
  </w:num>
  <w:num w:numId="21">
    <w:abstractNumId w:val="4"/>
  </w:num>
  <w:num w:numId="22">
    <w:abstractNumId w:val="16"/>
  </w:num>
  <w:num w:numId="23">
    <w:abstractNumId w:val="58"/>
  </w:num>
  <w:num w:numId="24">
    <w:abstractNumId w:val="15"/>
  </w:num>
  <w:num w:numId="25">
    <w:abstractNumId w:val="68"/>
  </w:num>
  <w:num w:numId="26">
    <w:abstractNumId w:val="1"/>
  </w:num>
  <w:num w:numId="27">
    <w:abstractNumId w:val="40"/>
  </w:num>
  <w:num w:numId="28">
    <w:abstractNumId w:val="29"/>
  </w:num>
  <w:num w:numId="29">
    <w:abstractNumId w:val="57"/>
  </w:num>
  <w:num w:numId="30">
    <w:abstractNumId w:val="60"/>
  </w:num>
  <w:num w:numId="31">
    <w:abstractNumId w:val="8"/>
  </w:num>
  <w:num w:numId="32">
    <w:abstractNumId w:val="70"/>
  </w:num>
  <w:num w:numId="33">
    <w:abstractNumId w:val="71"/>
  </w:num>
  <w:num w:numId="34">
    <w:abstractNumId w:val="38"/>
  </w:num>
  <w:num w:numId="35">
    <w:abstractNumId w:val="12"/>
  </w:num>
  <w:num w:numId="36">
    <w:abstractNumId w:val="6"/>
  </w:num>
  <w:num w:numId="37">
    <w:abstractNumId w:val="28"/>
  </w:num>
  <w:num w:numId="38">
    <w:abstractNumId w:val="46"/>
  </w:num>
  <w:num w:numId="39">
    <w:abstractNumId w:val="36"/>
  </w:num>
  <w:num w:numId="40">
    <w:abstractNumId w:val="31"/>
  </w:num>
  <w:num w:numId="41">
    <w:abstractNumId w:val="13"/>
  </w:num>
  <w:num w:numId="42">
    <w:abstractNumId w:val="27"/>
  </w:num>
  <w:num w:numId="43">
    <w:abstractNumId w:val="3"/>
  </w:num>
  <w:num w:numId="44">
    <w:abstractNumId w:val="48"/>
  </w:num>
  <w:num w:numId="45">
    <w:abstractNumId w:val="59"/>
  </w:num>
  <w:num w:numId="46">
    <w:abstractNumId w:val="39"/>
  </w:num>
  <w:num w:numId="47">
    <w:abstractNumId w:val="5"/>
  </w:num>
  <w:num w:numId="48">
    <w:abstractNumId w:val="25"/>
  </w:num>
  <w:num w:numId="49">
    <w:abstractNumId w:val="55"/>
  </w:num>
  <w:num w:numId="50">
    <w:abstractNumId w:val="47"/>
  </w:num>
  <w:num w:numId="51">
    <w:abstractNumId w:val="63"/>
  </w:num>
  <w:num w:numId="52">
    <w:abstractNumId w:val="64"/>
  </w:num>
  <w:num w:numId="53">
    <w:abstractNumId w:val="51"/>
  </w:num>
  <w:num w:numId="54">
    <w:abstractNumId w:val="37"/>
  </w:num>
  <w:num w:numId="55">
    <w:abstractNumId w:val="56"/>
  </w:num>
  <w:num w:numId="56">
    <w:abstractNumId w:val="24"/>
  </w:num>
  <w:num w:numId="57">
    <w:abstractNumId w:val="21"/>
  </w:num>
  <w:num w:numId="58">
    <w:abstractNumId w:val="61"/>
  </w:num>
  <w:num w:numId="59">
    <w:abstractNumId w:val="53"/>
  </w:num>
  <w:num w:numId="60">
    <w:abstractNumId w:val="52"/>
  </w:num>
  <w:num w:numId="61">
    <w:abstractNumId w:val="30"/>
  </w:num>
  <w:num w:numId="62">
    <w:abstractNumId w:val="9"/>
  </w:num>
  <w:num w:numId="63">
    <w:abstractNumId w:val="35"/>
  </w:num>
  <w:num w:numId="64">
    <w:abstractNumId w:val="42"/>
  </w:num>
  <w:num w:numId="65">
    <w:abstractNumId w:val="65"/>
  </w:num>
  <w:num w:numId="66">
    <w:abstractNumId w:val="33"/>
  </w:num>
  <w:num w:numId="67">
    <w:abstractNumId w:val="2"/>
  </w:num>
  <w:num w:numId="68">
    <w:abstractNumId w:val="54"/>
  </w:num>
  <w:num w:numId="69">
    <w:abstractNumId w:val="18"/>
  </w:num>
  <w:num w:numId="70">
    <w:abstractNumId w:val="22"/>
  </w:num>
  <w:num w:numId="71">
    <w:abstractNumId w:val="19"/>
  </w:num>
  <w:num w:numId="72">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032"/>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38EE"/>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522"/>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5412</Words>
  <Characters>30855</Characters>
  <Application>Microsoft Office Word</Application>
  <DocSecurity>0</DocSecurity>
  <Lines>257</Lines>
  <Paragraphs>72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2022-04-04T02:51:00Z</dcterms:created>
  <dcterms:modified xsi:type="dcterms:W3CDTF">2022-04-09T09:06:00Z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