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F9" w:rsidRDefault="0042715E" w:rsidP="00C66AA9">
      <w:pPr>
        <w:spacing w:before="120" w:after="120"/>
        <w:jc w:val="center"/>
        <w:rPr>
          <w:rFonts w:ascii="Calibri" w:hAnsi="Calibri"/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>
            <wp:extent cx="450850" cy="4381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F9" w:rsidRPr="008A1513" w:rsidRDefault="008242C2" w:rsidP="008F297C">
      <w:pPr>
        <w:spacing w:before="120" w:after="24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242C2">
        <w:rPr>
          <w:rFonts w:ascii="Calibri" w:hAnsi="Calibri"/>
          <w:b/>
          <w:color w:val="4F81BD"/>
          <w:sz w:val="32"/>
          <w:szCs w:val="32"/>
        </w:rPr>
        <w:t>7</w:t>
      </w:r>
      <w:r w:rsidR="00B978F9" w:rsidRPr="008A1513">
        <w:rPr>
          <w:rFonts w:ascii="Calibri" w:hAnsi="Calibri"/>
          <w:b/>
          <w:color w:val="4F81BD"/>
          <w:sz w:val="32"/>
          <w:szCs w:val="32"/>
          <w:vertAlign w:val="superscript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(ARM)</w:t>
      </w:r>
    </w:p>
    <w:p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043126">
        <w:rPr>
          <w:rFonts w:ascii="Calibri" w:hAnsi="Calibri"/>
        </w:rPr>
        <w:t>7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will be held from </w:t>
      </w:r>
      <w:r w:rsidR="00043126">
        <w:rPr>
          <w:rFonts w:ascii="Calibri" w:hAnsi="Calibri"/>
        </w:rPr>
        <w:t>23</w:t>
      </w:r>
      <w:r w:rsidRPr="00D853FE">
        <w:rPr>
          <w:rFonts w:ascii="Calibri" w:hAnsi="Calibri"/>
        </w:rPr>
        <w:t xml:space="preserve"> – 2</w:t>
      </w:r>
      <w:r w:rsidR="00043126">
        <w:rPr>
          <w:rFonts w:ascii="Calibri" w:hAnsi="Calibri"/>
        </w:rPr>
        <w:t>7</w:t>
      </w:r>
      <w:r w:rsidRPr="00D853FE">
        <w:rPr>
          <w:rFonts w:ascii="Calibri" w:hAnsi="Calibri"/>
        </w:rPr>
        <w:t xml:space="preserve"> </w:t>
      </w:r>
      <w:r w:rsidR="00043126">
        <w:rPr>
          <w:rFonts w:ascii="Calibri" w:hAnsi="Calibri"/>
        </w:rPr>
        <w:t>October</w:t>
      </w:r>
      <w:r w:rsidRPr="00D853FE">
        <w:rPr>
          <w:rFonts w:ascii="Calibri" w:hAnsi="Calibri"/>
        </w:rPr>
        <w:t xml:space="preserve"> 201</w:t>
      </w:r>
      <w:r w:rsidR="00F44780">
        <w:rPr>
          <w:rFonts w:ascii="Calibri" w:hAnsi="Calibri"/>
        </w:rPr>
        <w:t>7</w:t>
      </w:r>
      <w:r w:rsidRPr="00D853FE">
        <w:rPr>
          <w:rFonts w:ascii="Calibri" w:hAnsi="Calibri"/>
        </w:rPr>
        <w:t xml:space="preserve">, at </w:t>
      </w:r>
      <w:r w:rsidR="00043126">
        <w:rPr>
          <w:rFonts w:ascii="Calibri" w:hAnsi="Calibri"/>
          <w:bCs/>
          <w:lang w:val="tr-TR"/>
        </w:rPr>
        <w:t>IALA, St. Germain en Laye, France</w:t>
      </w:r>
      <w:r w:rsidRPr="00D853FE">
        <w:rPr>
          <w:rFonts w:ascii="Calibri" w:hAnsi="Calibri"/>
        </w:rPr>
        <w:t>.</w:t>
      </w:r>
    </w:p>
    <w:p w:rsidR="00043126" w:rsidRPr="00A5763C" w:rsidRDefault="00043126" w:rsidP="00043126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>
        <w:rPr>
          <w:rFonts w:ascii="Calibri" w:hAnsi="Calibri"/>
        </w:rPr>
        <w:t>23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October</w:t>
      </w:r>
      <w:r w:rsidRPr="00A5763C">
        <w:rPr>
          <w:rFonts w:ascii="Calibri" w:hAnsi="Calibri"/>
        </w:rPr>
        <w:t xml:space="preserve"> 201</w:t>
      </w:r>
      <w:r>
        <w:rPr>
          <w:rFonts w:ascii="Calibri" w:hAnsi="Calibri"/>
        </w:rPr>
        <w:t>7</w:t>
      </w:r>
      <w:r w:rsidRPr="00A5763C">
        <w:rPr>
          <w:rFonts w:ascii="Calibri" w:hAnsi="Calibri"/>
        </w:rPr>
        <w:t>, and the closing plenary will end at approximately 1300 on Friday</w:t>
      </w:r>
      <w:r>
        <w:rPr>
          <w:rFonts w:ascii="Calibri" w:hAnsi="Calibri"/>
        </w:rPr>
        <w:t xml:space="preserve"> 27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October</w:t>
      </w:r>
      <w:r w:rsidRPr="00A5763C">
        <w:rPr>
          <w:rFonts w:ascii="Calibri" w:hAnsi="Calibri"/>
        </w:rPr>
        <w:t>.</w:t>
      </w:r>
    </w:p>
    <w:p w:rsidR="00B978F9" w:rsidRPr="00D853FE" w:rsidRDefault="0004312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>
        <w:rPr>
          <w:rFonts w:ascii="Calibri" w:hAnsi="Calibri"/>
        </w:rPr>
        <w:t>23 October</w:t>
      </w:r>
      <w:r w:rsidRPr="00A5763C">
        <w:rPr>
          <w:rFonts w:ascii="Calibri" w:hAnsi="Calibri"/>
        </w:rPr>
        <w:t>.</w:t>
      </w:r>
    </w:p>
    <w:p w:rsidR="00B978F9" w:rsidRPr="008A1513" w:rsidRDefault="00B978F9" w:rsidP="000F23DA">
      <w:pPr>
        <w:spacing w:before="240" w:after="24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:rsidR="00B978F9" w:rsidRPr="00D853FE" w:rsidRDefault="00B978F9" w:rsidP="00C8604F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Introduction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Administration and Safety Briefing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Approval of agenda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Apologies and introductions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Programme for the week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action items from last meeting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Review of action items from ARM</w:t>
      </w:r>
      <w:r w:rsidR="00043126">
        <w:rPr>
          <w:rFonts w:ascii="Calibri" w:hAnsi="Calibri"/>
        </w:rPr>
        <w:t>6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D853FE">
        <w:rPr>
          <w:rFonts w:ascii="Calibri" w:hAnsi="Calibri"/>
        </w:rPr>
        <w:t>Final Report from ARM</w:t>
      </w:r>
      <w:r w:rsidR="00043126">
        <w:rPr>
          <w:rFonts w:ascii="Calibri" w:hAnsi="Calibri"/>
        </w:rPr>
        <w:t>6</w:t>
      </w:r>
      <w:r w:rsidRPr="00D853FE">
        <w:rPr>
          <w:rFonts w:ascii="Calibri" w:hAnsi="Calibri"/>
        </w:rPr>
        <w:t xml:space="preserve"> - for reference</w:t>
      </w:r>
    </w:p>
    <w:p w:rsidR="00B978F9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:rsidR="00F44780" w:rsidRDefault="00F44780" w:rsidP="00F44780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IALA Standards</w:t>
      </w:r>
    </w:p>
    <w:p w:rsidR="00F44780" w:rsidRDefault="00F44780" w:rsidP="00F44780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ARM Committee related input</w:t>
      </w:r>
    </w:p>
    <w:p w:rsidR="00F44780" w:rsidRPr="00D853FE" w:rsidRDefault="00F44780" w:rsidP="00F44780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from other Committees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Reports from other bodies:</w:t>
      </w:r>
    </w:p>
    <w:p w:rsidR="00043126" w:rsidRPr="00A5763C" w:rsidRDefault="00043126" w:rsidP="0004312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IALA Council – 6</w:t>
      </w:r>
      <w:r>
        <w:rPr>
          <w:rFonts w:ascii="Calibri" w:hAnsi="Calibri"/>
        </w:rPr>
        <w:t>4</w:t>
      </w:r>
      <w:r w:rsidRPr="00344A7D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</w:t>
      </w:r>
      <w:r w:rsidRPr="00A5763C">
        <w:rPr>
          <w:rFonts w:ascii="Calibri" w:hAnsi="Calibri"/>
        </w:rPr>
        <w:t xml:space="preserve">Session, </w:t>
      </w:r>
      <w:r>
        <w:rPr>
          <w:rFonts w:ascii="Calibri" w:hAnsi="Calibri"/>
        </w:rPr>
        <w:t>June</w:t>
      </w:r>
      <w:r w:rsidRPr="00A5763C">
        <w:rPr>
          <w:rFonts w:ascii="Calibri" w:hAnsi="Calibri"/>
        </w:rPr>
        <w:t xml:space="preserve"> 201</w:t>
      </w:r>
      <w:r>
        <w:rPr>
          <w:rFonts w:ascii="Calibri" w:hAnsi="Calibri"/>
        </w:rPr>
        <w:t>7</w:t>
      </w:r>
    </w:p>
    <w:p w:rsidR="00043126" w:rsidRPr="00844CD2" w:rsidRDefault="00043126" w:rsidP="0004312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Policy Advisory Panel</w:t>
      </w:r>
      <w:r w:rsidR="000C55F8">
        <w:rPr>
          <w:rFonts w:ascii="Calibri" w:hAnsi="Calibri"/>
        </w:rPr>
        <w:t xml:space="preserve"> (PAP) &amp; Legal Advisory Panel (LAP)</w:t>
      </w:r>
    </w:p>
    <w:p w:rsidR="00043126" w:rsidRDefault="00043126" w:rsidP="0004312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IMO</w:t>
      </w:r>
    </w:p>
    <w:p w:rsidR="00043126" w:rsidRDefault="00043126" w:rsidP="0004312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ITU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Reports from rapporteurs</w:t>
      </w:r>
    </w:p>
    <w:p w:rsidR="00B978F9" w:rsidRDefault="00B978F9" w:rsidP="00D853FE">
      <w:pPr>
        <w:pStyle w:val="Agenda1"/>
        <w:numPr>
          <w:ilvl w:val="0"/>
          <w:numId w:val="21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e-Navigation shore side </w:t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</w:p>
    <w:p w:rsidR="00960F7F" w:rsidRPr="00D853FE" w:rsidRDefault="00960F7F" w:rsidP="00D853FE">
      <w:pPr>
        <w:pStyle w:val="Agenda1"/>
        <w:numPr>
          <w:ilvl w:val="0"/>
          <w:numId w:val="21"/>
        </w:numPr>
        <w:rPr>
          <w:rFonts w:ascii="Calibri" w:hAnsi="Calibri"/>
        </w:rPr>
      </w:pPr>
      <w:r>
        <w:rPr>
          <w:rFonts w:ascii="Calibri" w:hAnsi="Calibri"/>
        </w:rPr>
        <w:t>e-Navigation shipborne side</w:t>
      </w:r>
    </w:p>
    <w:p w:rsidR="00B978F9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06CD0">
        <w:rPr>
          <w:rFonts w:ascii="Calibri" w:hAnsi="Calibri"/>
        </w:rPr>
        <w:t>Presentations (15 minutes)</w:t>
      </w:r>
    </w:p>
    <w:p w:rsidR="00043126" w:rsidRDefault="00055F19" w:rsidP="00055F19">
      <w:pPr>
        <w:pStyle w:val="Agenda1"/>
        <w:numPr>
          <w:ilvl w:val="0"/>
          <w:numId w:val="29"/>
        </w:numPr>
        <w:jc w:val="left"/>
        <w:rPr>
          <w:rFonts w:ascii="Calibri" w:hAnsi="Calibri"/>
        </w:rPr>
      </w:pPr>
      <w:r>
        <w:rPr>
          <w:rFonts w:ascii="Calibri" w:hAnsi="Calibri"/>
        </w:rPr>
        <w:t>Characters for Mobile AtoN (</w:t>
      </w:r>
      <w:proofErr w:type="spellStart"/>
      <w:r>
        <w:rPr>
          <w:rFonts w:ascii="Calibri" w:hAnsi="Calibri"/>
        </w:rPr>
        <w:t>MAtoN</w:t>
      </w:r>
      <w:proofErr w:type="spellEnd"/>
      <w:r>
        <w:rPr>
          <w:rFonts w:ascii="Calibri" w:hAnsi="Calibri"/>
        </w:rPr>
        <w:t>)</w:t>
      </w:r>
      <w:r>
        <w:rPr>
          <w:rFonts w:ascii="Calibri" w:hAnsi="Calibri"/>
        </w:rPr>
        <w:tab/>
      </w:r>
      <w:r w:rsidR="00D02FC2">
        <w:rPr>
          <w:rFonts w:ascii="Calibri" w:hAnsi="Calibri"/>
        </w:rPr>
        <w:t>(30 min)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Martin </w:t>
      </w:r>
      <w:proofErr w:type="spellStart"/>
      <w:r>
        <w:rPr>
          <w:rFonts w:ascii="Calibri" w:hAnsi="Calibri"/>
        </w:rPr>
        <w:t>Bransby</w:t>
      </w:r>
      <w:proofErr w:type="spellEnd"/>
    </w:p>
    <w:p w:rsidR="0056456D" w:rsidRDefault="0056456D" w:rsidP="00055F19">
      <w:pPr>
        <w:pStyle w:val="Agenda1"/>
        <w:numPr>
          <w:ilvl w:val="0"/>
          <w:numId w:val="29"/>
        </w:numPr>
        <w:jc w:val="left"/>
        <w:rPr>
          <w:rFonts w:ascii="Calibri" w:hAnsi="Calibri"/>
        </w:rPr>
      </w:pPr>
      <w:r>
        <w:rPr>
          <w:rFonts w:ascii="Calibri" w:hAnsi="Calibri"/>
        </w:rPr>
        <w:t>Drifting Wreckage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Hee</w:t>
      </w:r>
      <w:proofErr w:type="spellEnd"/>
      <w:r>
        <w:rPr>
          <w:rFonts w:ascii="Calibri" w:hAnsi="Calibri"/>
        </w:rPr>
        <w:t xml:space="preserve"> Tae Kim</w:t>
      </w:r>
    </w:p>
    <w:p w:rsidR="0056456D" w:rsidRDefault="0056456D" w:rsidP="00055F19">
      <w:pPr>
        <w:pStyle w:val="Agenda1"/>
        <w:numPr>
          <w:ilvl w:val="0"/>
          <w:numId w:val="29"/>
        </w:numPr>
        <w:jc w:val="left"/>
        <w:rPr>
          <w:rFonts w:ascii="Calibri" w:hAnsi="Calibri"/>
        </w:rPr>
      </w:pPr>
      <w:r>
        <w:rPr>
          <w:rFonts w:ascii="Calibri" w:hAnsi="Calibri"/>
        </w:rPr>
        <w:t>Guidance on breakwater and submerged breakwaters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JunKi</w:t>
      </w:r>
      <w:proofErr w:type="spellEnd"/>
      <w:r>
        <w:rPr>
          <w:rFonts w:ascii="Calibri" w:hAnsi="Calibri"/>
        </w:rPr>
        <w:t xml:space="preserve"> Bae</w:t>
      </w:r>
    </w:p>
    <w:p w:rsidR="00043126" w:rsidRDefault="00043126" w:rsidP="00043126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043126" w:rsidRDefault="00043126" w:rsidP="00043126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043126" w:rsidRDefault="00043126" w:rsidP="00043126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043126" w:rsidRDefault="00043126" w:rsidP="00043126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B978F9" w:rsidRDefault="00B978F9" w:rsidP="005F22B9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B06CD0">
        <w:rPr>
          <w:rFonts w:ascii="Calibri" w:hAnsi="Calibri"/>
        </w:rPr>
        <w:t>Establish Working Groups</w:t>
      </w:r>
    </w:p>
    <w:p w:rsidR="00B978F9" w:rsidRPr="00B06CD0" w:rsidRDefault="00B978F9" w:rsidP="00301265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06CD0">
        <w:rPr>
          <w:rFonts w:ascii="Calibri" w:hAnsi="Calibri"/>
        </w:rPr>
        <w:t xml:space="preserve">WG1 - Navigational requirements 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marking of wrecks as defined by the Nairobi Wreck Convention (Task 1.1.3)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use of mobile AtoN (Task 1.1.6)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Consider guidance for authorities on the use of </w:t>
      </w:r>
      <w:proofErr w:type="spellStart"/>
      <w:r>
        <w:rPr>
          <w:rFonts w:ascii="Calibri" w:hAnsi="Calibri"/>
        </w:rPr>
        <w:t>enavigation</w:t>
      </w:r>
      <w:proofErr w:type="spellEnd"/>
      <w:r>
        <w:rPr>
          <w:rFonts w:ascii="Calibri" w:hAnsi="Calibri"/>
        </w:rPr>
        <w:t xml:space="preserve"> services (Task 2.1.3 shared with WG2)</w:t>
      </w:r>
    </w:p>
    <w:p w:rsidR="00B978F9" w:rsidRPr="00B06CD0" w:rsidRDefault="00B978F9" w:rsidP="00301265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06CD0">
        <w:rPr>
          <w:rFonts w:ascii="Calibri" w:hAnsi="Calibri"/>
        </w:rPr>
        <w:t>WG2 - Continu</w:t>
      </w:r>
      <w:r>
        <w:rPr>
          <w:rFonts w:ascii="Calibri" w:hAnsi="Calibri"/>
        </w:rPr>
        <w:t>ous</w:t>
      </w:r>
      <w:r w:rsidRPr="00B06CD0">
        <w:rPr>
          <w:rFonts w:ascii="Calibri" w:hAnsi="Calibri"/>
        </w:rPr>
        <w:t xml:space="preserve"> improvement</w:t>
      </w:r>
    </w:p>
    <w:p w:rsidR="00B978F9" w:rsidRPr="002C30C6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Develop guidance on the management of AtoN in environmentally protected areas (Task 2.5.1)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Coordinate a limited review of the IALA NAVGUIDE to incorporate amended recommendations and guidelines and other necessary update via </w:t>
      </w:r>
      <w:r w:rsidRPr="00B06CD0">
        <w:rPr>
          <w:rFonts w:ascii="Calibri" w:hAnsi="Calibri"/>
        </w:rPr>
        <w:t>IALA Wiki (Task 4.2.</w:t>
      </w:r>
      <w:r>
        <w:rPr>
          <w:rFonts w:ascii="Calibri" w:hAnsi="Calibri"/>
        </w:rPr>
        <w:t>2</w:t>
      </w:r>
      <w:r w:rsidRPr="00B06CD0">
        <w:rPr>
          <w:rFonts w:ascii="Calibri" w:hAnsi="Calibri"/>
        </w:rPr>
        <w:t>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Amend IALA Dictionary as appropriate including harmonisation of definition of AtoN (Task 4.2.</w:t>
      </w:r>
      <w:r>
        <w:rPr>
          <w:rFonts w:ascii="Calibri" w:hAnsi="Calibri"/>
        </w:rPr>
        <w:t>5)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Populate S-100 as requested by the ENAV Committee (Task 1.2.1)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Rewrite ARM documentation to meet new document structure in conjunction with IALA assistance (Task 4.2.7 shared with WG1)</w:t>
      </w:r>
    </w:p>
    <w:p w:rsidR="00B978F9" w:rsidRDefault="00B978F9" w:rsidP="00301265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WG3 - Risk management</w:t>
      </w:r>
    </w:p>
    <w:p w:rsidR="00B978F9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Oversee development of Risk Management Toolbox (Task 3.4.1)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Develop guidance on </w:t>
      </w:r>
      <w:r w:rsidR="00293C98">
        <w:rPr>
          <w:rFonts w:ascii="Calibri" w:hAnsi="Calibri"/>
        </w:rPr>
        <w:t>ISTAR (</w:t>
      </w:r>
      <w:r>
        <w:rPr>
          <w:rFonts w:ascii="Calibri" w:hAnsi="Calibri"/>
        </w:rPr>
        <w:t>SQUART</w:t>
      </w:r>
      <w:r w:rsidR="00293C98">
        <w:rPr>
          <w:rFonts w:ascii="Calibri" w:hAnsi="Calibri"/>
        </w:rPr>
        <w:t>)</w:t>
      </w:r>
      <w:r>
        <w:rPr>
          <w:rFonts w:ascii="Calibri" w:hAnsi="Calibri"/>
        </w:rPr>
        <w:t xml:space="preserve"> (Task 3.4.3)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Training / workshop / seminar in association with WWA (Task 3.4.5)</w:t>
      </w:r>
    </w:p>
    <w:p w:rsidR="00FA32E2" w:rsidRPr="00DB5AA4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IALANET (Task 3.4.6)</w:t>
      </w:r>
    </w:p>
    <w:p w:rsidR="00960F7F" w:rsidRDefault="00960F7F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Work Programme</w:t>
      </w:r>
    </w:p>
    <w:p w:rsidR="00B978F9" w:rsidRDefault="00B978F9" w:rsidP="00960F7F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 w:rsidRPr="00D853FE">
        <w:rPr>
          <w:rFonts w:ascii="Calibri" w:hAnsi="Calibri"/>
        </w:rPr>
        <w:t>Current Work Programme (2014 – 2018)</w:t>
      </w:r>
    </w:p>
    <w:p w:rsidR="00960F7F" w:rsidRPr="00D853FE" w:rsidRDefault="00960F7F" w:rsidP="00960F7F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Future Work Programme (2018 -2022)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D853FE">
        <w:rPr>
          <w:rFonts w:ascii="Calibri" w:hAnsi="Calibri"/>
        </w:rPr>
        <w:t>Output papers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D853FE">
        <w:rPr>
          <w:rFonts w:ascii="Calibri" w:hAnsi="Calibri"/>
        </w:rPr>
        <w:t>Working papers</w:t>
      </w:r>
    </w:p>
    <w:p w:rsidR="00B978F9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Any Other Business</w:t>
      </w:r>
    </w:p>
    <w:p w:rsidR="00FD7D87" w:rsidRPr="00D853FE" w:rsidRDefault="00FD7D87" w:rsidP="00FD7D8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19</w:t>
      </w:r>
      <w:r w:rsidRPr="00FD7D87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IALA Conference 2018 presentation</w:t>
      </w:r>
      <w:bookmarkStart w:id="1" w:name="_GoBack"/>
      <w:bookmarkEnd w:id="1"/>
    </w:p>
    <w:p w:rsidR="00B978F9" w:rsidRPr="00D853FE" w:rsidRDefault="00B978F9" w:rsidP="0022327E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:rsidR="00B978F9" w:rsidRPr="00D853FE" w:rsidRDefault="00B978F9" w:rsidP="0022327E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:rsidR="00B978F9" w:rsidRDefault="00B978F9" w:rsidP="00CF44B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p w:rsidR="00750A18" w:rsidRDefault="00750A18" w:rsidP="00043126">
      <w:pPr>
        <w:pStyle w:val="Agenda1"/>
        <w:tabs>
          <w:tab w:val="clear" w:pos="567"/>
        </w:tabs>
        <w:jc w:val="center"/>
        <w:rPr>
          <w:noProof/>
          <w:lang w:eastAsia="en-GB"/>
        </w:rPr>
      </w:pPr>
    </w:p>
    <w:p w:rsidR="00750A18" w:rsidRDefault="00750A18" w:rsidP="00043126">
      <w:pPr>
        <w:pStyle w:val="Agenda1"/>
        <w:tabs>
          <w:tab w:val="clear" w:pos="567"/>
        </w:tabs>
        <w:jc w:val="center"/>
        <w:rPr>
          <w:noProof/>
          <w:lang w:eastAsia="en-GB"/>
        </w:rPr>
      </w:pPr>
    </w:p>
    <w:p w:rsidR="00043126" w:rsidRDefault="00043126" w:rsidP="00043126">
      <w:pPr>
        <w:pStyle w:val="Agenda1"/>
        <w:tabs>
          <w:tab w:val="clear" w:pos="567"/>
        </w:tabs>
        <w:jc w:val="center"/>
        <w:rPr>
          <w:rFonts w:ascii="Calibri" w:hAnsi="Calibri"/>
        </w:rPr>
      </w:pPr>
      <w:r>
        <w:rPr>
          <w:noProof/>
          <w:lang w:val="nl-NL" w:eastAsia="nl-NL"/>
        </w:rPr>
        <w:drawing>
          <wp:inline distT="0" distB="0" distL="0" distR="0" wp14:anchorId="52CAC99C" wp14:editId="48A5359F">
            <wp:extent cx="1461752" cy="307472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476" cy="30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3126" w:rsidSect="00FA6D5E">
      <w:headerReference w:type="default" r:id="rId11"/>
      <w:footerReference w:type="default" r:id="rId12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BB1" w:rsidRDefault="00E26BB1" w:rsidP="000F23DA">
      <w:r>
        <w:separator/>
      </w:r>
    </w:p>
  </w:endnote>
  <w:endnote w:type="continuationSeparator" w:id="0">
    <w:p w:rsidR="00E26BB1" w:rsidRDefault="00E26BB1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F9" w:rsidRPr="00D853FE" w:rsidRDefault="00B978F9" w:rsidP="00B34B52">
    <w:pPr>
      <w:pStyle w:val="Footer"/>
      <w:spacing w:before="120"/>
      <w:rPr>
        <w:rFonts w:ascii="Calibri" w:hAnsi="Calibri"/>
      </w:rPr>
    </w:pPr>
    <w:r w:rsidRPr="00D853FE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8242C2">
      <w:rPr>
        <w:rFonts w:ascii="Calibri" w:hAnsi="Calibri"/>
      </w:rPr>
      <w:t>25</w:t>
    </w:r>
    <w:r w:rsidR="00F44780">
      <w:rPr>
        <w:rFonts w:ascii="Calibri" w:hAnsi="Calibri"/>
      </w:rPr>
      <w:t xml:space="preserve"> </w:t>
    </w:r>
    <w:r w:rsidR="008242C2">
      <w:rPr>
        <w:rFonts w:ascii="Calibri" w:hAnsi="Calibri"/>
      </w:rPr>
      <w:t>September</w:t>
    </w:r>
    <w:r w:rsidRPr="00D853FE">
      <w:rPr>
        <w:rFonts w:ascii="Calibri" w:hAnsi="Calibri"/>
      </w:rPr>
      <w:t xml:space="preserve"> 201</w:t>
    </w:r>
    <w:r w:rsidR="00F44780">
      <w:rPr>
        <w:rFonts w:ascii="Calibri" w:hAnsi="Calibri"/>
      </w:rPr>
      <w:t>7</w:t>
    </w:r>
    <w:r w:rsidRPr="00D853FE">
      <w:rPr>
        <w:rFonts w:ascii="Calibri" w:hAnsi="Calibri"/>
      </w:rPr>
      <w:t>, indicating the relevant Task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BB1" w:rsidRDefault="00E26BB1" w:rsidP="000F23DA">
      <w:r>
        <w:separator/>
      </w:r>
    </w:p>
  </w:footnote>
  <w:footnote w:type="continuationSeparator" w:id="0">
    <w:p w:rsidR="00E26BB1" w:rsidRDefault="00E26BB1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F9" w:rsidRPr="00D853FE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043126">
      <w:rPr>
        <w:rFonts w:ascii="Calibri" w:hAnsi="Calibri"/>
      </w:rPr>
      <w:t>7</w:t>
    </w:r>
    <w:r w:rsidRPr="00D853FE">
      <w:rPr>
        <w:rFonts w:ascii="Calibri" w:hAnsi="Calibri"/>
      </w:rPr>
      <w:t>-1.2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758EE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0F1964F7"/>
    <w:multiLevelType w:val="hybridMultilevel"/>
    <w:tmpl w:val="586C9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253B0"/>
    <w:multiLevelType w:val="multilevel"/>
    <w:tmpl w:val="938C0AD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7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1E5A1616"/>
    <w:multiLevelType w:val="multilevel"/>
    <w:tmpl w:val="E97835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9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AE4412C"/>
    <w:multiLevelType w:val="hybridMultilevel"/>
    <w:tmpl w:val="C728E8C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1160D7"/>
    <w:multiLevelType w:val="multilevel"/>
    <w:tmpl w:val="C1DA3B5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0">
    <w:nsid w:val="5E3E399D"/>
    <w:multiLevelType w:val="hybridMultilevel"/>
    <w:tmpl w:val="EFCE38E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2023E7E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635271F"/>
    <w:multiLevelType w:val="hybridMultilevel"/>
    <w:tmpl w:val="F766A2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10"/>
  </w:num>
  <w:num w:numId="7">
    <w:abstractNumId w:val="21"/>
  </w:num>
  <w:num w:numId="8">
    <w:abstractNumId w:val="14"/>
  </w:num>
  <w:num w:numId="9">
    <w:abstractNumId w:val="4"/>
  </w:num>
  <w:num w:numId="10">
    <w:abstractNumId w:val="24"/>
  </w:num>
  <w:num w:numId="11">
    <w:abstractNumId w:val="12"/>
  </w:num>
  <w:num w:numId="12">
    <w:abstractNumId w:val="11"/>
  </w:num>
  <w:num w:numId="13">
    <w:abstractNumId w:val="17"/>
  </w:num>
  <w:num w:numId="14">
    <w:abstractNumId w:val="15"/>
  </w:num>
  <w:num w:numId="15">
    <w:abstractNumId w:val="13"/>
  </w:num>
  <w:num w:numId="16">
    <w:abstractNumId w:val="23"/>
  </w:num>
  <w:num w:numId="17">
    <w:abstractNumId w:val="7"/>
  </w:num>
  <w:num w:numId="18">
    <w:abstractNumId w:val="9"/>
  </w:num>
  <w:num w:numId="19">
    <w:abstractNumId w:val="18"/>
  </w:num>
  <w:num w:numId="20">
    <w:abstractNumId w:val="3"/>
  </w:num>
  <w:num w:numId="21">
    <w:abstractNumId w:val="6"/>
  </w:num>
  <w:num w:numId="22">
    <w:abstractNumId w:val="19"/>
  </w:num>
  <w:num w:numId="23">
    <w:abstractNumId w:val="22"/>
  </w:num>
  <w:num w:numId="24">
    <w:abstractNumId w:val="8"/>
  </w:num>
  <w:num w:numId="25">
    <w:abstractNumId w:val="16"/>
  </w:num>
  <w:num w:numId="26">
    <w:abstractNumId w:val="26"/>
  </w:num>
  <w:num w:numId="27">
    <w:abstractNumId w:val="25"/>
  </w:num>
  <w:num w:numId="28">
    <w:abstractNumId w:val="5"/>
  </w:num>
  <w:num w:numId="29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1D1F"/>
    <w:rsid w:val="0000391C"/>
    <w:rsid w:val="00005381"/>
    <w:rsid w:val="00011F52"/>
    <w:rsid w:val="00012AE0"/>
    <w:rsid w:val="00015954"/>
    <w:rsid w:val="00036337"/>
    <w:rsid w:val="00043126"/>
    <w:rsid w:val="0004700E"/>
    <w:rsid w:val="00055F19"/>
    <w:rsid w:val="00060E05"/>
    <w:rsid w:val="00070C13"/>
    <w:rsid w:val="0007562E"/>
    <w:rsid w:val="00082DEF"/>
    <w:rsid w:val="00084F33"/>
    <w:rsid w:val="000A0DFD"/>
    <w:rsid w:val="000A51FE"/>
    <w:rsid w:val="000A599B"/>
    <w:rsid w:val="000B0348"/>
    <w:rsid w:val="000C1D02"/>
    <w:rsid w:val="000C55F8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2B0F"/>
    <w:rsid w:val="00164452"/>
    <w:rsid w:val="00171AAE"/>
    <w:rsid w:val="00177F4D"/>
    <w:rsid w:val="00187E34"/>
    <w:rsid w:val="00191CC5"/>
    <w:rsid w:val="0019408A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5397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483"/>
    <w:rsid w:val="00271A83"/>
    <w:rsid w:val="0027535F"/>
    <w:rsid w:val="0028751F"/>
    <w:rsid w:val="00293C98"/>
    <w:rsid w:val="002A4487"/>
    <w:rsid w:val="002A7EB4"/>
    <w:rsid w:val="002B31B9"/>
    <w:rsid w:val="002C30C6"/>
    <w:rsid w:val="002C47CE"/>
    <w:rsid w:val="002D2DE9"/>
    <w:rsid w:val="002D3E8B"/>
    <w:rsid w:val="002D5C0C"/>
    <w:rsid w:val="002E13AA"/>
    <w:rsid w:val="002E5334"/>
    <w:rsid w:val="002E6B74"/>
    <w:rsid w:val="00301265"/>
    <w:rsid w:val="00315464"/>
    <w:rsid w:val="00331F07"/>
    <w:rsid w:val="00343E48"/>
    <w:rsid w:val="00356CD0"/>
    <w:rsid w:val="003644F1"/>
    <w:rsid w:val="00366F46"/>
    <w:rsid w:val="00375A53"/>
    <w:rsid w:val="00380DAF"/>
    <w:rsid w:val="0038529C"/>
    <w:rsid w:val="00390EA4"/>
    <w:rsid w:val="003A016A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35D2"/>
    <w:rsid w:val="0042662F"/>
    <w:rsid w:val="0042715E"/>
    <w:rsid w:val="0043160E"/>
    <w:rsid w:val="00433CF5"/>
    <w:rsid w:val="00443E0D"/>
    <w:rsid w:val="00447E32"/>
    <w:rsid w:val="004511D3"/>
    <w:rsid w:val="004610A9"/>
    <w:rsid w:val="004661AD"/>
    <w:rsid w:val="00470E6A"/>
    <w:rsid w:val="00474372"/>
    <w:rsid w:val="00474C3C"/>
    <w:rsid w:val="0047509F"/>
    <w:rsid w:val="004806CF"/>
    <w:rsid w:val="004A5CD5"/>
    <w:rsid w:val="004C3A35"/>
    <w:rsid w:val="004D784A"/>
    <w:rsid w:val="004E0CBE"/>
    <w:rsid w:val="004F082F"/>
    <w:rsid w:val="004F1AC8"/>
    <w:rsid w:val="00500FA9"/>
    <w:rsid w:val="00504613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6456D"/>
    <w:rsid w:val="00567ACB"/>
    <w:rsid w:val="00567CAD"/>
    <w:rsid w:val="00567F38"/>
    <w:rsid w:val="0057198B"/>
    <w:rsid w:val="00576852"/>
    <w:rsid w:val="00587FE3"/>
    <w:rsid w:val="005A1D5C"/>
    <w:rsid w:val="005A6C66"/>
    <w:rsid w:val="005B32A3"/>
    <w:rsid w:val="005C566C"/>
    <w:rsid w:val="005C7E69"/>
    <w:rsid w:val="005D2374"/>
    <w:rsid w:val="005D5D9E"/>
    <w:rsid w:val="005D622F"/>
    <w:rsid w:val="005E0F5B"/>
    <w:rsid w:val="005F22B9"/>
    <w:rsid w:val="005F7E20"/>
    <w:rsid w:val="00600ECA"/>
    <w:rsid w:val="00601477"/>
    <w:rsid w:val="00620DA4"/>
    <w:rsid w:val="006229C0"/>
    <w:rsid w:val="00631E84"/>
    <w:rsid w:val="006327F3"/>
    <w:rsid w:val="00632A7C"/>
    <w:rsid w:val="00633B0F"/>
    <w:rsid w:val="006634A5"/>
    <w:rsid w:val="006652C3"/>
    <w:rsid w:val="00665C10"/>
    <w:rsid w:val="006A58E7"/>
    <w:rsid w:val="006A630C"/>
    <w:rsid w:val="006B5D1C"/>
    <w:rsid w:val="006C3D99"/>
    <w:rsid w:val="006D3789"/>
    <w:rsid w:val="006E0AEE"/>
    <w:rsid w:val="006E63DE"/>
    <w:rsid w:val="006F2A74"/>
    <w:rsid w:val="0070734B"/>
    <w:rsid w:val="007118F5"/>
    <w:rsid w:val="00714A18"/>
    <w:rsid w:val="00721AA1"/>
    <w:rsid w:val="00733C92"/>
    <w:rsid w:val="00741D0A"/>
    <w:rsid w:val="00747C11"/>
    <w:rsid w:val="00750A18"/>
    <w:rsid w:val="00765622"/>
    <w:rsid w:val="0077399F"/>
    <w:rsid w:val="00775B09"/>
    <w:rsid w:val="00780920"/>
    <w:rsid w:val="007810E3"/>
    <w:rsid w:val="0078510B"/>
    <w:rsid w:val="00786DEC"/>
    <w:rsid w:val="0078735A"/>
    <w:rsid w:val="007A0BFF"/>
    <w:rsid w:val="007A2766"/>
    <w:rsid w:val="007A3FE3"/>
    <w:rsid w:val="007B7E13"/>
    <w:rsid w:val="007C60E5"/>
    <w:rsid w:val="007F0C78"/>
    <w:rsid w:val="007F157E"/>
    <w:rsid w:val="007F5251"/>
    <w:rsid w:val="007F57D9"/>
    <w:rsid w:val="007F6E4C"/>
    <w:rsid w:val="00816679"/>
    <w:rsid w:val="008218DE"/>
    <w:rsid w:val="008242C2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D1694"/>
    <w:rsid w:val="008E03D8"/>
    <w:rsid w:val="008E1AF2"/>
    <w:rsid w:val="008E4B50"/>
    <w:rsid w:val="008F142E"/>
    <w:rsid w:val="008F1F2F"/>
    <w:rsid w:val="008F297C"/>
    <w:rsid w:val="008F3B5B"/>
    <w:rsid w:val="00911857"/>
    <w:rsid w:val="00913FC0"/>
    <w:rsid w:val="00913FC1"/>
    <w:rsid w:val="009312A4"/>
    <w:rsid w:val="00943E9C"/>
    <w:rsid w:val="00952489"/>
    <w:rsid w:val="00953F4D"/>
    <w:rsid w:val="009554E5"/>
    <w:rsid w:val="00960BB8"/>
    <w:rsid w:val="00960F7F"/>
    <w:rsid w:val="00964F5C"/>
    <w:rsid w:val="00970065"/>
    <w:rsid w:val="009805D6"/>
    <w:rsid w:val="009968EA"/>
    <w:rsid w:val="009A78BA"/>
    <w:rsid w:val="009D09EA"/>
    <w:rsid w:val="009E0B7D"/>
    <w:rsid w:val="009E2C15"/>
    <w:rsid w:val="009E43A8"/>
    <w:rsid w:val="009F4501"/>
    <w:rsid w:val="009F6705"/>
    <w:rsid w:val="00A02D6C"/>
    <w:rsid w:val="00A11862"/>
    <w:rsid w:val="00A157CC"/>
    <w:rsid w:val="00A22883"/>
    <w:rsid w:val="00A45008"/>
    <w:rsid w:val="00A543A4"/>
    <w:rsid w:val="00A547F7"/>
    <w:rsid w:val="00A569F1"/>
    <w:rsid w:val="00A635D6"/>
    <w:rsid w:val="00A66E5B"/>
    <w:rsid w:val="00A71887"/>
    <w:rsid w:val="00A80CE8"/>
    <w:rsid w:val="00A84816"/>
    <w:rsid w:val="00A92BFC"/>
    <w:rsid w:val="00A93AED"/>
    <w:rsid w:val="00AA713B"/>
    <w:rsid w:val="00AB3A51"/>
    <w:rsid w:val="00AC5122"/>
    <w:rsid w:val="00AE0D5D"/>
    <w:rsid w:val="00AE2142"/>
    <w:rsid w:val="00AE6137"/>
    <w:rsid w:val="00AE7A16"/>
    <w:rsid w:val="00B06CD0"/>
    <w:rsid w:val="00B16898"/>
    <w:rsid w:val="00B16DA4"/>
    <w:rsid w:val="00B22409"/>
    <w:rsid w:val="00B226F2"/>
    <w:rsid w:val="00B302C9"/>
    <w:rsid w:val="00B34B52"/>
    <w:rsid w:val="00B47576"/>
    <w:rsid w:val="00B53DAC"/>
    <w:rsid w:val="00B61CC8"/>
    <w:rsid w:val="00B81614"/>
    <w:rsid w:val="00B8341C"/>
    <w:rsid w:val="00B864A5"/>
    <w:rsid w:val="00B869FB"/>
    <w:rsid w:val="00B90A27"/>
    <w:rsid w:val="00B9554D"/>
    <w:rsid w:val="00B9728D"/>
    <w:rsid w:val="00B978F9"/>
    <w:rsid w:val="00BA26F0"/>
    <w:rsid w:val="00BA4494"/>
    <w:rsid w:val="00BA623B"/>
    <w:rsid w:val="00BB7387"/>
    <w:rsid w:val="00BC321D"/>
    <w:rsid w:val="00BD206B"/>
    <w:rsid w:val="00BD3CB8"/>
    <w:rsid w:val="00BE6167"/>
    <w:rsid w:val="00BF4DCE"/>
    <w:rsid w:val="00C0730E"/>
    <w:rsid w:val="00C16D96"/>
    <w:rsid w:val="00C31C4D"/>
    <w:rsid w:val="00C41C71"/>
    <w:rsid w:val="00C42031"/>
    <w:rsid w:val="00C66AA9"/>
    <w:rsid w:val="00C74B5C"/>
    <w:rsid w:val="00C84CE2"/>
    <w:rsid w:val="00C8604F"/>
    <w:rsid w:val="00C8756D"/>
    <w:rsid w:val="00CA1915"/>
    <w:rsid w:val="00CB47CE"/>
    <w:rsid w:val="00CC36D6"/>
    <w:rsid w:val="00CF44B7"/>
    <w:rsid w:val="00D010AA"/>
    <w:rsid w:val="00D02FC2"/>
    <w:rsid w:val="00D17A34"/>
    <w:rsid w:val="00D24133"/>
    <w:rsid w:val="00D26628"/>
    <w:rsid w:val="00D32C8F"/>
    <w:rsid w:val="00D44173"/>
    <w:rsid w:val="00D521FC"/>
    <w:rsid w:val="00D7619E"/>
    <w:rsid w:val="00D76FD7"/>
    <w:rsid w:val="00D814BF"/>
    <w:rsid w:val="00D853FE"/>
    <w:rsid w:val="00D92B45"/>
    <w:rsid w:val="00D949D1"/>
    <w:rsid w:val="00DB250C"/>
    <w:rsid w:val="00DB3371"/>
    <w:rsid w:val="00DB5AA4"/>
    <w:rsid w:val="00DE2CA3"/>
    <w:rsid w:val="00DF053C"/>
    <w:rsid w:val="00E00BE9"/>
    <w:rsid w:val="00E1174A"/>
    <w:rsid w:val="00E17091"/>
    <w:rsid w:val="00E174C7"/>
    <w:rsid w:val="00E26BB1"/>
    <w:rsid w:val="00E5639D"/>
    <w:rsid w:val="00E6347F"/>
    <w:rsid w:val="00E85845"/>
    <w:rsid w:val="00E919D3"/>
    <w:rsid w:val="00EA27DF"/>
    <w:rsid w:val="00EA4D9C"/>
    <w:rsid w:val="00EB1258"/>
    <w:rsid w:val="00EB7AC0"/>
    <w:rsid w:val="00EC1233"/>
    <w:rsid w:val="00ED0CA7"/>
    <w:rsid w:val="00ED53EF"/>
    <w:rsid w:val="00EE2F8E"/>
    <w:rsid w:val="00EE4C1D"/>
    <w:rsid w:val="00F23AA8"/>
    <w:rsid w:val="00F267DB"/>
    <w:rsid w:val="00F3129F"/>
    <w:rsid w:val="00F44780"/>
    <w:rsid w:val="00F46F6F"/>
    <w:rsid w:val="00F51387"/>
    <w:rsid w:val="00F60608"/>
    <w:rsid w:val="00F62217"/>
    <w:rsid w:val="00F73133"/>
    <w:rsid w:val="00F80EE3"/>
    <w:rsid w:val="00F8487E"/>
    <w:rsid w:val="00FA32E2"/>
    <w:rsid w:val="00FA6D5E"/>
    <w:rsid w:val="00FB6F75"/>
    <w:rsid w:val="00FD7D87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71504-32C8-40F3-B16F-276500365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431</Words>
  <Characters>2120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van der Heijden</dc:creator>
  <cp:lastModifiedBy>Wim</cp:lastModifiedBy>
  <cp:revision>3</cp:revision>
  <cp:lastPrinted>2013-08-09T06:22:00Z</cp:lastPrinted>
  <dcterms:created xsi:type="dcterms:W3CDTF">2017-10-02T16:09:00Z</dcterms:created>
  <dcterms:modified xsi:type="dcterms:W3CDTF">2017-10-02T16:15:00Z</dcterms:modified>
</cp:coreProperties>
</file>