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C15A079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18A2E41B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24BA126F" w14:textId="77777777" w:rsidR="008972C3" w:rsidRPr="00405755" w:rsidRDefault="008972C3" w:rsidP="003274DB"/>
    <w:p w14:paraId="1161E2F3" w14:textId="77777777" w:rsidR="00D74AE1" w:rsidRPr="00405755" w:rsidRDefault="00D74AE1" w:rsidP="003274DB"/>
    <w:p w14:paraId="734C47B6" w14:textId="47EEC1D1" w:rsidR="00111E0A" w:rsidRPr="00405755" w:rsidRDefault="00AA0BF6" w:rsidP="00111E0A">
      <w:pPr>
        <w:pStyle w:val="Documentnumber"/>
      </w:pPr>
      <w:r>
        <w:t>R1016</w:t>
      </w:r>
    </w:p>
    <w:p w14:paraId="5067FD3D" w14:textId="77777777" w:rsidR="00111E0A" w:rsidRPr="00405755" w:rsidRDefault="00111E0A" w:rsidP="003274DB"/>
    <w:p w14:paraId="406AEB32" w14:textId="6C332D5D"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</w:t>
      </w:r>
    </w:p>
    <w:p w14:paraId="60CDB56E" w14:textId="77777777" w:rsidR="00D74AE1" w:rsidRPr="00405755" w:rsidRDefault="00D74AE1" w:rsidP="00D74AE1"/>
    <w:p w14:paraId="4EB615C0" w14:textId="77777777" w:rsidR="006A48A6" w:rsidRPr="00405755" w:rsidRDefault="006A48A6" w:rsidP="00D74AE1"/>
    <w:p w14:paraId="3A6D49F5" w14:textId="77777777" w:rsidR="005378B8" w:rsidRPr="00405755" w:rsidRDefault="005378B8" w:rsidP="00D74AE1"/>
    <w:p w14:paraId="0DBB025D" w14:textId="77777777" w:rsidR="005378B8" w:rsidRPr="00405755" w:rsidRDefault="005378B8" w:rsidP="00D74AE1"/>
    <w:p w14:paraId="5A5672C4" w14:textId="77777777" w:rsidR="005378B8" w:rsidRPr="00405755" w:rsidRDefault="005378B8" w:rsidP="00D74AE1"/>
    <w:p w14:paraId="417D9FE5" w14:textId="77777777" w:rsidR="005378B8" w:rsidRPr="00405755" w:rsidRDefault="005378B8" w:rsidP="00D74AE1"/>
    <w:p w14:paraId="0B6BF41A" w14:textId="77777777" w:rsidR="005378B8" w:rsidRPr="00405755" w:rsidRDefault="005378B8" w:rsidP="00D74AE1"/>
    <w:p w14:paraId="4780501A" w14:textId="77777777" w:rsidR="005378B8" w:rsidRPr="00405755" w:rsidRDefault="005378B8" w:rsidP="00D74AE1"/>
    <w:p w14:paraId="208DDA4D" w14:textId="77777777" w:rsidR="005378B8" w:rsidRPr="00405755" w:rsidRDefault="005378B8" w:rsidP="00D74AE1"/>
    <w:p w14:paraId="7CFC822D" w14:textId="77777777" w:rsidR="005378B8" w:rsidRPr="00405755" w:rsidRDefault="005378B8" w:rsidP="00D74AE1"/>
    <w:p w14:paraId="7E1B001D" w14:textId="77777777" w:rsidR="005378B8" w:rsidRPr="00405755" w:rsidRDefault="005378B8" w:rsidP="00D74AE1"/>
    <w:p w14:paraId="6CE05DD5" w14:textId="77777777" w:rsidR="005378B8" w:rsidRPr="00405755" w:rsidRDefault="005378B8" w:rsidP="00D74AE1"/>
    <w:p w14:paraId="767C939C" w14:textId="77777777" w:rsidR="005378B8" w:rsidRPr="00405755" w:rsidRDefault="005378B8" w:rsidP="00D74AE1"/>
    <w:p w14:paraId="2437C2C8" w14:textId="77777777" w:rsidR="005378B8" w:rsidRPr="00405755" w:rsidRDefault="005378B8" w:rsidP="00D74AE1"/>
    <w:p w14:paraId="0A3836EB" w14:textId="77777777" w:rsidR="005378B8" w:rsidRPr="00405755" w:rsidRDefault="005378B8" w:rsidP="00D74AE1"/>
    <w:p w14:paraId="299F9B0E" w14:textId="77777777" w:rsidR="005378B8" w:rsidRPr="00405755" w:rsidRDefault="005378B8" w:rsidP="00D74AE1"/>
    <w:p w14:paraId="6B0C3F13" w14:textId="77777777" w:rsidR="005378B8" w:rsidRPr="00405755" w:rsidRDefault="005378B8" w:rsidP="00D74AE1"/>
    <w:p w14:paraId="4FDCB7AF" w14:textId="77777777" w:rsidR="005378B8" w:rsidRPr="00405755" w:rsidRDefault="005378B8" w:rsidP="00D74AE1"/>
    <w:p w14:paraId="617F911C" w14:textId="77777777" w:rsidR="005378B8" w:rsidRPr="00405755" w:rsidRDefault="005378B8" w:rsidP="00D74AE1"/>
    <w:p w14:paraId="75EEC585" w14:textId="77777777" w:rsidR="005378B8" w:rsidRPr="00405755" w:rsidRDefault="005378B8" w:rsidP="00D74AE1"/>
    <w:p w14:paraId="641C842A" w14:textId="77777777" w:rsidR="005378B8" w:rsidRPr="00405755" w:rsidRDefault="005378B8" w:rsidP="00D74AE1"/>
    <w:p w14:paraId="35071B0C" w14:textId="77777777" w:rsidR="005378B8" w:rsidRPr="00405755" w:rsidRDefault="005378B8" w:rsidP="00D74AE1"/>
    <w:p w14:paraId="6CA56264" w14:textId="77777777" w:rsidR="005378B8" w:rsidRPr="00405755" w:rsidRDefault="005378B8" w:rsidP="00D74AE1"/>
    <w:p w14:paraId="1FBC77AA" w14:textId="77777777" w:rsidR="005378B8" w:rsidRPr="00405755" w:rsidRDefault="005378B8" w:rsidP="00D74AE1"/>
    <w:p w14:paraId="1C476670" w14:textId="77777777" w:rsidR="005378B8" w:rsidRPr="00405755" w:rsidRDefault="005378B8" w:rsidP="00D74AE1"/>
    <w:p w14:paraId="7A319A92" w14:textId="77777777" w:rsidR="005378B8" w:rsidRPr="00405755" w:rsidRDefault="005378B8" w:rsidP="00D74AE1"/>
    <w:p w14:paraId="5C03C29B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174D9FFC" w14:textId="441A94F0" w:rsidR="006A48A6" w:rsidRPr="00405755" w:rsidRDefault="00AA0BF6" w:rsidP="005378B8">
      <w:pPr>
        <w:pStyle w:val="Documentdate"/>
      </w:pPr>
      <w:r>
        <w:t>December 2017</w:t>
      </w:r>
    </w:p>
    <w:p w14:paraId="17FF3AB3" w14:textId="77777777" w:rsidR="00BC27F6" w:rsidRPr="00405755" w:rsidRDefault="00BC27F6" w:rsidP="00D74AE1">
      <w:pPr>
        <w:sectPr w:rsidR="00BC27F6" w:rsidRPr="00405755" w:rsidSect="007E30DF">
          <w:headerReference w:type="default" r:id="rId9"/>
          <w:footerReference w:type="default" r:id="rId10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742"/>
        <w:gridCol w:w="2591"/>
      </w:tblGrid>
      <w:tr w:rsidR="00AA0BF6" w:rsidRPr="00405755" w14:paraId="29001F86" w14:textId="77777777" w:rsidTr="00643A6E">
        <w:tc>
          <w:tcPr>
            <w:tcW w:w="1908" w:type="dxa"/>
          </w:tcPr>
          <w:p w14:paraId="773D5067" w14:textId="77777777" w:rsidR="00AA0BF6" w:rsidRPr="00405755" w:rsidRDefault="00AA0BF6" w:rsidP="00643A6E">
            <w:pPr>
              <w:pStyle w:val="Tabletexttitle"/>
            </w:pPr>
            <w:r w:rsidRPr="00405755">
              <w:lastRenderedPageBreak/>
              <w:t>Date</w:t>
            </w:r>
          </w:p>
        </w:tc>
        <w:tc>
          <w:tcPr>
            <w:tcW w:w="5742" w:type="dxa"/>
          </w:tcPr>
          <w:p w14:paraId="06427CED" w14:textId="77777777" w:rsidR="00AA0BF6" w:rsidRPr="00405755" w:rsidRDefault="00AA0BF6" w:rsidP="00643A6E">
            <w:pPr>
              <w:pStyle w:val="Tabletexttitle"/>
            </w:pPr>
            <w:r>
              <w:t>Details</w:t>
            </w:r>
          </w:p>
        </w:tc>
        <w:tc>
          <w:tcPr>
            <w:tcW w:w="2591" w:type="dxa"/>
          </w:tcPr>
          <w:p w14:paraId="3FBF4D2A" w14:textId="77777777" w:rsidR="00AA0BF6" w:rsidRPr="00405755" w:rsidRDefault="00AA0BF6" w:rsidP="00643A6E">
            <w:pPr>
              <w:pStyle w:val="Tabletexttitle"/>
              <w:ind w:right="112"/>
            </w:pPr>
            <w:r>
              <w:t>Approval</w:t>
            </w:r>
          </w:p>
        </w:tc>
      </w:tr>
      <w:tr w:rsidR="00AA0BF6" w:rsidRPr="00405755" w14:paraId="4B18EC1E" w14:textId="77777777" w:rsidTr="00643A6E">
        <w:trPr>
          <w:trHeight w:val="851"/>
        </w:trPr>
        <w:tc>
          <w:tcPr>
            <w:tcW w:w="1908" w:type="dxa"/>
            <w:vAlign w:val="center"/>
          </w:tcPr>
          <w:p w14:paraId="04C6144D" w14:textId="77777777" w:rsidR="00AA0BF6" w:rsidRPr="00405755" w:rsidRDefault="00AA0BF6" w:rsidP="00643A6E">
            <w:pPr>
              <w:pStyle w:val="Tabletext"/>
            </w:pPr>
            <w:r>
              <w:t>December 2017</w:t>
            </w:r>
          </w:p>
        </w:tc>
        <w:tc>
          <w:tcPr>
            <w:tcW w:w="5742" w:type="dxa"/>
            <w:vAlign w:val="center"/>
          </w:tcPr>
          <w:p w14:paraId="3E057F6D" w14:textId="77777777" w:rsidR="00AA0BF6" w:rsidRPr="00405755" w:rsidRDefault="00AA0BF6" w:rsidP="00643A6E">
            <w:pPr>
              <w:pStyle w:val="Tabletext"/>
            </w:pPr>
            <w:r>
              <w:t>1</w:t>
            </w:r>
            <w:r w:rsidRPr="002E03DC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591" w:type="dxa"/>
            <w:vAlign w:val="center"/>
          </w:tcPr>
          <w:p w14:paraId="73F64DF0" w14:textId="77777777" w:rsidR="00AA0BF6" w:rsidRPr="00405755" w:rsidRDefault="00AA0BF6" w:rsidP="00643A6E">
            <w:pPr>
              <w:pStyle w:val="Tabletext"/>
            </w:pPr>
            <w:r>
              <w:t>Council session 65</w:t>
            </w:r>
          </w:p>
        </w:tc>
      </w:tr>
    </w:tbl>
    <w:p w14:paraId="792AC64B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1"/>
          <w:footerReference w:type="default" r:id="rId12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9062287" w14:textId="77777777" w:rsidR="001B7940" w:rsidRPr="00405755" w:rsidRDefault="001B7940" w:rsidP="001B7940">
      <w:pPr>
        <w:pStyle w:val="THECOUNCIL"/>
      </w:pPr>
      <w:bookmarkStart w:id="0" w:name="_Toc442255952"/>
      <w:r w:rsidRPr="00405755">
        <w:lastRenderedPageBreak/>
        <w:t>THE COUNCIL</w:t>
      </w:r>
    </w:p>
    <w:p w14:paraId="0F3647AD" w14:textId="77777777" w:rsidR="00BE2447" w:rsidRDefault="00BE2447" w:rsidP="00BE2447">
      <w:pPr>
        <w:pStyle w:val="Noting"/>
      </w:pPr>
      <w:r w:rsidRPr="004A484C">
        <w:rPr>
          <w:b/>
        </w:rPr>
        <w:t>RECALLING</w:t>
      </w:r>
      <w:r>
        <w:t>:</w:t>
      </w:r>
    </w:p>
    <w:p w14:paraId="3068730B" w14:textId="77777777" w:rsidR="00BE2447" w:rsidRDefault="00BE2447" w:rsidP="00BE2447">
      <w:pPr>
        <w:pStyle w:val="List1-recommendation"/>
      </w:pPr>
      <w:proofErr w:type="gramStart"/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  <w:proofErr w:type="gramEnd"/>
    </w:p>
    <w:p w14:paraId="32123381" w14:textId="77777777" w:rsidR="00BE2447" w:rsidRDefault="00BE2447" w:rsidP="00BE2447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309084AA" w14:textId="6DA4E82A" w:rsidR="00DE1647" w:rsidRDefault="00166C2E" w:rsidP="001B7940">
      <w:pPr>
        <w:pStyle w:val="Noting"/>
        <w:rPr>
          <w:lang w:eastAsia="de-DE"/>
        </w:rPr>
      </w:pPr>
      <w:r w:rsidRPr="004A484C">
        <w:rPr>
          <w:b/>
        </w:rPr>
        <w:t>RECALLING</w:t>
      </w:r>
      <w:r w:rsidR="00A8126D">
        <w:rPr>
          <w:b/>
        </w:rPr>
        <w:t xml:space="preserve"> </w:t>
      </w:r>
      <w:r w:rsidR="00A8126D" w:rsidRPr="004E104F">
        <w:t>also</w:t>
      </w:r>
      <w:r w:rsidRPr="004A484C">
        <w:t xml:space="preserve"> </w:t>
      </w:r>
      <w:r w:rsidR="00DE1647">
        <w:rPr>
          <w:lang w:eastAsia="de-DE"/>
        </w:rPr>
        <w:t xml:space="preserve">the Nairobi International Convention on the Removal of Wrecks and other special purposes on </w:t>
      </w:r>
      <w:r w:rsidR="003A7415">
        <w:rPr>
          <w:lang w:eastAsia="de-DE"/>
        </w:rPr>
        <w:t>maritime</w:t>
      </w:r>
      <w:r w:rsidR="00DE1647">
        <w:rPr>
          <w:lang w:eastAsia="de-DE"/>
        </w:rPr>
        <w:t xml:space="preserve"> events</w:t>
      </w:r>
      <w:r w:rsidR="00BE2447">
        <w:rPr>
          <w:lang w:eastAsia="de-DE"/>
        </w:rPr>
        <w:t>,</w:t>
      </w:r>
    </w:p>
    <w:p w14:paraId="333E3970" w14:textId="4A7AEB18" w:rsidR="001B7940" w:rsidRDefault="001B7940" w:rsidP="001B7940">
      <w:pPr>
        <w:pStyle w:val="Noting"/>
        <w:rPr>
          <w:lang w:eastAsia="de-DE"/>
        </w:rPr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</w:t>
      </w:r>
      <w:r w:rsidR="00B16EB4">
        <w:rPr>
          <w:lang w:eastAsia="de-DE"/>
        </w:rPr>
        <w:t xml:space="preserve">ids </w:t>
      </w:r>
      <w:r w:rsidR="003279C2">
        <w:rPr>
          <w:lang w:eastAsia="de-DE"/>
        </w:rPr>
        <w:t>to</w:t>
      </w:r>
      <w:r w:rsidR="00B16EB4">
        <w:rPr>
          <w:lang w:eastAsia="de-DE"/>
        </w:rPr>
        <w:t xml:space="preserve"> </w:t>
      </w:r>
      <w:r w:rsidR="003279C2">
        <w:rPr>
          <w:lang w:eastAsia="de-DE"/>
        </w:rPr>
        <w:t>N</w:t>
      </w:r>
      <w:r w:rsidR="00B16EB4">
        <w:rPr>
          <w:lang w:eastAsia="de-DE"/>
        </w:rPr>
        <w:t>avigation</w:t>
      </w:r>
      <w:r w:rsidR="003279C2">
        <w:rPr>
          <w:lang w:eastAsia="de-DE"/>
        </w:rPr>
        <w:t xml:space="preserve">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</w:t>
      </w:r>
      <w:r w:rsidR="0005634E">
        <w:rPr>
          <w:lang w:eastAsia="de-DE"/>
        </w:rPr>
        <w:t xml:space="preserve"> other</w:t>
      </w:r>
      <w:r w:rsidR="003279C2">
        <w:rPr>
          <w:lang w:eastAsia="de-DE"/>
        </w:rPr>
        <w:t xml:space="preserve"> existing IALA guidance</w:t>
      </w:r>
      <w:r w:rsidR="00BE2447">
        <w:rPr>
          <w:lang w:eastAsia="de-DE"/>
        </w:rPr>
        <w:t>,</w:t>
      </w:r>
    </w:p>
    <w:p w14:paraId="78D00438" w14:textId="77777777" w:rsidR="00BE2447" w:rsidRPr="00405755" w:rsidRDefault="00BE2447" w:rsidP="00BE2447">
      <w:pPr>
        <w:pStyle w:val="Noting"/>
      </w:pPr>
      <w:r>
        <w:rPr>
          <w:b/>
        </w:rPr>
        <w:t xml:space="preserve">CONSIDERING </w:t>
      </w:r>
      <w:r w:rsidRPr="00405755">
        <w:t xml:space="preserve">the </w:t>
      </w:r>
      <w:r>
        <w:t>proposals</w:t>
      </w:r>
      <w:r w:rsidRPr="00A326AC">
        <w:t xml:space="preserve"> of the </w:t>
      </w:r>
      <w:r w:rsidRPr="00AB7250">
        <w:t>IALA Aids to Navigation Requir</w:t>
      </w:r>
      <w:r>
        <w:t>ements and Management Committee</w:t>
      </w:r>
      <w:r w:rsidRPr="00AB7250">
        <w:t>,</w:t>
      </w:r>
    </w:p>
    <w:p w14:paraId="5F3EDB77" w14:textId="1E70D588" w:rsidR="00BE2447" w:rsidRPr="00405755" w:rsidRDefault="00BE2447" w:rsidP="00BE2447">
      <w:pPr>
        <w:pStyle w:val="Noting"/>
        <w:rPr>
          <w:b/>
        </w:rPr>
      </w:pPr>
      <w:r>
        <w:rPr>
          <w:b/>
        </w:rPr>
        <w:t>ADOPTS</w:t>
      </w:r>
      <w:r w:rsidRPr="00B9146E">
        <w:t xml:space="preserve"> Recommendation </w:t>
      </w:r>
      <w:r>
        <w:t>R</w:t>
      </w:r>
      <w:bookmarkStart w:id="1" w:name="_GoBack"/>
      <w:bookmarkEnd w:id="1"/>
      <w:r>
        <w:t>10</w:t>
      </w:r>
      <w:r>
        <w:t>16</w:t>
      </w:r>
      <w:r>
        <w:t xml:space="preserve"> </w:t>
      </w:r>
      <w:r w:rsidRPr="00B9146E">
        <w:t>on</w:t>
      </w:r>
      <w:r>
        <w:rPr>
          <w:i/>
        </w:rPr>
        <w:t xml:space="preserve"> </w:t>
      </w:r>
      <w:r>
        <w:t>Mobile Aids to Navigation (</w:t>
      </w:r>
      <w:proofErr w:type="spellStart"/>
      <w:r>
        <w:t>MAtoN</w:t>
      </w:r>
      <w:proofErr w:type="spellEnd"/>
      <w:r>
        <w:t>)</w:t>
      </w:r>
      <w:r w:rsidRPr="00301F4A">
        <w:t>,</w:t>
      </w:r>
    </w:p>
    <w:p w14:paraId="752E42B2" w14:textId="463587FE" w:rsidR="001B7940" w:rsidRDefault="001B7940" w:rsidP="001B7940">
      <w:pPr>
        <w:pStyle w:val="Noting"/>
        <w:rPr>
          <w:lang w:eastAsia="de-DE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proofErr w:type="spellStart"/>
      <w:r w:rsidR="00B16EB4">
        <w:rPr>
          <w:lang w:eastAsia="de-DE"/>
        </w:rPr>
        <w:t>M</w:t>
      </w:r>
      <w:r w:rsidR="003279C2">
        <w:rPr>
          <w:lang w:eastAsia="de-DE"/>
        </w:rPr>
        <w:t>AtoN</w:t>
      </w:r>
      <w:proofErr w:type="spellEnd"/>
      <w:r w:rsidR="003279C2" w:rsidRPr="003E0D0E">
        <w:rPr>
          <w:lang w:eastAsia="de-DE"/>
        </w:rPr>
        <w:t xml:space="preserve">, in accordance with the appropriated risk assessment, when the </w:t>
      </w:r>
      <w:r w:rsidR="003A7415">
        <w:rPr>
          <w:lang w:eastAsia="de-DE"/>
        </w:rPr>
        <w:t>occurrence/</w:t>
      </w:r>
      <w:r w:rsidR="00996A75" w:rsidRPr="003E0D0E">
        <w:rPr>
          <w:lang w:eastAsia="de-DE"/>
        </w:rPr>
        <w:t xml:space="preserve">event to be </w:t>
      </w:r>
      <w:proofErr w:type="gramStart"/>
      <w:r w:rsidR="00996A75" w:rsidRPr="003E0D0E">
        <w:rPr>
          <w:lang w:eastAsia="de-DE"/>
        </w:rPr>
        <w:t>mark</w:t>
      </w:r>
      <w:r w:rsidR="00945EDC">
        <w:rPr>
          <w:lang w:eastAsia="de-DE"/>
        </w:rPr>
        <w:t>ed</w:t>
      </w:r>
      <w:r w:rsidR="00996A75" w:rsidRPr="003E0D0E">
        <w:rPr>
          <w:lang w:eastAsia="de-DE"/>
        </w:rPr>
        <w:t>/identif</w:t>
      </w:r>
      <w:r w:rsidR="00945EDC">
        <w:rPr>
          <w:lang w:eastAsia="de-DE"/>
        </w:rPr>
        <w:t>ied</w:t>
      </w:r>
      <w:proofErr w:type="gramEnd"/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</w:t>
      </w:r>
      <w:r w:rsidR="00BE2447">
        <w:rPr>
          <w:lang w:eastAsia="de-DE"/>
        </w:rPr>
        <w:t>,</w:t>
      </w:r>
    </w:p>
    <w:p w14:paraId="24FB5657" w14:textId="71762ABE" w:rsidR="0005634E" w:rsidRDefault="0005634E" w:rsidP="0005634E">
      <w:pPr>
        <w:pStyle w:val="Noting"/>
        <w:rPr>
          <w:lang w:eastAsia="de-DE"/>
        </w:rPr>
      </w:pPr>
      <w:r w:rsidRPr="009466B5">
        <w:rPr>
          <w:b/>
          <w:lang w:eastAsia="de-DE"/>
        </w:rPr>
        <w:t>RECOMMENDS</w:t>
      </w:r>
      <w:r w:rsidRPr="009466B5">
        <w:rPr>
          <w:lang w:eastAsia="de-DE"/>
        </w:rPr>
        <w:t xml:space="preserve"> </w:t>
      </w:r>
      <w:r w:rsidR="00BE2447">
        <w:rPr>
          <w:lang w:eastAsia="de-DE"/>
        </w:rPr>
        <w:t xml:space="preserve">also </w:t>
      </w:r>
      <w:r w:rsidRPr="009466B5">
        <w:rPr>
          <w:lang w:eastAsia="de-DE"/>
        </w:rPr>
        <w:t xml:space="preserve">IALA Members </w:t>
      </w:r>
      <w:r>
        <w:rPr>
          <w:lang w:eastAsia="de-DE"/>
        </w:rPr>
        <w:t xml:space="preserve">and relevant authorities to </w:t>
      </w:r>
      <w:r w:rsidRPr="009466B5">
        <w:rPr>
          <w:lang w:eastAsia="de-DE"/>
        </w:rPr>
        <w:t xml:space="preserve">liaise and cooperate with VTS Authorities </w:t>
      </w:r>
      <w:r>
        <w:rPr>
          <w:lang w:eastAsia="de-DE"/>
        </w:rPr>
        <w:t xml:space="preserve">before a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is</w:t>
      </w:r>
      <w:r w:rsidRPr="009466B5">
        <w:rPr>
          <w:lang w:eastAsia="de-DE"/>
        </w:rPr>
        <w:t xml:space="preserve"> </w:t>
      </w:r>
      <w:r>
        <w:rPr>
          <w:lang w:eastAsia="de-DE"/>
        </w:rPr>
        <w:t>deployed</w:t>
      </w:r>
      <w:proofErr w:type="gramEnd"/>
      <w:r>
        <w:rPr>
          <w:lang w:eastAsia="de-DE"/>
        </w:rPr>
        <w:t xml:space="preserve"> </w:t>
      </w:r>
      <w:r w:rsidRPr="009466B5">
        <w:rPr>
          <w:lang w:eastAsia="de-DE"/>
        </w:rPr>
        <w:t>in a VTS area</w:t>
      </w:r>
      <w:r w:rsidR="00BE2447">
        <w:rPr>
          <w:lang w:eastAsia="de-DE"/>
        </w:rPr>
        <w:t>,</w:t>
      </w:r>
      <w:r>
        <w:rPr>
          <w:lang w:eastAsia="de-DE"/>
        </w:rPr>
        <w:t xml:space="preserve"> </w:t>
      </w:r>
    </w:p>
    <w:p w14:paraId="64397BE5" w14:textId="77777777" w:rsidR="00BE2447" w:rsidRPr="00B9146E" w:rsidRDefault="00BE2447" w:rsidP="00BE2447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2677FD34" w14:textId="0C52EF63" w:rsidR="00BE2447" w:rsidRPr="009466B5" w:rsidRDefault="00BE2447" w:rsidP="00BE2447">
      <w:pPr>
        <w:pStyle w:val="Noting"/>
        <w:rPr>
          <w:lang w:eastAsia="de-DE"/>
        </w:rPr>
      </w:pPr>
      <w:r>
        <w:rPr>
          <w:b/>
        </w:rPr>
        <w:t>REQUESTS</w:t>
      </w:r>
      <w:r>
        <w:t xml:space="preserve"> the</w:t>
      </w:r>
      <w:r w:rsidRPr="00AB7250">
        <w:t xml:space="preserve"> IALA Aids to Navigation Requirements and Management Committee or such other committee as the Council may direct </w:t>
      </w:r>
      <w:r w:rsidRPr="00A326AC">
        <w:t>to keep the Recommendation under review and to propose amendments as necessar</w:t>
      </w:r>
      <w:r>
        <w:t>y.</w:t>
      </w:r>
    </w:p>
    <w:p w14:paraId="4480014F" w14:textId="77777777" w:rsidR="0005634E" w:rsidRPr="00405755" w:rsidRDefault="0005634E" w:rsidP="001B7940">
      <w:pPr>
        <w:pStyle w:val="Noting"/>
        <w:rPr>
          <w:rFonts w:ascii="Arial" w:hAnsi="Arial"/>
        </w:rPr>
      </w:pPr>
    </w:p>
    <w:p w14:paraId="0AC18BAC" w14:textId="77777777"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2" w:name="_Ref361228803"/>
      <w:bookmarkStart w:id="3" w:name="_Toc359496675"/>
      <w:bookmarkEnd w:id="2"/>
      <w:bookmarkEnd w:id="3"/>
      <w:r>
        <w:rPr>
          <w:lang w:eastAsia="de-DE"/>
        </w:rPr>
        <w:t>definition:</w:t>
      </w:r>
    </w:p>
    <w:p w14:paraId="3E17F344" w14:textId="54612171"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A 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="00B16EB4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;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="00AE6A1B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, temporary or otherwise. </w:t>
      </w:r>
    </w:p>
    <w:p w14:paraId="37DC50DE" w14:textId="68CC39DC"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would not generally be used</w:t>
      </w:r>
      <w:proofErr w:type="gram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  <w:r w:rsidR="00AE6A1B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14:paraId="073F7900" w14:textId="3BB08F6C"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4" w:name="_Toc449013351"/>
      <w:r>
        <w:t xml:space="preserve">Typical </w:t>
      </w:r>
      <w:r w:rsidR="00996A75">
        <w:t>Uses</w:t>
      </w:r>
      <w:bookmarkEnd w:id="4"/>
    </w:p>
    <w:p w14:paraId="22AA0F4B" w14:textId="62FE3F7D" w:rsidR="00912748" w:rsidRPr="00BE2447" w:rsidRDefault="00912748" w:rsidP="00713D82">
      <w:pPr>
        <w:pStyle w:val="BodyText"/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 xml:space="preserve">The use of </w:t>
      </w:r>
      <w:proofErr w:type="spellStart"/>
      <w:r w:rsidRPr="00BE2447">
        <w:rPr>
          <w:sz w:val="24"/>
          <w:szCs w:val="24"/>
          <w:lang w:eastAsia="de-DE"/>
        </w:rPr>
        <w:t>MAtoN</w:t>
      </w:r>
      <w:proofErr w:type="spellEnd"/>
      <w:r w:rsidRPr="00BE2447">
        <w:rPr>
          <w:sz w:val="24"/>
          <w:szCs w:val="24"/>
          <w:lang w:eastAsia="de-DE"/>
        </w:rPr>
        <w:t xml:space="preserve"> should be strictly controlled</w:t>
      </w:r>
      <w:r w:rsidR="000C3A78" w:rsidRPr="00BE2447">
        <w:rPr>
          <w:sz w:val="24"/>
          <w:szCs w:val="24"/>
          <w:lang w:eastAsia="de-DE"/>
        </w:rPr>
        <w:t>, authorised by a competent authority</w:t>
      </w:r>
      <w:r w:rsidRPr="00BE2447">
        <w:rPr>
          <w:sz w:val="24"/>
          <w:szCs w:val="24"/>
          <w:lang w:eastAsia="de-DE"/>
        </w:rPr>
        <w:t xml:space="preserve"> and only used when risk assessment has determined the requirement and benefit. </w:t>
      </w:r>
    </w:p>
    <w:p w14:paraId="4DDFF13B" w14:textId="28A079D8" w:rsidR="00713D82" w:rsidRPr="00BE2447" w:rsidRDefault="00B16EB4" w:rsidP="00713D82">
      <w:pPr>
        <w:pStyle w:val="BodyText"/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lastRenderedPageBreak/>
        <w:t>Typical uses of</w:t>
      </w:r>
      <w:r w:rsidR="00713D82" w:rsidRPr="00BE2447">
        <w:rPr>
          <w:sz w:val="24"/>
          <w:szCs w:val="24"/>
          <w:lang w:eastAsia="de-DE"/>
        </w:rPr>
        <w:t xml:space="preserve"> </w:t>
      </w:r>
      <w:proofErr w:type="spellStart"/>
      <w:r w:rsidRPr="00BE2447">
        <w:rPr>
          <w:sz w:val="24"/>
          <w:szCs w:val="24"/>
          <w:lang w:eastAsia="de-DE"/>
        </w:rPr>
        <w:t>M</w:t>
      </w:r>
      <w:r w:rsidR="00713D82" w:rsidRPr="00BE2447">
        <w:rPr>
          <w:sz w:val="24"/>
          <w:szCs w:val="24"/>
          <w:lang w:eastAsia="de-DE"/>
        </w:rPr>
        <w:t>AtoN</w:t>
      </w:r>
      <w:proofErr w:type="spellEnd"/>
      <w:r w:rsidR="00713D82" w:rsidRPr="00BE2447">
        <w:rPr>
          <w:sz w:val="24"/>
          <w:szCs w:val="24"/>
          <w:lang w:eastAsia="de-DE"/>
        </w:rPr>
        <w:t xml:space="preserve"> may include:</w:t>
      </w:r>
    </w:p>
    <w:p w14:paraId="2911997E" w14:textId="73190CB9" w:rsidR="00996A75" w:rsidRPr="00BE2447" w:rsidRDefault="00996A75" w:rsidP="00713D82">
      <w:pPr>
        <w:pStyle w:val="BodyText"/>
        <w:numPr>
          <w:ilvl w:val="0"/>
          <w:numId w:val="23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Mobile O</w:t>
      </w:r>
      <w:r w:rsidR="003E0D0E" w:rsidRPr="00BE2447">
        <w:rPr>
          <w:sz w:val="24"/>
          <w:szCs w:val="24"/>
          <w:lang w:eastAsia="de-DE"/>
        </w:rPr>
        <w:t>cean Data Acquisition System (ODAS)</w:t>
      </w:r>
      <w:r w:rsidRPr="00BE2447">
        <w:rPr>
          <w:sz w:val="24"/>
          <w:szCs w:val="24"/>
          <w:lang w:eastAsia="de-DE"/>
        </w:rPr>
        <w:t xml:space="preserve"> (</w:t>
      </w:r>
      <w:r w:rsidR="00B16EB4" w:rsidRPr="00BE2447">
        <w:rPr>
          <w:sz w:val="24"/>
          <w:szCs w:val="24"/>
          <w:lang w:eastAsia="de-DE"/>
        </w:rPr>
        <w:t>e.g.</w:t>
      </w:r>
      <w:r w:rsidR="003E0D0E" w:rsidRPr="00BE2447">
        <w:rPr>
          <w:sz w:val="24"/>
          <w:szCs w:val="24"/>
          <w:lang w:eastAsia="de-DE"/>
        </w:rPr>
        <w:t xml:space="preserve"> </w:t>
      </w:r>
      <w:r w:rsidR="008C1B07" w:rsidRPr="00BE2447">
        <w:rPr>
          <w:sz w:val="24"/>
          <w:szCs w:val="24"/>
          <w:lang w:eastAsia="de-DE"/>
        </w:rPr>
        <w:t>currents, weather</w:t>
      </w:r>
      <w:r w:rsidRPr="00BE2447">
        <w:rPr>
          <w:sz w:val="24"/>
          <w:szCs w:val="24"/>
          <w:lang w:eastAsia="de-DE"/>
        </w:rPr>
        <w:t>);</w:t>
      </w:r>
    </w:p>
    <w:p w14:paraId="233A3BDC" w14:textId="1DDD3D44" w:rsidR="00996A75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Drifting wreck</w:t>
      </w:r>
      <w:r w:rsidR="00713D82" w:rsidRPr="00BE2447">
        <w:rPr>
          <w:sz w:val="24"/>
          <w:szCs w:val="24"/>
          <w:lang w:eastAsia="de-DE"/>
        </w:rPr>
        <w:t>s</w:t>
      </w:r>
      <w:r w:rsidRPr="00BE2447">
        <w:rPr>
          <w:sz w:val="24"/>
          <w:szCs w:val="24"/>
          <w:lang w:eastAsia="de-DE"/>
        </w:rPr>
        <w:t xml:space="preserve"> (</w:t>
      </w:r>
      <w:r w:rsidR="00B16EB4" w:rsidRPr="00BE2447">
        <w:rPr>
          <w:sz w:val="24"/>
          <w:szCs w:val="24"/>
          <w:lang w:eastAsia="de-DE"/>
        </w:rPr>
        <w:t>e.g.</w:t>
      </w:r>
      <w:r w:rsidR="003E0D0E" w:rsidRPr="00BE2447">
        <w:rPr>
          <w:sz w:val="24"/>
          <w:szCs w:val="24"/>
          <w:lang w:eastAsia="de-DE"/>
        </w:rPr>
        <w:t xml:space="preserve"> </w:t>
      </w:r>
      <w:r w:rsidR="007210C1" w:rsidRPr="00BE2447">
        <w:rPr>
          <w:sz w:val="24"/>
          <w:szCs w:val="24"/>
          <w:lang w:eastAsia="de-DE"/>
        </w:rPr>
        <w:t>containers, debris</w:t>
      </w:r>
      <w:r w:rsidRPr="00BE2447">
        <w:rPr>
          <w:sz w:val="24"/>
          <w:szCs w:val="24"/>
          <w:lang w:eastAsia="de-DE"/>
        </w:rPr>
        <w:t>);</w:t>
      </w:r>
    </w:p>
    <w:p w14:paraId="0C172C89" w14:textId="6A346AF4" w:rsidR="00996A75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Water quality &amp; pollution monitoring</w:t>
      </w:r>
      <w:r w:rsidR="0067269B" w:rsidRPr="00BE2447">
        <w:rPr>
          <w:sz w:val="24"/>
          <w:szCs w:val="24"/>
          <w:lang w:eastAsia="de-DE"/>
        </w:rPr>
        <w:t>,</w:t>
      </w:r>
      <w:r w:rsidR="0067269B" w:rsidRPr="00BE2447">
        <w:rPr>
          <w:rFonts w:eastAsiaTheme="minorEastAsia"/>
          <w:sz w:val="24"/>
          <w:szCs w:val="24"/>
          <w:lang w:eastAsia="ko-KR"/>
        </w:rPr>
        <w:t xml:space="preserve"> contain</w:t>
      </w:r>
      <w:r w:rsidR="00713D82" w:rsidRPr="00BE2447">
        <w:rPr>
          <w:rFonts w:eastAsiaTheme="minorEastAsia"/>
          <w:sz w:val="24"/>
          <w:szCs w:val="24"/>
          <w:lang w:eastAsia="ko-KR"/>
        </w:rPr>
        <w:t>ment</w:t>
      </w:r>
      <w:r w:rsidR="0067269B" w:rsidRPr="00BE2447">
        <w:rPr>
          <w:rFonts w:eastAsiaTheme="minorEastAsia"/>
          <w:sz w:val="24"/>
          <w:szCs w:val="24"/>
          <w:lang w:eastAsia="ko-KR"/>
        </w:rPr>
        <w:t xml:space="preserve"> and retrieval;</w:t>
      </w:r>
    </w:p>
    <w:p w14:paraId="70142D6D" w14:textId="77777777" w:rsidR="003E0D0E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Mobile guard zones</w:t>
      </w:r>
      <w:r w:rsidR="00204D1C" w:rsidRPr="00BE2447">
        <w:rPr>
          <w:sz w:val="24"/>
          <w:szCs w:val="24"/>
          <w:lang w:eastAsia="de-DE"/>
        </w:rPr>
        <w:t xml:space="preserve"> &amp;</w:t>
      </w:r>
      <w:r w:rsidRPr="00BE2447">
        <w:rPr>
          <w:sz w:val="24"/>
          <w:szCs w:val="24"/>
          <w:lang w:eastAsia="de-DE"/>
        </w:rPr>
        <w:t xml:space="preserve"> c</w:t>
      </w:r>
      <w:r w:rsidR="003E0D0E" w:rsidRPr="00BE2447">
        <w:rPr>
          <w:sz w:val="24"/>
          <w:szCs w:val="24"/>
          <w:lang w:eastAsia="de-DE"/>
        </w:rPr>
        <w:t>onvoy</w:t>
      </w:r>
      <w:r w:rsidR="00204D1C" w:rsidRPr="00BE2447">
        <w:rPr>
          <w:sz w:val="24"/>
          <w:szCs w:val="24"/>
          <w:lang w:eastAsia="de-DE"/>
        </w:rPr>
        <w:t>s</w:t>
      </w:r>
      <w:r w:rsidR="003E0D0E" w:rsidRPr="00BE2447">
        <w:rPr>
          <w:sz w:val="24"/>
          <w:szCs w:val="24"/>
          <w:lang w:eastAsia="de-DE"/>
        </w:rPr>
        <w:t>;</w:t>
      </w:r>
    </w:p>
    <w:p w14:paraId="511FAE80" w14:textId="7BF566C3" w:rsidR="00996A75" w:rsidRPr="00BE2447" w:rsidRDefault="007210C1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 xml:space="preserve">Underwater </w:t>
      </w:r>
      <w:r w:rsidR="00996A75" w:rsidRPr="00BE2447">
        <w:rPr>
          <w:sz w:val="24"/>
          <w:szCs w:val="24"/>
          <w:lang w:eastAsia="de-DE"/>
        </w:rPr>
        <w:t>operations</w:t>
      </w:r>
      <w:r w:rsidR="003E0D0E" w:rsidRPr="00BE2447">
        <w:rPr>
          <w:sz w:val="24"/>
          <w:szCs w:val="24"/>
          <w:lang w:eastAsia="de-DE"/>
        </w:rPr>
        <w:t>;</w:t>
      </w:r>
    </w:p>
    <w:p w14:paraId="5EA6026A" w14:textId="1F06AAFD" w:rsidR="007210C1" w:rsidRPr="00BE2447" w:rsidRDefault="007B0F36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Enhance navigational</w:t>
      </w:r>
      <w:r w:rsidR="00AE6A1B" w:rsidRPr="00BE2447">
        <w:rPr>
          <w:sz w:val="24"/>
          <w:szCs w:val="24"/>
          <w:lang w:eastAsia="de-DE"/>
        </w:rPr>
        <w:t xml:space="preserve"> safety during m</w:t>
      </w:r>
      <w:r w:rsidR="007210C1" w:rsidRPr="00BE2447">
        <w:rPr>
          <w:sz w:val="24"/>
          <w:szCs w:val="24"/>
          <w:lang w:eastAsia="de-DE"/>
        </w:rPr>
        <w:t xml:space="preserve">ilitary operations (e.g. </w:t>
      </w:r>
      <w:r w:rsidRPr="00BE2447">
        <w:rPr>
          <w:sz w:val="24"/>
          <w:szCs w:val="24"/>
          <w:lang w:eastAsia="de-DE"/>
        </w:rPr>
        <w:t xml:space="preserve">no sail zones during </w:t>
      </w:r>
      <w:r w:rsidR="007210C1" w:rsidRPr="00BE2447">
        <w:rPr>
          <w:sz w:val="24"/>
          <w:szCs w:val="24"/>
          <w:lang w:eastAsia="de-DE"/>
        </w:rPr>
        <w:t>minesweeping, target exercises)</w:t>
      </w:r>
      <w:r w:rsidR="00AE6A1B" w:rsidRPr="00BE2447">
        <w:rPr>
          <w:sz w:val="24"/>
          <w:szCs w:val="24"/>
          <w:lang w:eastAsia="de-DE"/>
        </w:rPr>
        <w:t>;</w:t>
      </w:r>
    </w:p>
    <w:p w14:paraId="477640BD" w14:textId="532EBA08" w:rsidR="00996A75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Identifying</w:t>
      </w:r>
      <w:r w:rsidR="003E0D0E" w:rsidRPr="00BE2447">
        <w:rPr>
          <w:sz w:val="24"/>
          <w:szCs w:val="24"/>
          <w:lang w:eastAsia="de-DE"/>
        </w:rPr>
        <w:t xml:space="preserve"> end of </w:t>
      </w:r>
      <w:r w:rsidR="00AE6A1B" w:rsidRPr="00BE2447">
        <w:rPr>
          <w:sz w:val="24"/>
          <w:szCs w:val="24"/>
          <w:lang w:eastAsia="de-DE"/>
        </w:rPr>
        <w:t xml:space="preserve">drifting lines (e.g. </w:t>
      </w:r>
      <w:r w:rsidR="003E0D0E" w:rsidRPr="00BE2447">
        <w:rPr>
          <w:sz w:val="24"/>
          <w:szCs w:val="24"/>
          <w:lang w:eastAsia="de-DE"/>
        </w:rPr>
        <w:t>seismic survey</w:t>
      </w:r>
      <w:r w:rsidR="00AE6A1B" w:rsidRPr="00BE2447">
        <w:rPr>
          <w:sz w:val="24"/>
          <w:szCs w:val="24"/>
          <w:lang w:eastAsia="de-DE"/>
        </w:rPr>
        <w:t xml:space="preserve"> lines)</w:t>
      </w:r>
      <w:r w:rsidR="003E0D0E" w:rsidRPr="00BE2447">
        <w:rPr>
          <w:sz w:val="24"/>
          <w:szCs w:val="24"/>
          <w:lang w:eastAsia="de-DE"/>
        </w:rPr>
        <w:t>;</w:t>
      </w:r>
    </w:p>
    <w:p w14:paraId="1E9E5D24" w14:textId="62E271AE" w:rsidR="00996A75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rFonts w:eastAsiaTheme="minorEastAsia" w:hint="eastAsia"/>
          <w:sz w:val="24"/>
          <w:szCs w:val="24"/>
          <w:lang w:eastAsia="ko-KR"/>
        </w:rPr>
        <w:t>Tow</w:t>
      </w:r>
      <w:r w:rsidR="003E0D0E" w:rsidRPr="00BE2447">
        <w:rPr>
          <w:rFonts w:eastAsiaTheme="minorEastAsia" w:hint="eastAsia"/>
          <w:sz w:val="24"/>
          <w:szCs w:val="24"/>
          <w:lang w:eastAsia="ko-KR"/>
        </w:rPr>
        <w:t>ed and deployed applications (</w:t>
      </w:r>
      <w:r w:rsidR="00B16EB4" w:rsidRPr="00BE2447">
        <w:rPr>
          <w:rFonts w:eastAsiaTheme="minorEastAsia"/>
          <w:sz w:val="24"/>
          <w:szCs w:val="24"/>
          <w:lang w:eastAsia="ko-KR"/>
        </w:rPr>
        <w:t>e.g.</w:t>
      </w:r>
      <w:r w:rsidR="003E0D0E" w:rsidRPr="00BE2447">
        <w:rPr>
          <w:rFonts w:eastAsiaTheme="minorEastAsia"/>
          <w:sz w:val="24"/>
          <w:szCs w:val="24"/>
          <w:lang w:eastAsia="ko-KR"/>
        </w:rPr>
        <w:t xml:space="preserve"> c</w:t>
      </w:r>
      <w:r w:rsidRPr="00BE2447">
        <w:rPr>
          <w:rFonts w:eastAsiaTheme="minorEastAsia" w:hint="eastAsia"/>
          <w:sz w:val="24"/>
          <w:szCs w:val="24"/>
          <w:lang w:eastAsia="ko-KR"/>
        </w:rPr>
        <w:t>able laying</w:t>
      </w:r>
      <w:r w:rsidR="003E0D0E" w:rsidRPr="00BE2447">
        <w:rPr>
          <w:rFonts w:eastAsiaTheme="minorEastAsia"/>
          <w:sz w:val="24"/>
          <w:szCs w:val="24"/>
          <w:lang w:eastAsia="ko-KR"/>
        </w:rPr>
        <w:t>);</w:t>
      </w:r>
    </w:p>
    <w:p w14:paraId="3C67F6AF" w14:textId="70B003D6" w:rsidR="00996A75" w:rsidRPr="00BE2447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>Search &amp; Rescue applications</w:t>
      </w:r>
      <w:r w:rsidR="003E0D0E" w:rsidRPr="00BE2447">
        <w:rPr>
          <w:sz w:val="24"/>
          <w:szCs w:val="24"/>
          <w:lang w:eastAsia="de-DE"/>
        </w:rPr>
        <w:t>;</w:t>
      </w:r>
      <w:r w:rsidRPr="00BE2447">
        <w:rPr>
          <w:sz w:val="24"/>
          <w:szCs w:val="24"/>
          <w:lang w:eastAsia="de-DE"/>
        </w:rPr>
        <w:t xml:space="preserve"> </w:t>
      </w:r>
    </w:p>
    <w:p w14:paraId="7B6F71C9" w14:textId="12A12ADA" w:rsidR="00DE1647" w:rsidRPr="00BE24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sz w:val="24"/>
          <w:szCs w:val="24"/>
          <w:lang w:eastAsia="de-DE"/>
        </w:rPr>
      </w:pPr>
      <w:r w:rsidRPr="00BE2447">
        <w:rPr>
          <w:sz w:val="24"/>
          <w:szCs w:val="24"/>
          <w:lang w:eastAsia="de-DE"/>
        </w:rPr>
        <w:t xml:space="preserve">Special </w:t>
      </w:r>
      <w:r w:rsidR="00F964D7" w:rsidRPr="00BE2447">
        <w:rPr>
          <w:sz w:val="24"/>
          <w:szCs w:val="24"/>
          <w:lang w:eastAsia="de-DE"/>
        </w:rPr>
        <w:t xml:space="preserve">maritime </w:t>
      </w:r>
      <w:r w:rsidRPr="00BE2447">
        <w:rPr>
          <w:sz w:val="24"/>
          <w:szCs w:val="24"/>
          <w:lang w:eastAsia="de-DE"/>
        </w:rPr>
        <w:t>events (</w:t>
      </w:r>
      <w:r w:rsidR="00B16EB4" w:rsidRPr="00BE2447">
        <w:rPr>
          <w:sz w:val="24"/>
          <w:szCs w:val="24"/>
          <w:lang w:eastAsia="de-DE"/>
        </w:rPr>
        <w:t>e.g.</w:t>
      </w:r>
      <w:r w:rsidRPr="00BE2447">
        <w:rPr>
          <w:sz w:val="24"/>
          <w:szCs w:val="24"/>
          <w:lang w:eastAsia="de-DE"/>
        </w:rPr>
        <w:t xml:space="preserve"> </w:t>
      </w:r>
      <w:proofErr w:type="gramStart"/>
      <w:r w:rsidR="00713D82" w:rsidRPr="00BE2447">
        <w:rPr>
          <w:sz w:val="24"/>
          <w:szCs w:val="24"/>
          <w:lang w:eastAsia="de-DE"/>
        </w:rPr>
        <w:t>S</w:t>
      </w:r>
      <w:r w:rsidR="00996A75" w:rsidRPr="00BE2447">
        <w:rPr>
          <w:sz w:val="24"/>
          <w:szCs w:val="24"/>
          <w:lang w:eastAsia="de-DE"/>
        </w:rPr>
        <w:t>wimming</w:t>
      </w:r>
      <w:proofErr w:type="gramEnd"/>
      <w:r w:rsidR="00713D82" w:rsidRPr="00BE2447">
        <w:rPr>
          <w:sz w:val="24"/>
          <w:szCs w:val="24"/>
          <w:lang w:eastAsia="de-DE"/>
        </w:rPr>
        <w:t xml:space="preserve"> events</w:t>
      </w:r>
      <w:r w:rsidR="00F964D7" w:rsidRPr="00BE2447">
        <w:rPr>
          <w:sz w:val="24"/>
          <w:szCs w:val="24"/>
          <w:lang w:eastAsia="de-DE"/>
        </w:rPr>
        <w:t xml:space="preserve"> and fluvial processions</w:t>
      </w:r>
      <w:r w:rsidRPr="00BE2447">
        <w:rPr>
          <w:sz w:val="24"/>
          <w:szCs w:val="24"/>
          <w:lang w:eastAsia="de-DE"/>
        </w:rPr>
        <w:t>)</w:t>
      </w:r>
      <w:bookmarkEnd w:id="0"/>
      <w:r w:rsidR="005330BB" w:rsidRPr="00BE2447">
        <w:rPr>
          <w:sz w:val="24"/>
          <w:szCs w:val="24"/>
          <w:lang w:eastAsia="de-DE"/>
        </w:rPr>
        <w:t>.</w:t>
      </w:r>
    </w:p>
    <w:p w14:paraId="52D3B3A1" w14:textId="77777777"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1E9F0AD8" w14:textId="77777777"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5" w:name="_Toc449013352"/>
      <w:r>
        <w:t>Type</w:t>
      </w:r>
      <w:r w:rsidRPr="00993B7D">
        <w:t xml:space="preserve"> </w:t>
      </w:r>
      <w:r>
        <w:t>of mobile aton</w:t>
      </w:r>
      <w:bookmarkEnd w:id="5"/>
    </w:p>
    <w:p w14:paraId="566FD4C3" w14:textId="556ED291" w:rsidR="00DE1647" w:rsidRPr="00BE2447" w:rsidRDefault="00DE1647" w:rsidP="00DE1647">
      <w:pPr>
        <w:pStyle w:val="BodyText"/>
        <w:rPr>
          <w:sz w:val="24"/>
          <w:szCs w:val="24"/>
        </w:rPr>
      </w:pPr>
      <w:r w:rsidRPr="00BE2447">
        <w:rPr>
          <w:sz w:val="24"/>
          <w:szCs w:val="24"/>
        </w:rPr>
        <w:t xml:space="preserve">There are two types of </w:t>
      </w:r>
      <w:proofErr w:type="spellStart"/>
      <w:r w:rsidR="009D2CEA" w:rsidRPr="00BE2447">
        <w:rPr>
          <w:sz w:val="24"/>
          <w:szCs w:val="24"/>
          <w:lang w:eastAsia="de-DE"/>
        </w:rPr>
        <w:t>M</w:t>
      </w:r>
      <w:r w:rsidRPr="00BE2447">
        <w:rPr>
          <w:sz w:val="24"/>
          <w:szCs w:val="24"/>
          <w:lang w:eastAsia="de-DE"/>
        </w:rPr>
        <w:t>AtoN</w:t>
      </w:r>
      <w:proofErr w:type="spellEnd"/>
      <w:r w:rsidRPr="00BE2447">
        <w:rPr>
          <w:sz w:val="24"/>
          <w:szCs w:val="24"/>
          <w:lang w:eastAsia="de-DE"/>
        </w:rPr>
        <w:t xml:space="preserve"> that </w:t>
      </w:r>
      <w:proofErr w:type="gramStart"/>
      <w:r w:rsidRPr="00BE2447">
        <w:rPr>
          <w:sz w:val="24"/>
          <w:szCs w:val="24"/>
          <w:lang w:eastAsia="de-DE"/>
        </w:rPr>
        <w:t>can be used</w:t>
      </w:r>
      <w:proofErr w:type="gramEnd"/>
      <w:r w:rsidRPr="00BE2447">
        <w:rPr>
          <w:sz w:val="24"/>
          <w:szCs w:val="24"/>
        </w:rPr>
        <w:t xml:space="preserve"> depending on the task and the area involved. </w:t>
      </w:r>
    </w:p>
    <w:p w14:paraId="1B4223F2" w14:textId="28A61DB8" w:rsidR="00DE1647" w:rsidRPr="00BE2447" w:rsidRDefault="00B16EB4" w:rsidP="00DE1647">
      <w:pPr>
        <w:pStyle w:val="BodyText"/>
        <w:rPr>
          <w:b/>
          <w:sz w:val="24"/>
          <w:szCs w:val="24"/>
        </w:rPr>
      </w:pPr>
      <w:r w:rsidRPr="00BE2447">
        <w:rPr>
          <w:b/>
          <w:sz w:val="24"/>
          <w:szCs w:val="24"/>
        </w:rPr>
        <w:t xml:space="preserve"> Mobile AtoN:</w:t>
      </w:r>
    </w:p>
    <w:p w14:paraId="5369ABFE" w14:textId="77777777" w:rsidR="00DE1647" w:rsidRPr="00BE24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BE2447">
        <w:rPr>
          <w:sz w:val="24"/>
          <w:szCs w:val="24"/>
        </w:rPr>
        <w:t>Physical</w:t>
      </w:r>
    </w:p>
    <w:p w14:paraId="17F80824" w14:textId="77777777" w:rsidR="00DE1647" w:rsidRPr="00BE24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BE2447">
        <w:rPr>
          <w:sz w:val="24"/>
          <w:szCs w:val="24"/>
        </w:rPr>
        <w:t>Virtual</w:t>
      </w:r>
    </w:p>
    <w:p w14:paraId="1790DEAB" w14:textId="64676B05" w:rsidR="000C3A78" w:rsidRPr="00BE2447" w:rsidRDefault="000C3A78" w:rsidP="000C3A78">
      <w:pPr>
        <w:pStyle w:val="BodyText"/>
        <w:spacing w:line="240" w:lineRule="auto"/>
        <w:jc w:val="both"/>
        <w:rPr>
          <w:sz w:val="24"/>
          <w:szCs w:val="24"/>
        </w:rPr>
      </w:pPr>
      <w:r w:rsidRPr="00BE2447">
        <w:rPr>
          <w:sz w:val="24"/>
          <w:szCs w:val="24"/>
        </w:rPr>
        <w:t>Competent Authorities should address or implement the best solution based on their own risk assessment.</w:t>
      </w:r>
    </w:p>
    <w:p w14:paraId="215D10E4" w14:textId="77777777"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216489709"/>
      <w:bookmarkStart w:id="7" w:name="_Toc449013361"/>
      <w:r w:rsidRPr="00993B7D">
        <w:t>Monitoring and reporting</w:t>
      </w:r>
      <w:bookmarkEnd w:id="6"/>
      <w:bookmarkEnd w:id="7"/>
    </w:p>
    <w:p w14:paraId="0A5DBD11" w14:textId="2BC6B73C" w:rsidR="009D2CEA" w:rsidRPr="00BE2447" w:rsidRDefault="0054566F" w:rsidP="009D2CEA">
      <w:pPr>
        <w:pStyle w:val="BodyText"/>
        <w:rPr>
          <w:sz w:val="24"/>
          <w:szCs w:val="24"/>
        </w:rPr>
      </w:pPr>
      <w:r w:rsidRPr="00BE2447">
        <w:rPr>
          <w:sz w:val="24"/>
          <w:szCs w:val="24"/>
          <w:lang w:eastAsia="de-DE"/>
        </w:rPr>
        <w:t>A</w:t>
      </w:r>
      <w:r w:rsidR="009D2CEA" w:rsidRPr="00BE2447">
        <w:rPr>
          <w:sz w:val="24"/>
          <w:szCs w:val="24"/>
          <w:lang w:eastAsia="de-DE"/>
        </w:rPr>
        <w:t xml:space="preserve">uthorities </w:t>
      </w:r>
      <w:r w:rsidR="009D2CEA" w:rsidRPr="00BE2447">
        <w:rPr>
          <w:sz w:val="24"/>
          <w:szCs w:val="24"/>
        </w:rPr>
        <w:t>need to take special care with position monitoring and integrity, as it pertains to dri</w:t>
      </w:r>
      <w:r w:rsidR="00BC67AB" w:rsidRPr="00BE2447">
        <w:rPr>
          <w:sz w:val="24"/>
          <w:szCs w:val="24"/>
        </w:rPr>
        <w:t>fting hazards and obstructions.</w:t>
      </w:r>
    </w:p>
    <w:p w14:paraId="492AFE88" w14:textId="19819082" w:rsidR="00204D1C" w:rsidRPr="00BE2447" w:rsidRDefault="00204D1C" w:rsidP="009D2CEA">
      <w:pPr>
        <w:pStyle w:val="BodyText"/>
        <w:rPr>
          <w:sz w:val="24"/>
          <w:szCs w:val="24"/>
        </w:rPr>
      </w:pPr>
      <w:r w:rsidRPr="00BE2447">
        <w:rPr>
          <w:sz w:val="24"/>
          <w:szCs w:val="24"/>
        </w:rPr>
        <w:t xml:space="preserve">The broadcast of Maritime Safety Information is </w:t>
      </w:r>
      <w:r w:rsidR="00873484" w:rsidRPr="00BE2447">
        <w:rPr>
          <w:sz w:val="24"/>
          <w:szCs w:val="24"/>
        </w:rPr>
        <w:t>essential</w:t>
      </w:r>
      <w:r w:rsidRPr="00BE2447">
        <w:rPr>
          <w:sz w:val="24"/>
          <w:szCs w:val="24"/>
        </w:rPr>
        <w:t xml:space="preserve"> in the use </w:t>
      </w:r>
      <w:r w:rsidR="00E31BDB" w:rsidRPr="00BE2447">
        <w:rPr>
          <w:sz w:val="24"/>
          <w:szCs w:val="24"/>
        </w:rPr>
        <w:t>and</w:t>
      </w:r>
      <w:r w:rsidRPr="00BE2447">
        <w:rPr>
          <w:sz w:val="24"/>
          <w:szCs w:val="24"/>
        </w:rPr>
        <w:t xml:space="preserve"> reporting of </w:t>
      </w:r>
      <w:proofErr w:type="spellStart"/>
      <w:r w:rsidRPr="00BE2447">
        <w:rPr>
          <w:sz w:val="24"/>
          <w:szCs w:val="24"/>
        </w:rPr>
        <w:t>MAtoN</w:t>
      </w:r>
      <w:proofErr w:type="spellEnd"/>
      <w:r w:rsidR="002050CD" w:rsidRPr="00BE2447">
        <w:rPr>
          <w:sz w:val="24"/>
          <w:szCs w:val="24"/>
        </w:rPr>
        <w:t>.</w:t>
      </w:r>
    </w:p>
    <w:p w14:paraId="11737A94" w14:textId="497E92A9" w:rsidR="00204D1C" w:rsidRPr="00BE2447" w:rsidRDefault="0054566F" w:rsidP="00204D1C">
      <w:pPr>
        <w:pStyle w:val="BodyText"/>
        <w:rPr>
          <w:sz w:val="24"/>
          <w:szCs w:val="24"/>
        </w:rPr>
      </w:pPr>
      <w:r w:rsidRPr="00BE2447">
        <w:rPr>
          <w:sz w:val="24"/>
          <w:szCs w:val="24"/>
        </w:rPr>
        <w:t>An Authority</w:t>
      </w:r>
      <w:r w:rsidR="00204D1C" w:rsidRPr="00BE2447">
        <w:rPr>
          <w:sz w:val="24"/>
          <w:szCs w:val="24"/>
        </w:rPr>
        <w:t xml:space="preserve"> or owner losing the ability to monitor the </w:t>
      </w:r>
      <w:proofErr w:type="spellStart"/>
      <w:r w:rsidR="00204D1C" w:rsidRPr="00BE2447">
        <w:rPr>
          <w:sz w:val="24"/>
          <w:szCs w:val="24"/>
        </w:rPr>
        <w:t>MAtoN</w:t>
      </w:r>
      <w:proofErr w:type="spellEnd"/>
      <w:r w:rsidR="00204D1C" w:rsidRPr="00BE2447">
        <w:rPr>
          <w:sz w:val="24"/>
          <w:szCs w:val="24"/>
        </w:rPr>
        <w:t xml:space="preserve"> that it has deployed, nonetheless retains responsibility until either it is retrieved, sinks or the responsibility is assumed by another </w:t>
      </w:r>
      <w:r w:rsidRPr="00BE2447">
        <w:rPr>
          <w:sz w:val="24"/>
          <w:szCs w:val="24"/>
        </w:rPr>
        <w:t>Authority.</w:t>
      </w:r>
    </w:p>
    <w:sectPr w:rsidR="00204D1C" w:rsidRPr="00BE2447" w:rsidSect="0083218D">
      <w:headerReference w:type="default" r:id="rId1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88278" w14:textId="77777777" w:rsidR="001A02A7" w:rsidRDefault="001A02A7" w:rsidP="003274DB">
      <w:r>
        <w:separator/>
      </w:r>
    </w:p>
    <w:p w14:paraId="0861EC5F" w14:textId="77777777" w:rsidR="001A02A7" w:rsidRDefault="001A02A7"/>
  </w:endnote>
  <w:endnote w:type="continuationSeparator" w:id="0">
    <w:p w14:paraId="664F0932" w14:textId="77777777" w:rsidR="001A02A7" w:rsidRDefault="001A02A7" w:rsidP="003274DB">
      <w:r>
        <w:continuationSeparator/>
      </w:r>
    </w:p>
    <w:p w14:paraId="0120A1E1" w14:textId="77777777" w:rsidR="001A02A7" w:rsidRDefault="001A0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36F13" w14:textId="49BBBC6F" w:rsidR="002E4993" w:rsidRDefault="008C1B07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4A135259" wp14:editId="1521B8D0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8BA273C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3998FE2D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24AF4ED" wp14:editId="70A31BB6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5BC8C2" w14:textId="77777777" w:rsidR="002E4993" w:rsidRPr="00ED2A8D" w:rsidRDefault="002E4993" w:rsidP="008747E0">
    <w:pPr>
      <w:pStyle w:val="Footer"/>
    </w:pPr>
  </w:p>
  <w:p w14:paraId="05318E1A" w14:textId="77777777" w:rsidR="002E4993" w:rsidRPr="00ED2A8D" w:rsidRDefault="002E4993" w:rsidP="008747E0">
    <w:pPr>
      <w:pStyle w:val="Footer"/>
    </w:pPr>
  </w:p>
  <w:p w14:paraId="592523D5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B8FBF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1F65B24" w14:textId="77777777" w:rsidR="007A72CF" w:rsidRDefault="007A72CF" w:rsidP="007A72CF">
    <w:pPr>
      <w:pStyle w:val="Footerportrait"/>
    </w:pPr>
  </w:p>
  <w:p w14:paraId="13135C3B" w14:textId="77777777" w:rsidR="007A72CF" w:rsidRPr="007A72CF" w:rsidRDefault="001A02A7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BE2447"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BE2447">
      <w:t>R1016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BE2447">
      <w:t>MOBILE AIDS TO NAVIGATION</w:t>
    </w:r>
    <w:r>
      <w:fldChar w:fldCharType="end"/>
    </w:r>
    <w:r w:rsidR="007A72CF">
      <w:tab/>
    </w:r>
  </w:p>
  <w:p w14:paraId="68C6097D" w14:textId="77777777" w:rsidR="008608A4" w:rsidRDefault="001A02A7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BE2447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BE2447">
      <w:t>December 2017</w:t>
    </w:r>
    <w:r>
      <w:fldChar w:fldCharType="end"/>
    </w:r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BE2447">
      <w:t>3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761D2" w14:textId="77777777" w:rsidR="001A02A7" w:rsidRDefault="001A02A7" w:rsidP="003274DB">
      <w:r>
        <w:separator/>
      </w:r>
    </w:p>
    <w:p w14:paraId="0550C04A" w14:textId="77777777" w:rsidR="001A02A7" w:rsidRDefault="001A02A7"/>
  </w:footnote>
  <w:footnote w:type="continuationSeparator" w:id="0">
    <w:p w14:paraId="02411B5C" w14:textId="77777777" w:rsidR="001A02A7" w:rsidRDefault="001A02A7" w:rsidP="003274DB">
      <w:r>
        <w:continuationSeparator/>
      </w:r>
    </w:p>
    <w:p w14:paraId="16C350B2" w14:textId="77777777" w:rsidR="001A02A7" w:rsidRDefault="001A02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8D98E" w14:textId="5A4651AA"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C637782" wp14:editId="6EEC9B4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493EA5">
      <w:t>ARM7-</w:t>
    </w:r>
    <w:r w:rsidR="00AA0BF6">
      <w:t>12.1.13</w:t>
    </w:r>
  </w:p>
  <w:p w14:paraId="18AF0484" w14:textId="77777777" w:rsidR="002E4993" w:rsidRPr="00ED2A8D" w:rsidRDefault="002E4993" w:rsidP="008747E0">
    <w:pPr>
      <w:pStyle w:val="Header"/>
    </w:pPr>
  </w:p>
  <w:p w14:paraId="0D4CED09" w14:textId="77777777" w:rsidR="002E4993" w:rsidRDefault="002E4993" w:rsidP="008747E0">
    <w:pPr>
      <w:pStyle w:val="Header"/>
    </w:pPr>
  </w:p>
  <w:p w14:paraId="5B2E24C5" w14:textId="77777777" w:rsidR="002E4993" w:rsidRDefault="002E4993" w:rsidP="008747E0">
    <w:pPr>
      <w:pStyle w:val="Header"/>
    </w:pPr>
  </w:p>
  <w:p w14:paraId="144583BE" w14:textId="77777777" w:rsidR="002E4993" w:rsidRDefault="002E4993" w:rsidP="008747E0">
    <w:pPr>
      <w:pStyle w:val="Header"/>
    </w:pPr>
  </w:p>
  <w:p w14:paraId="49DBD243" w14:textId="77777777" w:rsidR="002E4993" w:rsidRDefault="002E4993" w:rsidP="008747E0">
    <w:pPr>
      <w:pStyle w:val="Header"/>
    </w:pPr>
  </w:p>
  <w:p w14:paraId="111E1DB3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60EDA74" wp14:editId="02DF42D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6608D6" w14:textId="77777777" w:rsidR="002E4993" w:rsidRPr="00ED2A8D" w:rsidRDefault="002E4993" w:rsidP="008747E0">
    <w:pPr>
      <w:pStyle w:val="Header"/>
    </w:pPr>
  </w:p>
  <w:p w14:paraId="246DC5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9685B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C6AF95F" wp14:editId="6EED8C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F52833" w14:textId="77777777" w:rsidR="002E4993" w:rsidRPr="00ED2A8D" w:rsidRDefault="002E4993" w:rsidP="008747E0">
    <w:pPr>
      <w:pStyle w:val="Header"/>
    </w:pPr>
  </w:p>
  <w:p w14:paraId="7C141A42" w14:textId="77777777" w:rsidR="002E4993" w:rsidRDefault="002E4993" w:rsidP="008747E0">
    <w:pPr>
      <w:pStyle w:val="Header"/>
    </w:pPr>
  </w:p>
  <w:p w14:paraId="2A404399" w14:textId="77777777" w:rsidR="002E4993" w:rsidRDefault="002E4993" w:rsidP="008747E0">
    <w:pPr>
      <w:pStyle w:val="Header"/>
    </w:pPr>
  </w:p>
  <w:p w14:paraId="7E6E1487" w14:textId="77777777" w:rsidR="002E4993" w:rsidRDefault="002E4993" w:rsidP="008747E0">
    <w:pPr>
      <w:pStyle w:val="Header"/>
    </w:pPr>
  </w:p>
  <w:p w14:paraId="601677FA" w14:textId="77777777" w:rsidR="002E4993" w:rsidRPr="00441393" w:rsidRDefault="002E4993" w:rsidP="00441393">
    <w:pPr>
      <w:pStyle w:val="Contents"/>
    </w:pPr>
    <w:r>
      <w:t>DOCUMENT REVISION</w:t>
    </w:r>
  </w:p>
  <w:p w14:paraId="59059240" w14:textId="77777777" w:rsidR="002E4993" w:rsidRPr="00ED2A8D" w:rsidRDefault="002E4993" w:rsidP="008747E0">
    <w:pPr>
      <w:pStyle w:val="Header"/>
    </w:pPr>
  </w:p>
  <w:p w14:paraId="45C898B0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B03B3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A414AC8" wp14:editId="25DEAE8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A57D4"/>
    <w:multiLevelType w:val="hybridMultilevel"/>
    <w:tmpl w:val="5C2469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16"/>
  </w:num>
  <w:num w:numId="9">
    <w:abstractNumId w:val="20"/>
  </w:num>
  <w:num w:numId="10">
    <w:abstractNumId w:val="19"/>
  </w:num>
  <w:num w:numId="11">
    <w:abstractNumId w:val="17"/>
  </w:num>
  <w:num w:numId="12">
    <w:abstractNumId w:val="21"/>
  </w:num>
  <w:num w:numId="13">
    <w:abstractNumId w:val="15"/>
  </w:num>
  <w:num w:numId="14">
    <w:abstractNumId w:val="7"/>
  </w:num>
  <w:num w:numId="15">
    <w:abstractNumId w:val="22"/>
  </w:num>
  <w:num w:numId="16">
    <w:abstractNumId w:val="0"/>
  </w:num>
  <w:num w:numId="17">
    <w:abstractNumId w:val="12"/>
  </w:num>
  <w:num w:numId="18">
    <w:abstractNumId w:val="8"/>
  </w:num>
  <w:num w:numId="19">
    <w:abstractNumId w:val="9"/>
  </w:num>
  <w:num w:numId="20">
    <w:abstractNumId w:val="13"/>
  </w:num>
  <w:num w:numId="21">
    <w:abstractNumId w:val="4"/>
  </w:num>
  <w:num w:numId="22">
    <w:abstractNumId w:val="18"/>
  </w:num>
  <w:num w:numId="23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A1"/>
    <w:rsid w:val="000174F9"/>
    <w:rsid w:val="000258F6"/>
    <w:rsid w:val="000379A7"/>
    <w:rsid w:val="00040EB8"/>
    <w:rsid w:val="000444B7"/>
    <w:rsid w:val="00055311"/>
    <w:rsid w:val="0005634E"/>
    <w:rsid w:val="00057B6D"/>
    <w:rsid w:val="00060C0C"/>
    <w:rsid w:val="00061A7B"/>
    <w:rsid w:val="00084FE9"/>
    <w:rsid w:val="000859C4"/>
    <w:rsid w:val="000904ED"/>
    <w:rsid w:val="00090711"/>
    <w:rsid w:val="000921C6"/>
    <w:rsid w:val="00096642"/>
    <w:rsid w:val="000A081B"/>
    <w:rsid w:val="000A27A8"/>
    <w:rsid w:val="000B26B9"/>
    <w:rsid w:val="000B4F80"/>
    <w:rsid w:val="000C3A7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A02A7"/>
    <w:rsid w:val="001B7940"/>
    <w:rsid w:val="001D4A3E"/>
    <w:rsid w:val="001D7166"/>
    <w:rsid w:val="001E416D"/>
    <w:rsid w:val="00201337"/>
    <w:rsid w:val="002022EA"/>
    <w:rsid w:val="00204D1C"/>
    <w:rsid w:val="002050CD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415"/>
    <w:rsid w:val="003A7759"/>
    <w:rsid w:val="003B03EA"/>
    <w:rsid w:val="003B5C7C"/>
    <w:rsid w:val="003C7C34"/>
    <w:rsid w:val="003D0F37"/>
    <w:rsid w:val="003D49C0"/>
    <w:rsid w:val="003D5150"/>
    <w:rsid w:val="003E0AF9"/>
    <w:rsid w:val="003E0D0E"/>
    <w:rsid w:val="003F1C3A"/>
    <w:rsid w:val="00405755"/>
    <w:rsid w:val="00441393"/>
    <w:rsid w:val="00447CF0"/>
    <w:rsid w:val="00456EE9"/>
    <w:rsid w:val="00456F10"/>
    <w:rsid w:val="00492A8D"/>
    <w:rsid w:val="00493EA5"/>
    <w:rsid w:val="004A586C"/>
    <w:rsid w:val="004B0952"/>
    <w:rsid w:val="004B518C"/>
    <w:rsid w:val="004D24EC"/>
    <w:rsid w:val="004E104F"/>
    <w:rsid w:val="004E1D57"/>
    <w:rsid w:val="004E2F16"/>
    <w:rsid w:val="004E709D"/>
    <w:rsid w:val="00501C58"/>
    <w:rsid w:val="00503044"/>
    <w:rsid w:val="00526234"/>
    <w:rsid w:val="005330BB"/>
    <w:rsid w:val="005378B8"/>
    <w:rsid w:val="0054566F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269B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13D82"/>
    <w:rsid w:val="007210C1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0F36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484"/>
    <w:rsid w:val="008737D3"/>
    <w:rsid w:val="008747E0"/>
    <w:rsid w:val="00876841"/>
    <w:rsid w:val="008972C3"/>
    <w:rsid w:val="008A2A8D"/>
    <w:rsid w:val="008B237E"/>
    <w:rsid w:val="008C1B07"/>
    <w:rsid w:val="008C33B5"/>
    <w:rsid w:val="008D017F"/>
    <w:rsid w:val="008D4B22"/>
    <w:rsid w:val="008E12FA"/>
    <w:rsid w:val="008E1F69"/>
    <w:rsid w:val="008E59A3"/>
    <w:rsid w:val="008F57D8"/>
    <w:rsid w:val="00902834"/>
    <w:rsid w:val="009069AA"/>
    <w:rsid w:val="00912748"/>
    <w:rsid w:val="00914E26"/>
    <w:rsid w:val="0091590F"/>
    <w:rsid w:val="00920B0A"/>
    <w:rsid w:val="0092540C"/>
    <w:rsid w:val="00925E0F"/>
    <w:rsid w:val="00927BBF"/>
    <w:rsid w:val="00931A57"/>
    <w:rsid w:val="009414E6"/>
    <w:rsid w:val="00945EDC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4308C"/>
    <w:rsid w:val="00A549B3"/>
    <w:rsid w:val="00A70F46"/>
    <w:rsid w:val="00A72ED7"/>
    <w:rsid w:val="00A8126D"/>
    <w:rsid w:val="00A90D86"/>
    <w:rsid w:val="00AA0BF6"/>
    <w:rsid w:val="00AA3E01"/>
    <w:rsid w:val="00AB04DD"/>
    <w:rsid w:val="00AC33A2"/>
    <w:rsid w:val="00AD6D3F"/>
    <w:rsid w:val="00AE65F1"/>
    <w:rsid w:val="00AE6A1B"/>
    <w:rsid w:val="00AE6BB4"/>
    <w:rsid w:val="00AE74AD"/>
    <w:rsid w:val="00AF159C"/>
    <w:rsid w:val="00B01873"/>
    <w:rsid w:val="00B16EB4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2FC"/>
    <w:rsid w:val="00BA67FD"/>
    <w:rsid w:val="00BA7C48"/>
    <w:rsid w:val="00BC27F6"/>
    <w:rsid w:val="00BC39F4"/>
    <w:rsid w:val="00BC67AB"/>
    <w:rsid w:val="00BD0748"/>
    <w:rsid w:val="00BD7EE1"/>
    <w:rsid w:val="00BE2447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31BDB"/>
    <w:rsid w:val="00E42A94"/>
    <w:rsid w:val="00E458BF"/>
    <w:rsid w:val="00E706E7"/>
    <w:rsid w:val="00E84229"/>
    <w:rsid w:val="00E90E4E"/>
    <w:rsid w:val="00E9391E"/>
    <w:rsid w:val="00E97F8D"/>
    <w:rsid w:val="00EA0DF4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964D7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1F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paragraph" w:customStyle="1" w:styleId="Lista-recommendation">
    <w:name w:val="List a - recommendation"/>
    <w:basedOn w:val="Normal"/>
    <w:qFormat/>
    <w:rsid w:val="00BE2447"/>
    <w:p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paragraph" w:customStyle="1" w:styleId="Lista-recommendation">
    <w:name w:val="List a - recommendation"/>
    <w:basedOn w:val="Normal"/>
    <w:qFormat/>
    <w:rsid w:val="00BE2447"/>
    <w:p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2608F-A2A7-4BE9-A88A-280B1DC1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29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3338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7</cp:revision>
  <dcterms:created xsi:type="dcterms:W3CDTF">2017-10-26T10:29:00Z</dcterms:created>
  <dcterms:modified xsi:type="dcterms:W3CDTF">2017-10-30T13:20:00Z</dcterms:modified>
</cp:coreProperties>
</file>