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F3BBDD" w14:textId="77777777" w:rsidR="00D95962" w:rsidRDefault="009831C0" w:rsidP="0092692B">
      <w:pPr>
        <w:pStyle w:val="BodyText"/>
        <w:tabs>
          <w:tab w:val="left" w:pos="1701"/>
        </w:tabs>
      </w:pPr>
      <w:r>
        <w:t>e-NAV</w:t>
      </w:r>
      <w:r w:rsidR="00B20031">
        <w:t>1</w:t>
      </w:r>
      <w:r w:rsidR="009654D1">
        <w:t>1</w:t>
      </w:r>
      <w:r w:rsidR="0092692B">
        <w:tab/>
      </w:r>
      <w:r w:rsidR="001C44A3">
        <w:t>Input paper</w:t>
      </w:r>
      <w:r w:rsidR="00A0389B">
        <w:t xml:space="preserve"> </w:t>
      </w:r>
    </w:p>
    <w:p w14:paraId="5B7AC987" w14:textId="77777777" w:rsidR="00A446C9" w:rsidRDefault="00A446C9" w:rsidP="00362CD9">
      <w:pPr>
        <w:pStyle w:val="BodyText"/>
        <w:tabs>
          <w:tab w:val="left" w:pos="1701"/>
        </w:tabs>
      </w:pPr>
      <w:r>
        <w:t>Agenda item</w:t>
      </w:r>
      <w:r w:rsidR="001C44A3">
        <w:tab/>
      </w:r>
      <w:r w:rsidR="008A060F">
        <w:t>16</w:t>
      </w:r>
    </w:p>
    <w:p w14:paraId="10921B63" w14:textId="77777777" w:rsidR="00A446C9" w:rsidRDefault="00A446C9" w:rsidP="00362CD9">
      <w:pPr>
        <w:pStyle w:val="BodyText"/>
        <w:tabs>
          <w:tab w:val="left" w:pos="1701"/>
        </w:tabs>
      </w:pPr>
      <w:r>
        <w:t>Task Number</w:t>
      </w:r>
      <w:r w:rsidR="001C44A3">
        <w:tab/>
      </w:r>
      <w:r w:rsidR="008A060F">
        <w:t>31</w:t>
      </w:r>
    </w:p>
    <w:p w14:paraId="50315930" w14:textId="77777777" w:rsidR="00362CD9" w:rsidRDefault="00362CD9" w:rsidP="00362CD9">
      <w:pPr>
        <w:pStyle w:val="BodyText"/>
        <w:tabs>
          <w:tab w:val="left" w:pos="1701"/>
        </w:tabs>
      </w:pPr>
      <w:r>
        <w:t>Author(s)</w:t>
      </w:r>
      <w:r>
        <w:tab/>
      </w:r>
      <w:r w:rsidR="007451AF">
        <w:t xml:space="preserve">Chair &amp; </w:t>
      </w:r>
      <w:r w:rsidR="008A060F">
        <w:t>Vice</w:t>
      </w:r>
      <w:r w:rsidR="009654D1">
        <w:t>-</w:t>
      </w:r>
      <w:r w:rsidR="008A060F">
        <w:t>chair</w:t>
      </w:r>
    </w:p>
    <w:p w14:paraId="1037776F" w14:textId="77777777" w:rsidR="009654D1" w:rsidRPr="009654D1" w:rsidRDefault="009654D1" w:rsidP="00362CD9">
      <w:pPr>
        <w:pStyle w:val="BodyText"/>
        <w:tabs>
          <w:tab w:val="left" w:pos="1701"/>
        </w:tabs>
      </w:pPr>
    </w:p>
    <w:p w14:paraId="3AED8D81" w14:textId="77777777" w:rsidR="00A446C9" w:rsidRPr="009654D1" w:rsidRDefault="009654D1" w:rsidP="00A446C9">
      <w:pPr>
        <w:pStyle w:val="Title"/>
      </w:pPr>
      <w:r>
        <w:t>Regulatory Process for e-Navigation</w:t>
      </w:r>
    </w:p>
    <w:p w14:paraId="465A5FD6" w14:textId="77777777" w:rsidR="00A446C9" w:rsidRDefault="00A446C9" w:rsidP="00A446C9">
      <w:pPr>
        <w:pStyle w:val="Heading1"/>
      </w:pPr>
      <w:r>
        <w:t>Summary</w:t>
      </w:r>
    </w:p>
    <w:p w14:paraId="141B63A5" w14:textId="77777777" w:rsidR="00BD4E6F" w:rsidRPr="00760DF9" w:rsidRDefault="00942904" w:rsidP="00B56BDF">
      <w:pPr>
        <w:pStyle w:val="BodyText"/>
      </w:pPr>
      <w:r>
        <w:t xml:space="preserve">This document considers the regulatory </w:t>
      </w:r>
      <w:r w:rsidR="00FE1AF5">
        <w:t>situation regarding</w:t>
      </w:r>
      <w:r>
        <w:t xml:space="preserve"> the introduction of e-Navigation</w:t>
      </w:r>
      <w:r w:rsidR="00FE1AF5">
        <w:t>.</w:t>
      </w:r>
    </w:p>
    <w:p w14:paraId="79CA6EAE" w14:textId="77777777" w:rsidR="001C44A3" w:rsidRDefault="00BD4E6F" w:rsidP="00B56BDF">
      <w:pPr>
        <w:pStyle w:val="Heading2"/>
      </w:pPr>
      <w:r>
        <w:t>Purpose</w:t>
      </w:r>
      <w:r w:rsidR="004D1D85">
        <w:t xml:space="preserve"> of the document</w:t>
      </w:r>
    </w:p>
    <w:p w14:paraId="6604FCD3" w14:textId="77777777" w:rsidR="00E55927" w:rsidRPr="00B56BDF" w:rsidRDefault="00FE1AF5" w:rsidP="00E55927">
      <w:pPr>
        <w:pStyle w:val="BodyText"/>
      </w:pPr>
      <w:r>
        <w:t>T</w:t>
      </w:r>
      <w:r w:rsidR="00BD4E6F">
        <w:t xml:space="preserve">he Committee </w:t>
      </w:r>
      <w:r>
        <w:t xml:space="preserve">is invited to </w:t>
      </w:r>
      <w:r w:rsidR="009A6299">
        <w:t xml:space="preserve">note the Council decision not to approve the previous paper and </w:t>
      </w:r>
      <w:r>
        <w:t xml:space="preserve">consider the options of either doing nothing or </w:t>
      </w:r>
      <w:r w:rsidR="009A6299">
        <w:t xml:space="preserve">making revised </w:t>
      </w:r>
      <w:r>
        <w:t>propos</w:t>
      </w:r>
      <w:r w:rsidR="009A6299">
        <w:t xml:space="preserve">als for streamlining </w:t>
      </w:r>
      <w:r>
        <w:t xml:space="preserve">the </w:t>
      </w:r>
      <w:r w:rsidR="009A6299">
        <w:t xml:space="preserve">regulatory </w:t>
      </w:r>
      <w:r>
        <w:t>process.</w:t>
      </w:r>
    </w:p>
    <w:p w14:paraId="68640EFB" w14:textId="77777777" w:rsidR="00B56BDF" w:rsidRDefault="00B56BDF" w:rsidP="00B56BDF">
      <w:pPr>
        <w:pStyle w:val="Heading2"/>
      </w:pPr>
      <w:r>
        <w:t>Related documents</w:t>
      </w:r>
    </w:p>
    <w:p w14:paraId="619F9557" w14:textId="77777777" w:rsidR="00E55927" w:rsidRPr="00B56BDF" w:rsidRDefault="008A060F" w:rsidP="00E55927">
      <w:pPr>
        <w:pStyle w:val="BodyText"/>
      </w:pPr>
      <w:r>
        <w:t xml:space="preserve">The </w:t>
      </w:r>
      <w:r w:rsidR="009A6299">
        <w:t>previous paper</w:t>
      </w:r>
      <w:r>
        <w:t xml:space="preserve"> as submitted to the 52</w:t>
      </w:r>
      <w:r w:rsidRPr="008A060F">
        <w:rPr>
          <w:vertAlign w:val="superscript"/>
        </w:rPr>
        <w:t>nd</w:t>
      </w:r>
      <w:r w:rsidR="007451AF">
        <w:t xml:space="preserve"> session of Council by PAP 22 (Annex A)</w:t>
      </w:r>
      <w:r w:rsidR="00E55927">
        <w:t>.</w:t>
      </w:r>
    </w:p>
    <w:p w14:paraId="4231027F" w14:textId="77777777" w:rsidR="00A446C9" w:rsidRDefault="00A446C9" w:rsidP="00A446C9">
      <w:pPr>
        <w:pStyle w:val="Heading1"/>
      </w:pPr>
      <w:r>
        <w:t>Background</w:t>
      </w:r>
    </w:p>
    <w:p w14:paraId="6D399E72" w14:textId="77777777" w:rsidR="00942904" w:rsidRDefault="00942904" w:rsidP="00942904">
      <w:pPr>
        <w:pStyle w:val="BodyText"/>
      </w:pPr>
      <w:r>
        <w:t>Following discussions at e-Navigation Underway in January 2011 about the possible obstacles to the introduction of e-Navigation posed by the lengthy regulatory process</w:t>
      </w:r>
      <w:r w:rsidR="009654D1">
        <w:t>, a</w:t>
      </w:r>
      <w:r>
        <w:t xml:space="preserve"> note was submitted to e-NAV 9 in March 2011 setting out the problem and </w:t>
      </w:r>
      <w:r w:rsidR="009654D1">
        <w:t xml:space="preserve">some </w:t>
      </w:r>
      <w:r>
        <w:t>potential solutions. A new task was added to the Work Program and approved by Council Session 51 in June 2011. A paper was submitted to e-NAV 10 and forwarded to PAP 22, where it was further developed and submitted to the Council 52n in December 2011.</w:t>
      </w:r>
    </w:p>
    <w:p w14:paraId="56807339" w14:textId="77777777" w:rsidR="00A446C9" w:rsidRPr="009654D1" w:rsidRDefault="00942904" w:rsidP="00942904">
      <w:pPr>
        <w:pStyle w:val="BodyText"/>
      </w:pPr>
      <w:r>
        <w:t xml:space="preserve">The Council considered that the matter was beyond IALA’s remit and </w:t>
      </w:r>
      <w:r w:rsidR="009A6299">
        <w:t>did not approve the paper</w:t>
      </w:r>
      <w:r>
        <w:t xml:space="preserve">.  </w:t>
      </w:r>
    </w:p>
    <w:p w14:paraId="18D13CA2" w14:textId="77777777" w:rsidR="00A446C9" w:rsidRDefault="00A446C9" w:rsidP="00A446C9">
      <w:pPr>
        <w:pStyle w:val="Heading1"/>
      </w:pPr>
      <w:r>
        <w:t>Discussion</w:t>
      </w:r>
    </w:p>
    <w:p w14:paraId="2E0FCE0C" w14:textId="77777777" w:rsidR="009654D1" w:rsidRPr="007451AF" w:rsidRDefault="005B58A1" w:rsidP="009654D1">
      <w:pPr>
        <w:pStyle w:val="BodyText"/>
        <w:rPr>
          <w:rFonts w:cs="Arial"/>
          <w:szCs w:val="20"/>
        </w:rPr>
      </w:pPr>
      <w:r>
        <w:rPr>
          <w:lang w:eastAsia="de-DE"/>
        </w:rPr>
        <w:t>Two</w:t>
      </w:r>
      <w:r w:rsidR="009654D1">
        <w:rPr>
          <w:lang w:eastAsia="de-DE"/>
        </w:rPr>
        <w:t xml:space="preserve"> approaches </w:t>
      </w:r>
      <w:r>
        <w:rPr>
          <w:lang w:eastAsia="de-DE"/>
        </w:rPr>
        <w:t xml:space="preserve">were </w:t>
      </w:r>
      <w:r w:rsidR="009654D1">
        <w:rPr>
          <w:lang w:eastAsia="de-DE"/>
        </w:rPr>
        <w:t>proposed in the paper sent to Council</w:t>
      </w:r>
      <w:r>
        <w:rPr>
          <w:lang w:eastAsia="de-DE"/>
        </w:rPr>
        <w:t>. One</w:t>
      </w:r>
      <w:r w:rsidR="009654D1">
        <w:rPr>
          <w:lang w:eastAsia="de-DE"/>
        </w:rPr>
        <w:t xml:space="preserve"> was a</w:t>
      </w:r>
      <w:r w:rsidR="009654D1" w:rsidRPr="00BF57BA">
        <w:rPr>
          <w:rFonts w:cs="Arial"/>
          <w:sz w:val="21"/>
          <w:szCs w:val="21"/>
        </w:rPr>
        <w:t xml:space="preserve"> </w:t>
      </w:r>
      <w:r w:rsidR="009654D1" w:rsidRPr="007451AF">
        <w:rPr>
          <w:rFonts w:cs="Arial"/>
          <w:szCs w:val="20"/>
        </w:rPr>
        <w:t>single, over-arching standard for a display compatible with existing ship</w:t>
      </w:r>
      <w:r w:rsidR="00DB1226" w:rsidRPr="007451AF">
        <w:rPr>
          <w:rFonts w:cs="Arial"/>
          <w:szCs w:val="20"/>
        </w:rPr>
        <w:t>-</w:t>
      </w:r>
      <w:r w:rsidR="009654D1" w:rsidRPr="007451AF">
        <w:rPr>
          <w:rFonts w:cs="Arial"/>
          <w:szCs w:val="20"/>
        </w:rPr>
        <w:t xml:space="preserve">borne equipment, supported by </w:t>
      </w:r>
      <w:r w:rsidR="009A6299" w:rsidRPr="007451AF">
        <w:rPr>
          <w:rFonts w:cs="Arial"/>
          <w:szCs w:val="20"/>
        </w:rPr>
        <w:t xml:space="preserve">existing or new, </w:t>
      </w:r>
      <w:r w:rsidR="009654D1" w:rsidRPr="007451AF">
        <w:rPr>
          <w:rFonts w:cs="Arial"/>
          <w:szCs w:val="20"/>
        </w:rPr>
        <w:t>generic</w:t>
      </w:r>
      <w:r w:rsidR="009A6299" w:rsidRPr="007451AF">
        <w:rPr>
          <w:rFonts w:cs="Arial"/>
          <w:szCs w:val="20"/>
        </w:rPr>
        <w:t>,</w:t>
      </w:r>
      <w:r w:rsidR="009654D1" w:rsidRPr="007451AF">
        <w:rPr>
          <w:rFonts w:cs="Arial"/>
          <w:szCs w:val="20"/>
        </w:rPr>
        <w:t xml:space="preserve"> standards. This </w:t>
      </w:r>
      <w:r w:rsidR="009A6299" w:rsidRPr="007451AF">
        <w:rPr>
          <w:rFonts w:cs="Arial"/>
          <w:szCs w:val="20"/>
        </w:rPr>
        <w:t xml:space="preserve">might </w:t>
      </w:r>
      <w:r w:rsidR="009654D1" w:rsidRPr="007451AF">
        <w:rPr>
          <w:rFonts w:cs="Arial"/>
          <w:szCs w:val="20"/>
        </w:rPr>
        <w:t xml:space="preserve">be achieved </w:t>
      </w:r>
      <w:r w:rsidR="009A6299" w:rsidRPr="007451AF">
        <w:rPr>
          <w:rFonts w:cs="Arial"/>
          <w:szCs w:val="20"/>
        </w:rPr>
        <w:t>by means of coordinated efforts</w:t>
      </w:r>
      <w:r w:rsidR="009654D1" w:rsidRPr="007451AF">
        <w:rPr>
          <w:rFonts w:cs="Arial"/>
          <w:szCs w:val="20"/>
        </w:rPr>
        <w:t xml:space="preserve"> with other international bodies and with the backing of national administrations.</w:t>
      </w:r>
    </w:p>
    <w:p w14:paraId="2F6068DE" w14:textId="77777777" w:rsidR="009654D1" w:rsidRPr="007451AF" w:rsidRDefault="009654D1" w:rsidP="009654D1">
      <w:pPr>
        <w:pStyle w:val="BodyText"/>
        <w:rPr>
          <w:rFonts w:cs="Arial"/>
          <w:szCs w:val="20"/>
        </w:rPr>
      </w:pPr>
      <w:r w:rsidRPr="007451AF">
        <w:rPr>
          <w:rFonts w:cs="Arial"/>
          <w:szCs w:val="20"/>
        </w:rPr>
        <w:t>The other approach was a complete reconsideration of the standardisation processes using a requirements driven, modular approach. I</w:t>
      </w:r>
      <w:r w:rsidR="00DB1226" w:rsidRPr="007451AF">
        <w:rPr>
          <w:rFonts w:cs="Arial"/>
          <w:szCs w:val="20"/>
        </w:rPr>
        <w:t xml:space="preserve">t was suggested that a panel of experts (or IMO-led harmonisation group) might be set up to oversee the implementation process as a whole. This may have been seen </w:t>
      </w:r>
      <w:r w:rsidR="009A6299" w:rsidRPr="007451AF">
        <w:rPr>
          <w:rFonts w:cs="Arial"/>
          <w:szCs w:val="20"/>
        </w:rPr>
        <w:t xml:space="preserve">by Council </w:t>
      </w:r>
      <w:r w:rsidR="00DB1226" w:rsidRPr="007451AF">
        <w:rPr>
          <w:rFonts w:cs="Arial"/>
          <w:szCs w:val="20"/>
        </w:rPr>
        <w:t>as st</w:t>
      </w:r>
      <w:r w:rsidR="009A6299" w:rsidRPr="007451AF">
        <w:rPr>
          <w:rFonts w:cs="Arial"/>
          <w:szCs w:val="20"/>
        </w:rPr>
        <w:t>epping outside IALA’s remit</w:t>
      </w:r>
      <w:r w:rsidR="00DB1226" w:rsidRPr="007451AF">
        <w:rPr>
          <w:rFonts w:cs="Arial"/>
          <w:szCs w:val="20"/>
        </w:rPr>
        <w:t>.</w:t>
      </w:r>
    </w:p>
    <w:p w14:paraId="20A3E391" w14:textId="77777777" w:rsidR="00AA3FA1" w:rsidRPr="007451AF" w:rsidRDefault="00AA3FA1" w:rsidP="009654D1">
      <w:pPr>
        <w:pStyle w:val="BodyText"/>
        <w:rPr>
          <w:szCs w:val="20"/>
          <w:lang w:eastAsia="de-DE"/>
        </w:rPr>
      </w:pPr>
      <w:r w:rsidRPr="007451AF">
        <w:rPr>
          <w:rFonts w:cs="Arial"/>
          <w:szCs w:val="20"/>
        </w:rPr>
        <w:t xml:space="preserve">Another approach would be to consider this issue purely from the perspective of aids to navigation service providers.  IALA Members could harmonize the provision of </w:t>
      </w:r>
      <w:r w:rsidR="007020F8" w:rsidRPr="007451AF">
        <w:rPr>
          <w:rFonts w:cs="Arial"/>
          <w:szCs w:val="20"/>
        </w:rPr>
        <w:t>IALA-relevant</w:t>
      </w:r>
      <w:r w:rsidRPr="007451AF">
        <w:rPr>
          <w:rFonts w:cs="Arial"/>
          <w:szCs w:val="20"/>
        </w:rPr>
        <w:t xml:space="preserve"> data to ships in accordance with the developing e-Navigation Architecture.  By harmonizing the “packaging” of </w:t>
      </w:r>
      <w:r w:rsidR="007020F8" w:rsidRPr="007451AF">
        <w:rPr>
          <w:rFonts w:cs="Arial"/>
          <w:szCs w:val="20"/>
        </w:rPr>
        <w:t>this data</w:t>
      </w:r>
      <w:r w:rsidRPr="007451AF">
        <w:rPr>
          <w:rFonts w:cs="Arial"/>
          <w:szCs w:val="20"/>
        </w:rPr>
        <w:t xml:space="preserve"> by AtoN service providers, IALA can influence the shipborne equipment without treading directly on the IMO process.  </w:t>
      </w:r>
      <w:r w:rsidR="00473E01" w:rsidRPr="007451AF">
        <w:rPr>
          <w:rFonts w:cs="Arial"/>
          <w:szCs w:val="20"/>
        </w:rPr>
        <w:t xml:space="preserve">Similarly, IALA could develop the provision of shore-based </w:t>
      </w:r>
      <w:r w:rsidR="00A3253D" w:rsidRPr="007451AF">
        <w:rPr>
          <w:rFonts w:cs="Arial"/>
          <w:szCs w:val="20"/>
        </w:rPr>
        <w:t>IAL</w:t>
      </w:r>
      <w:r w:rsidR="00A200E6" w:rsidRPr="007451AF">
        <w:rPr>
          <w:rFonts w:cs="Arial"/>
          <w:szCs w:val="20"/>
        </w:rPr>
        <w:t>A</w:t>
      </w:r>
      <w:r w:rsidR="00A3253D" w:rsidRPr="007451AF">
        <w:rPr>
          <w:rFonts w:cs="Arial"/>
          <w:szCs w:val="20"/>
        </w:rPr>
        <w:t>-relevant</w:t>
      </w:r>
      <w:r w:rsidR="00473E01" w:rsidRPr="007451AF">
        <w:rPr>
          <w:rFonts w:cs="Arial"/>
          <w:szCs w:val="20"/>
        </w:rPr>
        <w:t xml:space="preserve"> information (and its transmission to ships) and later offer it as a component of e-Navigation.</w:t>
      </w:r>
      <w:r w:rsidR="00A3253D" w:rsidRPr="007451AF">
        <w:rPr>
          <w:rFonts w:cs="Arial"/>
          <w:szCs w:val="20"/>
        </w:rPr>
        <w:t xml:space="preserve">  It is recognized that some of this information (e.g., charting information) falls within the remit of other Organizations (</w:t>
      </w:r>
      <w:r w:rsidR="005C32E6" w:rsidRPr="007451AF">
        <w:rPr>
          <w:rFonts w:cs="Arial"/>
          <w:szCs w:val="20"/>
        </w:rPr>
        <w:t>i.e.</w:t>
      </w:r>
      <w:r w:rsidR="00A3253D" w:rsidRPr="007451AF">
        <w:rPr>
          <w:rFonts w:cs="Arial"/>
          <w:szCs w:val="20"/>
        </w:rPr>
        <w:t xml:space="preserve">, IHO) but </w:t>
      </w:r>
      <w:r w:rsidR="005B58A1" w:rsidRPr="007451AF">
        <w:rPr>
          <w:rFonts w:cs="Arial"/>
          <w:szCs w:val="20"/>
        </w:rPr>
        <w:t xml:space="preserve">in many cases </w:t>
      </w:r>
      <w:r w:rsidR="00A3253D" w:rsidRPr="007451AF">
        <w:rPr>
          <w:rFonts w:cs="Arial"/>
          <w:szCs w:val="20"/>
        </w:rPr>
        <w:t>its provision has traditionally been by IALA Members.</w:t>
      </w:r>
    </w:p>
    <w:p w14:paraId="4A5E0020" w14:textId="77777777" w:rsidR="00A446C9" w:rsidRDefault="00A446C9" w:rsidP="00A446C9">
      <w:pPr>
        <w:pStyle w:val="Heading1"/>
      </w:pPr>
      <w:r>
        <w:t>Action requested of the Committee</w:t>
      </w:r>
    </w:p>
    <w:p w14:paraId="1337AC49" w14:textId="77777777" w:rsidR="00F25BF4" w:rsidRDefault="00F25BF4" w:rsidP="00A446C9">
      <w:pPr>
        <w:pStyle w:val="BodyText"/>
      </w:pPr>
      <w:r>
        <w:t>The Committee is requested to</w:t>
      </w:r>
      <w:r w:rsidR="008A060F">
        <w:t xml:space="preserve"> consider the following options</w:t>
      </w:r>
      <w:r>
        <w:t>:</w:t>
      </w:r>
    </w:p>
    <w:p w14:paraId="59D92C22" w14:textId="77777777" w:rsidR="00F25BF4" w:rsidRPr="007451AF" w:rsidRDefault="008A060F" w:rsidP="00F25BF4">
      <w:pPr>
        <w:pStyle w:val="List1"/>
        <w:numPr>
          <w:ilvl w:val="0"/>
          <w:numId w:val="39"/>
        </w:numPr>
        <w:rPr>
          <w:sz w:val="20"/>
          <w:szCs w:val="20"/>
        </w:rPr>
      </w:pPr>
      <w:r w:rsidRPr="007451AF">
        <w:rPr>
          <w:sz w:val="20"/>
          <w:szCs w:val="20"/>
        </w:rPr>
        <w:t>Discontinue this task, in which case the Work Program will need to be modified and the modification will need to be approved by Council.</w:t>
      </w:r>
    </w:p>
    <w:p w14:paraId="7B7EF65B" w14:textId="77777777" w:rsidR="008A060F" w:rsidRPr="007451AF" w:rsidRDefault="009A6299" w:rsidP="00F25BF4">
      <w:pPr>
        <w:pStyle w:val="List1"/>
        <w:numPr>
          <w:ilvl w:val="0"/>
          <w:numId w:val="39"/>
        </w:numPr>
        <w:rPr>
          <w:sz w:val="20"/>
          <w:szCs w:val="20"/>
        </w:rPr>
      </w:pPr>
      <w:r w:rsidRPr="007451AF">
        <w:rPr>
          <w:sz w:val="20"/>
          <w:szCs w:val="20"/>
        </w:rPr>
        <w:t>Prepare a new</w:t>
      </w:r>
      <w:r w:rsidR="008A060F" w:rsidRPr="007451AF">
        <w:rPr>
          <w:sz w:val="20"/>
          <w:szCs w:val="20"/>
        </w:rPr>
        <w:t xml:space="preserve"> paper </w:t>
      </w:r>
      <w:r w:rsidRPr="007451AF">
        <w:rPr>
          <w:sz w:val="20"/>
          <w:szCs w:val="20"/>
        </w:rPr>
        <w:t>for</w:t>
      </w:r>
      <w:r w:rsidR="008A060F" w:rsidRPr="007451AF">
        <w:rPr>
          <w:sz w:val="20"/>
          <w:szCs w:val="20"/>
        </w:rPr>
        <w:t xml:space="preserve"> submi</w:t>
      </w:r>
      <w:r w:rsidRPr="007451AF">
        <w:rPr>
          <w:sz w:val="20"/>
          <w:szCs w:val="20"/>
        </w:rPr>
        <w:t>ssion</w:t>
      </w:r>
      <w:r w:rsidR="008A060F" w:rsidRPr="007451AF">
        <w:rPr>
          <w:sz w:val="20"/>
          <w:szCs w:val="20"/>
        </w:rPr>
        <w:t xml:space="preserve"> to Council</w:t>
      </w:r>
      <w:r w:rsidR="00DB1226" w:rsidRPr="007451AF">
        <w:rPr>
          <w:sz w:val="20"/>
          <w:szCs w:val="20"/>
        </w:rPr>
        <w:t xml:space="preserve">, proposing </w:t>
      </w:r>
      <w:r w:rsidRPr="007451AF">
        <w:rPr>
          <w:sz w:val="20"/>
          <w:szCs w:val="20"/>
        </w:rPr>
        <w:t xml:space="preserve">a coordinated </w:t>
      </w:r>
      <w:r w:rsidR="00DB1226" w:rsidRPr="007451AF">
        <w:rPr>
          <w:sz w:val="20"/>
          <w:szCs w:val="20"/>
        </w:rPr>
        <w:t>approach</w:t>
      </w:r>
      <w:r w:rsidRPr="007451AF">
        <w:rPr>
          <w:sz w:val="20"/>
          <w:szCs w:val="20"/>
        </w:rPr>
        <w:t xml:space="preserve"> with other bodies</w:t>
      </w:r>
      <w:r w:rsidR="00DB1226" w:rsidRPr="007451AF">
        <w:rPr>
          <w:sz w:val="20"/>
          <w:szCs w:val="20"/>
        </w:rPr>
        <w:t xml:space="preserve">, </w:t>
      </w:r>
      <w:r w:rsidRPr="007451AF">
        <w:rPr>
          <w:sz w:val="20"/>
          <w:szCs w:val="20"/>
        </w:rPr>
        <w:t>to move towards</w:t>
      </w:r>
      <w:r w:rsidR="00DB1226" w:rsidRPr="007451AF">
        <w:rPr>
          <w:sz w:val="20"/>
          <w:szCs w:val="20"/>
        </w:rPr>
        <w:t xml:space="preserve"> an over-arching standard, supported by generic standards</w:t>
      </w:r>
      <w:r w:rsidR="008A060F" w:rsidRPr="007451AF">
        <w:rPr>
          <w:sz w:val="20"/>
          <w:szCs w:val="20"/>
        </w:rPr>
        <w:t>.</w:t>
      </w:r>
      <w:r w:rsidRPr="007451AF">
        <w:rPr>
          <w:sz w:val="20"/>
          <w:szCs w:val="20"/>
        </w:rPr>
        <w:t xml:space="preserve"> </w:t>
      </w:r>
    </w:p>
    <w:p w14:paraId="50BDF160" w14:textId="77777777" w:rsidR="00AA3FA1" w:rsidRPr="007451AF" w:rsidRDefault="00AA3FA1" w:rsidP="00F25BF4">
      <w:pPr>
        <w:pStyle w:val="List1"/>
        <w:numPr>
          <w:ilvl w:val="0"/>
          <w:numId w:val="39"/>
        </w:numPr>
        <w:rPr>
          <w:sz w:val="20"/>
          <w:szCs w:val="20"/>
        </w:rPr>
      </w:pPr>
      <w:r w:rsidRPr="007451AF">
        <w:rPr>
          <w:sz w:val="20"/>
          <w:szCs w:val="20"/>
        </w:rPr>
        <w:t>Modify this task and the Work Program</w:t>
      </w:r>
      <w:r w:rsidR="00A3253D" w:rsidRPr="007451AF">
        <w:rPr>
          <w:sz w:val="20"/>
          <w:szCs w:val="20"/>
        </w:rPr>
        <w:t xml:space="preserve"> to pursue IALA harmonization and transmission of IALA-relevant information</w:t>
      </w:r>
      <w:r w:rsidRPr="007451AF">
        <w:rPr>
          <w:sz w:val="20"/>
          <w:szCs w:val="20"/>
        </w:rPr>
        <w:t xml:space="preserve">.  </w:t>
      </w:r>
    </w:p>
    <w:p w14:paraId="21E1D481" w14:textId="77777777" w:rsidR="008A060F" w:rsidRDefault="008A060F" w:rsidP="008A060F">
      <w:pPr>
        <w:autoSpaceDE w:val="0"/>
        <w:autoSpaceDN w:val="0"/>
        <w:adjustRightInd w:val="0"/>
        <w:rPr>
          <w:rFonts w:cs="Arial"/>
          <w:sz w:val="21"/>
          <w:szCs w:val="21"/>
        </w:rPr>
      </w:pPr>
      <w:r>
        <w:rPr>
          <w:rFonts w:cs="Arial"/>
          <w:sz w:val="21"/>
          <w:szCs w:val="21"/>
        </w:rPr>
        <w:lastRenderedPageBreak/>
        <w:t>ANNEX A</w:t>
      </w:r>
    </w:p>
    <w:p w14:paraId="6FA23087" w14:textId="77777777" w:rsidR="008A060F" w:rsidRDefault="008A060F" w:rsidP="008A060F">
      <w:pPr>
        <w:autoSpaceDE w:val="0"/>
        <w:autoSpaceDN w:val="0"/>
        <w:adjustRightInd w:val="0"/>
        <w:rPr>
          <w:rFonts w:cs="Arial"/>
          <w:sz w:val="21"/>
          <w:szCs w:val="21"/>
        </w:rPr>
      </w:pPr>
    </w:p>
    <w:p w14:paraId="3C2C98D0" w14:textId="77777777" w:rsidR="008A060F" w:rsidRDefault="008A060F" w:rsidP="008A060F">
      <w:pPr>
        <w:autoSpaceDE w:val="0"/>
        <w:autoSpaceDN w:val="0"/>
        <w:adjustRightInd w:val="0"/>
        <w:rPr>
          <w:rFonts w:cs="Arial"/>
          <w:sz w:val="21"/>
          <w:szCs w:val="21"/>
        </w:rPr>
      </w:pPr>
      <w:r>
        <w:rPr>
          <w:rFonts w:cs="Arial"/>
          <w:sz w:val="21"/>
          <w:szCs w:val="21"/>
        </w:rPr>
        <w:t>From: Policy Advisory Panel 52/9.1/2</w:t>
      </w:r>
      <w:r>
        <w:rPr>
          <w:rFonts w:cs="Arial"/>
          <w:sz w:val="21"/>
          <w:szCs w:val="21"/>
        </w:rPr>
        <w:tab/>
      </w:r>
      <w:r>
        <w:rPr>
          <w:rFonts w:cs="Arial"/>
          <w:sz w:val="21"/>
          <w:szCs w:val="21"/>
        </w:rPr>
        <w:tab/>
      </w:r>
      <w:r>
        <w:rPr>
          <w:rFonts w:cs="Arial"/>
          <w:sz w:val="21"/>
          <w:szCs w:val="21"/>
        </w:rPr>
        <w:tab/>
      </w:r>
      <w:r>
        <w:rPr>
          <w:rFonts w:cs="Arial"/>
          <w:sz w:val="21"/>
          <w:szCs w:val="21"/>
        </w:rPr>
        <w:tab/>
      </w:r>
      <w:r>
        <w:rPr>
          <w:rFonts w:cs="Arial"/>
          <w:sz w:val="21"/>
          <w:szCs w:val="21"/>
        </w:rPr>
        <w:tab/>
        <w:t>Formerly PAP/output/2</w:t>
      </w:r>
    </w:p>
    <w:p w14:paraId="15EF4173" w14:textId="77777777" w:rsidR="008A060F" w:rsidRDefault="008A060F" w:rsidP="008A060F">
      <w:pPr>
        <w:autoSpaceDE w:val="0"/>
        <w:autoSpaceDN w:val="0"/>
        <w:adjustRightInd w:val="0"/>
        <w:rPr>
          <w:rFonts w:cs="Arial"/>
          <w:sz w:val="21"/>
          <w:szCs w:val="21"/>
        </w:rPr>
      </w:pPr>
      <w:r>
        <w:rPr>
          <w:rFonts w:cs="Arial"/>
          <w:sz w:val="21"/>
          <w:szCs w:val="21"/>
        </w:rPr>
        <w:t xml:space="preserve">To: IALA Council </w:t>
      </w:r>
      <w:r>
        <w:rPr>
          <w:rFonts w:cs="Arial"/>
          <w:sz w:val="21"/>
          <w:szCs w:val="21"/>
        </w:rPr>
        <w:tab/>
      </w:r>
      <w:r>
        <w:rPr>
          <w:rFonts w:cs="Arial"/>
          <w:sz w:val="21"/>
          <w:szCs w:val="21"/>
        </w:rPr>
        <w:tab/>
      </w:r>
      <w:r>
        <w:rPr>
          <w:rFonts w:cs="Arial"/>
          <w:sz w:val="21"/>
          <w:szCs w:val="21"/>
        </w:rPr>
        <w:tab/>
      </w:r>
      <w:r>
        <w:rPr>
          <w:rFonts w:cs="Arial"/>
          <w:sz w:val="21"/>
          <w:szCs w:val="21"/>
        </w:rPr>
        <w:tab/>
      </w:r>
      <w:r>
        <w:rPr>
          <w:rFonts w:cs="Arial"/>
          <w:sz w:val="21"/>
          <w:szCs w:val="21"/>
        </w:rPr>
        <w:tab/>
      </w:r>
      <w:r>
        <w:rPr>
          <w:rFonts w:cs="Arial"/>
          <w:sz w:val="21"/>
          <w:szCs w:val="21"/>
        </w:rPr>
        <w:tab/>
      </w:r>
      <w:r>
        <w:rPr>
          <w:rFonts w:cs="Arial"/>
          <w:sz w:val="21"/>
          <w:szCs w:val="21"/>
        </w:rPr>
        <w:tab/>
        <w:t>26 October 2011</w:t>
      </w:r>
    </w:p>
    <w:p w14:paraId="16AEA31C" w14:textId="77777777" w:rsidR="008A060F" w:rsidRDefault="008A060F" w:rsidP="008A060F">
      <w:pPr>
        <w:autoSpaceDE w:val="0"/>
        <w:autoSpaceDN w:val="0"/>
        <w:adjustRightInd w:val="0"/>
        <w:rPr>
          <w:rFonts w:cs="Arial"/>
          <w:sz w:val="21"/>
          <w:szCs w:val="21"/>
        </w:rPr>
      </w:pPr>
    </w:p>
    <w:p w14:paraId="44B423D7" w14:textId="77777777" w:rsidR="008A060F" w:rsidRDefault="008A060F" w:rsidP="008A060F">
      <w:pPr>
        <w:autoSpaceDE w:val="0"/>
        <w:autoSpaceDN w:val="0"/>
        <w:adjustRightInd w:val="0"/>
        <w:jc w:val="center"/>
        <w:rPr>
          <w:rFonts w:cs="Arial"/>
          <w:b/>
          <w:bCs/>
          <w:sz w:val="31"/>
          <w:szCs w:val="31"/>
        </w:rPr>
      </w:pPr>
      <w:r>
        <w:rPr>
          <w:rFonts w:cs="Arial"/>
          <w:b/>
          <w:bCs/>
          <w:sz w:val="31"/>
          <w:szCs w:val="31"/>
        </w:rPr>
        <w:t>Information Paper</w:t>
      </w:r>
    </w:p>
    <w:p w14:paraId="4DCFD190" w14:textId="77777777" w:rsidR="008A060F" w:rsidRDefault="008A060F" w:rsidP="008A060F">
      <w:pPr>
        <w:autoSpaceDE w:val="0"/>
        <w:autoSpaceDN w:val="0"/>
        <w:adjustRightInd w:val="0"/>
        <w:jc w:val="center"/>
        <w:rPr>
          <w:rFonts w:cs="Arial"/>
          <w:b/>
          <w:bCs/>
          <w:sz w:val="31"/>
          <w:szCs w:val="31"/>
        </w:rPr>
      </w:pPr>
      <w:r>
        <w:rPr>
          <w:rFonts w:cs="Arial"/>
          <w:b/>
          <w:bCs/>
          <w:sz w:val="31"/>
          <w:szCs w:val="31"/>
        </w:rPr>
        <w:t>Regulatory Process for e-Navigation</w:t>
      </w:r>
    </w:p>
    <w:p w14:paraId="38A74EB7" w14:textId="77777777" w:rsidR="008A060F" w:rsidRDefault="008A060F" w:rsidP="008A060F">
      <w:pPr>
        <w:autoSpaceDE w:val="0"/>
        <w:autoSpaceDN w:val="0"/>
        <w:adjustRightInd w:val="0"/>
        <w:rPr>
          <w:rFonts w:cs="Arial"/>
          <w:b/>
          <w:bCs/>
          <w:sz w:val="21"/>
          <w:szCs w:val="21"/>
        </w:rPr>
      </w:pPr>
    </w:p>
    <w:p w14:paraId="05838E50" w14:textId="77777777" w:rsidR="008A060F" w:rsidRDefault="008A060F" w:rsidP="008A060F">
      <w:pPr>
        <w:autoSpaceDE w:val="0"/>
        <w:autoSpaceDN w:val="0"/>
        <w:adjustRightInd w:val="0"/>
        <w:rPr>
          <w:rFonts w:cs="Arial"/>
          <w:b/>
          <w:bCs/>
          <w:sz w:val="21"/>
          <w:szCs w:val="21"/>
        </w:rPr>
      </w:pPr>
      <w:r>
        <w:rPr>
          <w:rFonts w:cs="Arial"/>
          <w:b/>
          <w:bCs/>
          <w:sz w:val="21"/>
          <w:szCs w:val="21"/>
        </w:rPr>
        <w:t>1</w:t>
      </w:r>
      <w:r w:rsidR="00760DF9">
        <w:rPr>
          <w:rFonts w:cs="Arial"/>
          <w:b/>
          <w:bCs/>
          <w:sz w:val="21"/>
          <w:szCs w:val="21"/>
        </w:rPr>
        <w:tab/>
      </w:r>
      <w:r>
        <w:rPr>
          <w:rFonts w:cs="Arial"/>
          <w:b/>
          <w:bCs/>
          <w:sz w:val="21"/>
          <w:szCs w:val="21"/>
        </w:rPr>
        <w:t xml:space="preserve"> Background</w:t>
      </w:r>
    </w:p>
    <w:p w14:paraId="22F73FA6" w14:textId="77777777" w:rsidR="008A060F" w:rsidRDefault="008A060F" w:rsidP="008A060F">
      <w:pPr>
        <w:autoSpaceDE w:val="0"/>
        <w:autoSpaceDN w:val="0"/>
        <w:adjustRightInd w:val="0"/>
        <w:rPr>
          <w:rFonts w:cs="Arial"/>
          <w:sz w:val="21"/>
          <w:szCs w:val="21"/>
        </w:rPr>
      </w:pPr>
      <w:r>
        <w:rPr>
          <w:rFonts w:cs="Arial"/>
          <w:sz w:val="21"/>
          <w:szCs w:val="21"/>
        </w:rPr>
        <w:t>The implementation of the IMO e-Navigation Strategy is expected to involve preparation of</w:t>
      </w:r>
    </w:p>
    <w:p w14:paraId="025179B5" w14:textId="77777777" w:rsidR="008A060F" w:rsidRDefault="008A060F" w:rsidP="008A060F">
      <w:pPr>
        <w:autoSpaceDE w:val="0"/>
        <w:autoSpaceDN w:val="0"/>
        <w:adjustRightInd w:val="0"/>
        <w:rPr>
          <w:rFonts w:cs="Arial"/>
          <w:sz w:val="21"/>
          <w:szCs w:val="21"/>
        </w:rPr>
      </w:pPr>
      <w:r>
        <w:rPr>
          <w:rFonts w:cs="Arial"/>
          <w:sz w:val="21"/>
          <w:szCs w:val="21"/>
        </w:rPr>
        <w:t>performance standards, or as a minimum, harmonisation of equipment. The process for the</w:t>
      </w:r>
    </w:p>
    <w:p w14:paraId="0AB6C34A" w14:textId="77777777" w:rsidR="008A060F" w:rsidRDefault="008A060F" w:rsidP="008A060F">
      <w:pPr>
        <w:autoSpaceDE w:val="0"/>
        <w:autoSpaceDN w:val="0"/>
        <w:adjustRightInd w:val="0"/>
        <w:rPr>
          <w:rFonts w:cs="Arial"/>
          <w:sz w:val="21"/>
          <w:szCs w:val="21"/>
        </w:rPr>
      </w:pPr>
      <w:r>
        <w:rPr>
          <w:rFonts w:cs="Arial"/>
          <w:sz w:val="21"/>
          <w:szCs w:val="21"/>
        </w:rPr>
        <w:t>introduction of new standards can be lengthy and adopting an effective approach will facilitate and accelerate the introduction of e-Navigation. This note is intended to capture the outcome of</w:t>
      </w:r>
    </w:p>
    <w:p w14:paraId="206E99A5" w14:textId="77777777" w:rsidR="008A060F" w:rsidRDefault="008A060F" w:rsidP="008A060F">
      <w:pPr>
        <w:autoSpaceDE w:val="0"/>
        <w:autoSpaceDN w:val="0"/>
        <w:adjustRightInd w:val="0"/>
        <w:rPr>
          <w:rFonts w:cs="Arial"/>
          <w:sz w:val="21"/>
          <w:szCs w:val="21"/>
        </w:rPr>
      </w:pPr>
      <w:r>
        <w:rPr>
          <w:rFonts w:cs="Arial"/>
          <w:sz w:val="21"/>
          <w:szCs w:val="21"/>
        </w:rPr>
        <w:t>discussions on this matter within IALA and other bodies.</w:t>
      </w:r>
    </w:p>
    <w:p w14:paraId="4E091C68" w14:textId="77777777" w:rsidR="008A060F" w:rsidRDefault="008A060F" w:rsidP="008A060F">
      <w:pPr>
        <w:autoSpaceDE w:val="0"/>
        <w:autoSpaceDN w:val="0"/>
        <w:adjustRightInd w:val="0"/>
        <w:rPr>
          <w:rFonts w:cs="Arial"/>
          <w:b/>
          <w:bCs/>
          <w:sz w:val="21"/>
          <w:szCs w:val="21"/>
        </w:rPr>
      </w:pPr>
    </w:p>
    <w:p w14:paraId="4E93ABB1" w14:textId="77777777" w:rsidR="008A060F" w:rsidRDefault="008A060F" w:rsidP="008A060F">
      <w:pPr>
        <w:autoSpaceDE w:val="0"/>
        <w:autoSpaceDN w:val="0"/>
        <w:adjustRightInd w:val="0"/>
        <w:rPr>
          <w:rFonts w:cs="Arial"/>
          <w:b/>
          <w:bCs/>
          <w:sz w:val="21"/>
          <w:szCs w:val="21"/>
        </w:rPr>
      </w:pPr>
      <w:r>
        <w:rPr>
          <w:rFonts w:cs="Arial"/>
          <w:b/>
          <w:bCs/>
          <w:sz w:val="21"/>
          <w:szCs w:val="21"/>
        </w:rPr>
        <w:t>2</w:t>
      </w:r>
      <w:r w:rsidR="00760DF9">
        <w:rPr>
          <w:rFonts w:cs="Arial"/>
          <w:b/>
          <w:bCs/>
          <w:sz w:val="21"/>
          <w:szCs w:val="21"/>
        </w:rPr>
        <w:tab/>
      </w:r>
      <w:r>
        <w:rPr>
          <w:rFonts w:cs="Arial"/>
          <w:b/>
          <w:bCs/>
          <w:sz w:val="21"/>
          <w:szCs w:val="21"/>
        </w:rPr>
        <w:t xml:space="preserve"> What is the problem?</w:t>
      </w:r>
    </w:p>
    <w:p w14:paraId="122E88A9" w14:textId="77777777" w:rsidR="008A060F" w:rsidRDefault="008A060F" w:rsidP="008A060F">
      <w:pPr>
        <w:autoSpaceDE w:val="0"/>
        <w:autoSpaceDN w:val="0"/>
        <w:adjustRightInd w:val="0"/>
        <w:rPr>
          <w:rFonts w:cs="Arial"/>
          <w:sz w:val="21"/>
          <w:szCs w:val="21"/>
        </w:rPr>
      </w:pPr>
      <w:r>
        <w:rPr>
          <w:rFonts w:cs="Arial"/>
          <w:sz w:val="21"/>
          <w:szCs w:val="21"/>
        </w:rPr>
        <w:t>The schedule for the e-Navigation initiative agreed at IMO NAV 57 is: completion of gap analysis by 2012; risk analysis &amp; CBA by 2013; strategy implementation plan by 2014.</w:t>
      </w:r>
    </w:p>
    <w:p w14:paraId="1E3D6954" w14:textId="77777777" w:rsidR="008A060F" w:rsidRDefault="008A060F" w:rsidP="008A060F">
      <w:pPr>
        <w:autoSpaceDE w:val="0"/>
        <w:autoSpaceDN w:val="0"/>
        <w:adjustRightInd w:val="0"/>
        <w:rPr>
          <w:rFonts w:cs="Arial"/>
          <w:sz w:val="21"/>
          <w:szCs w:val="21"/>
        </w:rPr>
      </w:pPr>
      <w:r>
        <w:rPr>
          <w:rFonts w:cs="Arial"/>
          <w:sz w:val="21"/>
          <w:szCs w:val="21"/>
        </w:rPr>
        <w:t>The timetable for the actual implementation has not yet been discussed formally, but might be in two phases: phase 1- existing equipment &amp; standards (2014-2020?); phase 2: new equipment &amp; systems (2020 onwards?).</w:t>
      </w:r>
    </w:p>
    <w:p w14:paraId="34FE7C41" w14:textId="77777777" w:rsidR="008A060F" w:rsidRDefault="008A060F" w:rsidP="008A060F">
      <w:pPr>
        <w:autoSpaceDE w:val="0"/>
        <w:autoSpaceDN w:val="0"/>
        <w:adjustRightInd w:val="0"/>
        <w:rPr>
          <w:rFonts w:cs="Arial"/>
          <w:sz w:val="21"/>
          <w:szCs w:val="21"/>
        </w:rPr>
      </w:pPr>
      <w:r>
        <w:rPr>
          <w:rFonts w:cs="Arial"/>
          <w:sz w:val="21"/>
          <w:szCs w:val="21"/>
        </w:rPr>
        <w:t>New standards take 4-5 years to introduce and the implementation periods can be 10 years or more. Therefore, if several new items of equipment or complete systems are involved, the overall process could become so lengthy as to negate the expected benefits.</w:t>
      </w:r>
    </w:p>
    <w:p w14:paraId="21F1A10F" w14:textId="77777777" w:rsidR="008A060F" w:rsidRDefault="008A060F" w:rsidP="008A060F">
      <w:pPr>
        <w:autoSpaceDE w:val="0"/>
        <w:autoSpaceDN w:val="0"/>
        <w:adjustRightInd w:val="0"/>
        <w:rPr>
          <w:rFonts w:cs="Arial"/>
          <w:b/>
          <w:bCs/>
          <w:sz w:val="21"/>
          <w:szCs w:val="21"/>
        </w:rPr>
      </w:pPr>
    </w:p>
    <w:p w14:paraId="4DBC6EF3" w14:textId="77777777" w:rsidR="008A060F" w:rsidRDefault="008A060F" w:rsidP="008A060F">
      <w:pPr>
        <w:autoSpaceDE w:val="0"/>
        <w:autoSpaceDN w:val="0"/>
        <w:adjustRightInd w:val="0"/>
        <w:rPr>
          <w:rFonts w:cs="Arial"/>
          <w:b/>
          <w:bCs/>
          <w:sz w:val="21"/>
          <w:szCs w:val="21"/>
        </w:rPr>
      </w:pPr>
      <w:r>
        <w:rPr>
          <w:rFonts w:cs="Arial"/>
          <w:b/>
          <w:bCs/>
          <w:sz w:val="21"/>
          <w:szCs w:val="21"/>
        </w:rPr>
        <w:t xml:space="preserve">3 </w:t>
      </w:r>
      <w:r w:rsidR="00760DF9">
        <w:rPr>
          <w:rFonts w:cs="Arial"/>
          <w:b/>
          <w:bCs/>
          <w:sz w:val="21"/>
          <w:szCs w:val="21"/>
        </w:rPr>
        <w:tab/>
      </w:r>
      <w:r>
        <w:rPr>
          <w:rFonts w:cs="Arial"/>
          <w:b/>
          <w:bCs/>
          <w:sz w:val="21"/>
          <w:szCs w:val="21"/>
        </w:rPr>
        <w:t>Potential solutions</w:t>
      </w:r>
    </w:p>
    <w:p w14:paraId="50F94A73" w14:textId="77777777" w:rsidR="008A060F" w:rsidRDefault="008A060F" w:rsidP="008A060F">
      <w:pPr>
        <w:autoSpaceDE w:val="0"/>
        <w:autoSpaceDN w:val="0"/>
        <w:adjustRightInd w:val="0"/>
        <w:rPr>
          <w:rFonts w:cs="Arial"/>
          <w:sz w:val="21"/>
          <w:szCs w:val="21"/>
        </w:rPr>
      </w:pPr>
      <w:r>
        <w:rPr>
          <w:rFonts w:cs="Arial"/>
          <w:sz w:val="21"/>
          <w:szCs w:val="21"/>
        </w:rPr>
        <w:t>Various possible solutions can be envisaged:</w:t>
      </w:r>
    </w:p>
    <w:p w14:paraId="06AA0662" w14:textId="77777777" w:rsidR="008A060F" w:rsidRDefault="008A060F" w:rsidP="008A060F">
      <w:pPr>
        <w:autoSpaceDE w:val="0"/>
        <w:autoSpaceDN w:val="0"/>
        <w:adjustRightInd w:val="0"/>
        <w:rPr>
          <w:rFonts w:cs="Arial"/>
          <w:sz w:val="21"/>
          <w:szCs w:val="21"/>
        </w:rPr>
      </w:pPr>
      <w:r>
        <w:rPr>
          <w:rFonts w:ascii="Symbol" w:hAnsi="Symbol" w:cs="Symbol"/>
          <w:sz w:val="21"/>
          <w:szCs w:val="21"/>
        </w:rPr>
        <w:t></w:t>
      </w:r>
      <w:r>
        <w:rPr>
          <w:rFonts w:ascii="Symbol" w:hAnsi="Symbol" w:cs="Symbol"/>
          <w:sz w:val="21"/>
          <w:szCs w:val="21"/>
        </w:rPr>
        <w:t></w:t>
      </w:r>
      <w:r>
        <w:rPr>
          <w:rFonts w:ascii="Symbol" w:hAnsi="Symbol" w:cs="Symbol"/>
          <w:sz w:val="21"/>
          <w:szCs w:val="21"/>
        </w:rPr>
        <w:tab/>
      </w:r>
      <w:r>
        <w:rPr>
          <w:rFonts w:cs="Arial"/>
          <w:sz w:val="21"/>
          <w:szCs w:val="21"/>
        </w:rPr>
        <w:t>a completely open-systems, market-led approach;</w:t>
      </w:r>
    </w:p>
    <w:p w14:paraId="43C38098" w14:textId="77777777" w:rsidR="008A060F" w:rsidRDefault="008A060F" w:rsidP="008A060F">
      <w:pPr>
        <w:autoSpaceDE w:val="0"/>
        <w:autoSpaceDN w:val="0"/>
        <w:adjustRightInd w:val="0"/>
        <w:rPr>
          <w:rFonts w:cs="Arial"/>
          <w:sz w:val="21"/>
          <w:szCs w:val="21"/>
        </w:rPr>
      </w:pPr>
      <w:r>
        <w:rPr>
          <w:rFonts w:ascii="Symbol" w:hAnsi="Symbol" w:cs="Symbol"/>
          <w:sz w:val="21"/>
          <w:szCs w:val="21"/>
        </w:rPr>
        <w:t></w:t>
      </w:r>
      <w:r>
        <w:rPr>
          <w:rFonts w:ascii="Symbol" w:hAnsi="Symbol" w:cs="Symbol"/>
          <w:sz w:val="21"/>
          <w:szCs w:val="21"/>
        </w:rPr>
        <w:t></w:t>
      </w:r>
      <w:r>
        <w:rPr>
          <w:rFonts w:ascii="Symbol" w:hAnsi="Symbol" w:cs="Symbol"/>
          <w:sz w:val="21"/>
          <w:szCs w:val="21"/>
        </w:rPr>
        <w:tab/>
      </w:r>
      <w:r>
        <w:rPr>
          <w:rFonts w:cs="Arial"/>
          <w:sz w:val="21"/>
          <w:szCs w:val="21"/>
        </w:rPr>
        <w:t>an over-arching performance standard, referencing existing equipment performance</w:t>
      </w:r>
    </w:p>
    <w:p w14:paraId="3E291A64" w14:textId="77777777" w:rsidR="008A060F" w:rsidRDefault="008A060F" w:rsidP="008A060F">
      <w:pPr>
        <w:autoSpaceDE w:val="0"/>
        <w:autoSpaceDN w:val="0"/>
        <w:adjustRightInd w:val="0"/>
        <w:rPr>
          <w:rFonts w:cs="Arial"/>
          <w:sz w:val="21"/>
          <w:szCs w:val="21"/>
        </w:rPr>
      </w:pPr>
      <w:r>
        <w:rPr>
          <w:rFonts w:cs="Arial"/>
          <w:sz w:val="21"/>
          <w:szCs w:val="21"/>
        </w:rPr>
        <w:tab/>
        <w:t>standards and test specifications;</w:t>
      </w:r>
    </w:p>
    <w:p w14:paraId="49E639A1" w14:textId="77777777" w:rsidR="008A060F" w:rsidRDefault="008A060F" w:rsidP="008A060F">
      <w:pPr>
        <w:autoSpaceDE w:val="0"/>
        <w:autoSpaceDN w:val="0"/>
        <w:adjustRightInd w:val="0"/>
        <w:rPr>
          <w:rFonts w:cs="Arial"/>
          <w:sz w:val="21"/>
          <w:szCs w:val="21"/>
        </w:rPr>
      </w:pPr>
      <w:r>
        <w:rPr>
          <w:rFonts w:ascii="Symbol" w:hAnsi="Symbol" w:cs="Symbol"/>
          <w:sz w:val="21"/>
          <w:szCs w:val="21"/>
        </w:rPr>
        <w:t></w:t>
      </w:r>
      <w:r>
        <w:rPr>
          <w:rFonts w:ascii="Symbol" w:hAnsi="Symbol" w:cs="Symbol"/>
          <w:sz w:val="21"/>
          <w:szCs w:val="21"/>
        </w:rPr>
        <w:tab/>
      </w:r>
      <w:r>
        <w:rPr>
          <w:rFonts w:cs="Arial"/>
          <w:sz w:val="21"/>
          <w:szCs w:val="21"/>
        </w:rPr>
        <w:t>a complete review of the processes to speed them up and make them more flexible, for</w:t>
      </w:r>
    </w:p>
    <w:p w14:paraId="203DC462" w14:textId="77777777" w:rsidR="008A060F" w:rsidRDefault="008A060F" w:rsidP="008A060F">
      <w:pPr>
        <w:autoSpaceDE w:val="0"/>
        <w:autoSpaceDN w:val="0"/>
        <w:adjustRightInd w:val="0"/>
        <w:rPr>
          <w:rFonts w:cs="Arial"/>
          <w:sz w:val="21"/>
          <w:szCs w:val="21"/>
        </w:rPr>
      </w:pPr>
      <w:r>
        <w:rPr>
          <w:rFonts w:cs="Arial"/>
          <w:sz w:val="21"/>
          <w:szCs w:val="21"/>
        </w:rPr>
        <w:tab/>
        <w:t>example using a requirements register and modular structure (like INS);</w:t>
      </w:r>
    </w:p>
    <w:p w14:paraId="7CA3B6D8" w14:textId="77777777" w:rsidR="008A060F" w:rsidRDefault="008A060F" w:rsidP="008A060F">
      <w:pPr>
        <w:autoSpaceDE w:val="0"/>
        <w:autoSpaceDN w:val="0"/>
        <w:adjustRightInd w:val="0"/>
        <w:rPr>
          <w:rFonts w:cs="Arial"/>
          <w:sz w:val="21"/>
          <w:szCs w:val="21"/>
        </w:rPr>
      </w:pPr>
      <w:r>
        <w:rPr>
          <w:rFonts w:ascii="Symbol" w:hAnsi="Symbol" w:cs="Symbol"/>
          <w:sz w:val="21"/>
          <w:szCs w:val="21"/>
        </w:rPr>
        <w:t></w:t>
      </w:r>
      <w:r>
        <w:rPr>
          <w:rFonts w:ascii="Symbol" w:hAnsi="Symbol" w:cs="Symbol"/>
          <w:sz w:val="21"/>
          <w:szCs w:val="21"/>
        </w:rPr>
        <w:t></w:t>
      </w:r>
      <w:r>
        <w:rPr>
          <w:rFonts w:ascii="Symbol" w:hAnsi="Symbol" w:cs="Symbol"/>
          <w:sz w:val="21"/>
          <w:szCs w:val="21"/>
        </w:rPr>
        <w:tab/>
      </w:r>
      <w:r>
        <w:rPr>
          <w:rFonts w:cs="Arial"/>
          <w:sz w:val="21"/>
          <w:szCs w:val="21"/>
        </w:rPr>
        <w:t>generic performance standards and test specifications.</w:t>
      </w:r>
    </w:p>
    <w:p w14:paraId="2FAA751B" w14:textId="77777777" w:rsidR="008A060F" w:rsidRDefault="008A060F" w:rsidP="008A060F">
      <w:pPr>
        <w:autoSpaceDE w:val="0"/>
        <w:autoSpaceDN w:val="0"/>
        <w:adjustRightInd w:val="0"/>
        <w:rPr>
          <w:rFonts w:cs="Arial"/>
          <w:sz w:val="21"/>
          <w:szCs w:val="21"/>
        </w:rPr>
      </w:pPr>
    </w:p>
    <w:p w14:paraId="395B515E" w14:textId="77777777" w:rsidR="008A060F" w:rsidRDefault="008A060F" w:rsidP="008A060F">
      <w:pPr>
        <w:autoSpaceDE w:val="0"/>
        <w:autoSpaceDN w:val="0"/>
        <w:adjustRightInd w:val="0"/>
        <w:rPr>
          <w:rFonts w:cs="Arial"/>
          <w:sz w:val="21"/>
          <w:szCs w:val="21"/>
        </w:rPr>
      </w:pPr>
      <w:r>
        <w:rPr>
          <w:rFonts w:cs="Arial"/>
          <w:sz w:val="21"/>
          <w:szCs w:val="21"/>
        </w:rPr>
        <w:t>There may be other solutions and the best option may be a combination of one or more approaches. However, it is worth noting that the first option of an unregulated, market driven approach has not received any support and there seems to be a consensus that some degree of regulation is necessary.</w:t>
      </w:r>
    </w:p>
    <w:p w14:paraId="7F4D64B4" w14:textId="77777777" w:rsidR="008A060F" w:rsidRDefault="008A060F" w:rsidP="008A060F">
      <w:pPr>
        <w:autoSpaceDE w:val="0"/>
        <w:autoSpaceDN w:val="0"/>
        <w:adjustRightInd w:val="0"/>
        <w:rPr>
          <w:rFonts w:cs="Arial"/>
          <w:b/>
          <w:bCs/>
          <w:sz w:val="21"/>
          <w:szCs w:val="21"/>
        </w:rPr>
      </w:pPr>
    </w:p>
    <w:p w14:paraId="571D3A43" w14:textId="77777777" w:rsidR="008A060F" w:rsidRDefault="008A060F" w:rsidP="008A060F">
      <w:pPr>
        <w:autoSpaceDE w:val="0"/>
        <w:autoSpaceDN w:val="0"/>
        <w:adjustRightInd w:val="0"/>
        <w:rPr>
          <w:rFonts w:cs="Arial"/>
          <w:b/>
          <w:bCs/>
          <w:sz w:val="21"/>
          <w:szCs w:val="21"/>
        </w:rPr>
      </w:pPr>
      <w:r>
        <w:rPr>
          <w:rFonts w:cs="Arial"/>
          <w:b/>
          <w:bCs/>
          <w:sz w:val="21"/>
          <w:szCs w:val="21"/>
        </w:rPr>
        <w:t xml:space="preserve">4 </w:t>
      </w:r>
      <w:r w:rsidR="00760DF9">
        <w:rPr>
          <w:rFonts w:cs="Arial"/>
          <w:b/>
          <w:bCs/>
          <w:sz w:val="21"/>
          <w:szCs w:val="21"/>
        </w:rPr>
        <w:tab/>
      </w:r>
      <w:r>
        <w:rPr>
          <w:rFonts w:cs="Arial"/>
          <w:b/>
          <w:bCs/>
          <w:sz w:val="21"/>
          <w:szCs w:val="21"/>
        </w:rPr>
        <w:t>Proposed Way Forward</w:t>
      </w:r>
    </w:p>
    <w:p w14:paraId="1750F356" w14:textId="77777777" w:rsidR="008A060F" w:rsidRDefault="008A060F" w:rsidP="008A060F">
      <w:pPr>
        <w:autoSpaceDE w:val="0"/>
        <w:autoSpaceDN w:val="0"/>
        <w:adjustRightInd w:val="0"/>
        <w:rPr>
          <w:rFonts w:cs="Arial"/>
          <w:sz w:val="21"/>
          <w:szCs w:val="21"/>
        </w:rPr>
      </w:pPr>
      <w:r>
        <w:rPr>
          <w:rFonts w:cs="Arial"/>
          <w:sz w:val="21"/>
          <w:szCs w:val="21"/>
        </w:rPr>
        <w:t>Based on the discussions so far, it is proposed that a two-stage approach might be adopted,</w:t>
      </w:r>
    </w:p>
    <w:p w14:paraId="1793D94D" w14:textId="77777777" w:rsidR="008A060F" w:rsidRDefault="008A060F" w:rsidP="008A060F">
      <w:pPr>
        <w:autoSpaceDE w:val="0"/>
        <w:autoSpaceDN w:val="0"/>
        <w:adjustRightInd w:val="0"/>
        <w:rPr>
          <w:rFonts w:cs="Arial"/>
          <w:sz w:val="21"/>
          <w:szCs w:val="21"/>
        </w:rPr>
      </w:pPr>
      <w:r>
        <w:rPr>
          <w:rFonts w:cs="Arial"/>
          <w:sz w:val="21"/>
          <w:szCs w:val="21"/>
        </w:rPr>
        <w:t>corresponding to the two phases envisaged for the implementation of e-Navigation:</w:t>
      </w:r>
    </w:p>
    <w:p w14:paraId="1E041526" w14:textId="77777777" w:rsidR="008A060F" w:rsidRPr="00BF57BA" w:rsidRDefault="008A060F" w:rsidP="008A060F">
      <w:pPr>
        <w:pStyle w:val="ListParagraph"/>
        <w:numPr>
          <w:ilvl w:val="0"/>
          <w:numId w:val="43"/>
        </w:numPr>
        <w:autoSpaceDE w:val="0"/>
        <w:autoSpaceDN w:val="0"/>
        <w:adjustRightInd w:val="0"/>
        <w:spacing w:after="0" w:line="240" w:lineRule="auto"/>
        <w:rPr>
          <w:rFonts w:ascii="Arial" w:hAnsi="Arial" w:cs="Arial"/>
          <w:sz w:val="21"/>
          <w:szCs w:val="21"/>
        </w:rPr>
      </w:pPr>
      <w:r w:rsidRPr="00BF57BA">
        <w:rPr>
          <w:rFonts w:ascii="Arial" w:hAnsi="Arial" w:cs="Arial"/>
          <w:sz w:val="21"/>
          <w:szCs w:val="21"/>
        </w:rPr>
        <w:t>A single, over-arching standard for a display compatible with existing shipborne equipment should be prepared to allow for a rapid first-stage implementation. This could be supported by the introduction of generic standards, together with non-regulated applications, where appropriate, to provide early benefits and efficiencies.</w:t>
      </w:r>
    </w:p>
    <w:p w14:paraId="1DAC12CC" w14:textId="77777777" w:rsidR="008A060F" w:rsidRPr="00BF57BA" w:rsidRDefault="008A060F" w:rsidP="008A060F">
      <w:pPr>
        <w:pStyle w:val="ListParagraph"/>
        <w:numPr>
          <w:ilvl w:val="0"/>
          <w:numId w:val="43"/>
        </w:numPr>
        <w:autoSpaceDE w:val="0"/>
        <w:autoSpaceDN w:val="0"/>
        <w:adjustRightInd w:val="0"/>
        <w:spacing w:after="0" w:line="240" w:lineRule="auto"/>
        <w:rPr>
          <w:rFonts w:ascii="Arial" w:hAnsi="Arial" w:cs="Arial"/>
          <w:sz w:val="21"/>
          <w:szCs w:val="21"/>
        </w:rPr>
      </w:pPr>
      <w:r w:rsidRPr="00BF57BA">
        <w:rPr>
          <w:rFonts w:ascii="Arial" w:hAnsi="Arial" w:cs="Arial"/>
          <w:sz w:val="21"/>
          <w:szCs w:val="21"/>
        </w:rPr>
        <w:t>A complete reconsideration of the standardisation processes should be initiated for the longer-term, overseen by a panel of experts within IMO. One model would be a requirements driven, modular approach, similar to INS.</w:t>
      </w:r>
    </w:p>
    <w:p w14:paraId="6D59D43A" w14:textId="77777777" w:rsidR="008A060F" w:rsidRPr="00BF57BA" w:rsidRDefault="008A060F" w:rsidP="008A060F">
      <w:pPr>
        <w:pStyle w:val="ListParagraph"/>
        <w:numPr>
          <w:ilvl w:val="0"/>
          <w:numId w:val="43"/>
        </w:numPr>
        <w:autoSpaceDE w:val="0"/>
        <w:autoSpaceDN w:val="0"/>
        <w:adjustRightInd w:val="0"/>
        <w:spacing w:after="0" w:line="240" w:lineRule="auto"/>
        <w:rPr>
          <w:rFonts w:ascii="Arial" w:hAnsi="Arial" w:cs="Arial"/>
          <w:sz w:val="21"/>
          <w:szCs w:val="21"/>
        </w:rPr>
      </w:pPr>
      <w:r w:rsidRPr="00BF57BA">
        <w:rPr>
          <w:rFonts w:ascii="Arial" w:hAnsi="Arial" w:cs="Arial"/>
          <w:sz w:val="21"/>
          <w:szCs w:val="21"/>
        </w:rPr>
        <w:t>Such a panel of experts (or IMO-led harmonisation group) might also be a productive approach to the implementation process as a whole.</w:t>
      </w:r>
    </w:p>
    <w:p w14:paraId="2A2FB726" w14:textId="77777777" w:rsidR="008A060F" w:rsidRDefault="008A060F" w:rsidP="008A060F">
      <w:pPr>
        <w:autoSpaceDE w:val="0"/>
        <w:autoSpaceDN w:val="0"/>
        <w:adjustRightInd w:val="0"/>
        <w:rPr>
          <w:rFonts w:cs="Arial"/>
          <w:sz w:val="21"/>
          <w:szCs w:val="21"/>
        </w:rPr>
      </w:pPr>
    </w:p>
    <w:p w14:paraId="0391ECDF" w14:textId="77777777" w:rsidR="008A060F" w:rsidRDefault="008A060F" w:rsidP="008A060F">
      <w:pPr>
        <w:autoSpaceDE w:val="0"/>
        <w:autoSpaceDN w:val="0"/>
        <w:adjustRightInd w:val="0"/>
        <w:rPr>
          <w:rFonts w:cs="Arial"/>
          <w:b/>
          <w:bCs/>
          <w:sz w:val="21"/>
          <w:szCs w:val="21"/>
        </w:rPr>
      </w:pPr>
      <w:r>
        <w:rPr>
          <w:rFonts w:cs="Arial"/>
          <w:b/>
          <w:bCs/>
          <w:sz w:val="21"/>
          <w:szCs w:val="21"/>
        </w:rPr>
        <w:t>5</w:t>
      </w:r>
      <w:r w:rsidR="00760DF9">
        <w:rPr>
          <w:rFonts w:cs="Arial"/>
          <w:b/>
          <w:bCs/>
          <w:sz w:val="21"/>
          <w:szCs w:val="21"/>
        </w:rPr>
        <w:tab/>
      </w:r>
      <w:r>
        <w:rPr>
          <w:rFonts w:cs="Arial"/>
          <w:b/>
          <w:bCs/>
          <w:sz w:val="21"/>
          <w:szCs w:val="21"/>
        </w:rPr>
        <w:t xml:space="preserve"> Action requested</w:t>
      </w:r>
    </w:p>
    <w:p w14:paraId="1038E61B" w14:textId="77777777" w:rsidR="004D1D85" w:rsidRPr="004D1D85" w:rsidRDefault="008A060F" w:rsidP="008A060F">
      <w:pPr>
        <w:autoSpaceDE w:val="0"/>
        <w:autoSpaceDN w:val="0"/>
        <w:adjustRightInd w:val="0"/>
      </w:pPr>
      <w:r>
        <w:rPr>
          <w:rFonts w:cs="Arial"/>
          <w:sz w:val="21"/>
          <w:szCs w:val="21"/>
        </w:rPr>
        <w:t xml:space="preserve">The Council is invited to consider this proposal as a possible input to the IMO Correspondence Group on e-Navigation. </w:t>
      </w:r>
    </w:p>
    <w:sectPr w:rsidR="004D1D85" w:rsidRPr="004D1D85" w:rsidSect="0082480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52893B" w14:textId="77777777" w:rsidR="00FD1A38" w:rsidRDefault="00FD1A38" w:rsidP="00362CD9">
      <w:r>
        <w:separator/>
      </w:r>
    </w:p>
  </w:endnote>
  <w:endnote w:type="continuationSeparator" w:id="0">
    <w:p w14:paraId="73767C06" w14:textId="77777777" w:rsidR="00FD1A38" w:rsidRDefault="00FD1A3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2323E" w14:textId="77777777" w:rsidR="006F72F4" w:rsidRDefault="006F72F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437A6" w14:textId="77777777" w:rsidR="00362CD9" w:rsidRDefault="00362CD9">
    <w:pPr>
      <w:pStyle w:val="Footer"/>
    </w:pPr>
    <w:r>
      <w:tab/>
    </w:r>
    <w:r w:rsidR="00713286">
      <w:fldChar w:fldCharType="begin"/>
    </w:r>
    <w:r>
      <w:instrText xml:space="preserve"> PAGE   \* MERGEFORMAT </w:instrText>
    </w:r>
    <w:r w:rsidR="00713286">
      <w:fldChar w:fldCharType="separate"/>
    </w:r>
    <w:r w:rsidR="006F72F4">
      <w:rPr>
        <w:noProof/>
      </w:rPr>
      <w:t>1</w:t>
    </w:r>
    <w:r w:rsidR="00713286">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11816" w14:textId="77777777" w:rsidR="006F72F4" w:rsidRDefault="006F72F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E04B09" w14:textId="77777777" w:rsidR="00FD1A38" w:rsidRDefault="00FD1A38" w:rsidP="00362CD9">
      <w:r>
        <w:separator/>
      </w:r>
    </w:p>
  </w:footnote>
  <w:footnote w:type="continuationSeparator" w:id="0">
    <w:p w14:paraId="0236B779" w14:textId="77777777" w:rsidR="00FD1A38" w:rsidRDefault="00FD1A38"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F45FE" w14:textId="77777777" w:rsidR="006F72F4" w:rsidRDefault="006F72F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B267A2" w14:textId="77777777" w:rsidR="00D55207" w:rsidRDefault="009831C0" w:rsidP="005E262D">
    <w:pPr>
      <w:pStyle w:val="Header"/>
      <w:jc w:val="right"/>
    </w:pPr>
    <w:r>
      <w:t>e-NAV</w:t>
    </w:r>
    <w:r w:rsidR="00B20031">
      <w:t>1</w:t>
    </w:r>
    <w:r w:rsidR="009654D1">
      <w:t>1</w:t>
    </w:r>
    <w:r w:rsidR="00A0389B">
      <w:t>/</w:t>
    </w:r>
    <w:r w:rsidR="009654D1">
      <w:t>16</w:t>
    </w:r>
    <w:r w:rsidR="00A0389B">
      <w:t>/</w:t>
    </w:r>
    <w:r w:rsidR="006F72F4">
      <w:t>1</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97D4D" w14:textId="77777777" w:rsidR="006F72F4" w:rsidRDefault="006F72F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1418"/>
        </w:tabs>
        <w:ind w:left="1418" w:hanging="567"/>
      </w:pPr>
      <w:rPr>
        <w:rFonts w:ascii="Arial Bold" w:hAnsi="Arial Bold" w:hint="default"/>
        <w:b/>
        <w:i w:val="0"/>
        <w:sz w:val="24"/>
      </w:rPr>
    </w:lvl>
    <w:lvl w:ilvl="1">
      <w:start w:val="1"/>
      <w:numFmt w:val="decimal"/>
      <w:pStyle w:val="AnnexHeading2"/>
      <w:lvlText w:val="%1.%2"/>
      <w:lvlJc w:val="left"/>
      <w:pPr>
        <w:tabs>
          <w:tab w:val="num" w:pos="1702"/>
        </w:tabs>
        <w:ind w:left="1702" w:hanging="851"/>
      </w:pPr>
      <w:rPr>
        <w:rFonts w:ascii="Arial Bold" w:hAnsi="Arial Bold" w:hint="default"/>
        <w:b/>
        <w:i w:val="0"/>
        <w:sz w:val="22"/>
      </w:rPr>
    </w:lvl>
    <w:lvl w:ilvl="2">
      <w:start w:val="1"/>
      <w:numFmt w:val="decimal"/>
      <w:pStyle w:val="AnnexHeading3"/>
      <w:lvlText w:val="%2.%3.%1"/>
      <w:lvlJc w:val="left"/>
      <w:pPr>
        <w:tabs>
          <w:tab w:val="num" w:pos="1843"/>
        </w:tabs>
        <w:ind w:left="1843" w:hanging="992"/>
      </w:pPr>
      <w:rPr>
        <w:rFonts w:ascii="Arial" w:hAnsi="Arial" w:hint="default"/>
        <w:b w:val="0"/>
        <w:i w:val="0"/>
        <w:sz w:val="22"/>
      </w:rPr>
    </w:lvl>
    <w:lvl w:ilvl="3">
      <w:start w:val="1"/>
      <w:numFmt w:val="decimal"/>
      <w:pStyle w:val="AnnexHeading4"/>
      <w:lvlText w:val="%1.%2.%3.%4"/>
      <w:lvlJc w:val="left"/>
      <w:pPr>
        <w:tabs>
          <w:tab w:val="num" w:pos="1985"/>
        </w:tabs>
        <w:ind w:left="1985" w:hanging="1134"/>
      </w:pPr>
      <w:rPr>
        <w:rFonts w:ascii="Arial" w:hAnsi="Arial" w:hint="default"/>
        <w:b w:val="0"/>
        <w:i w:val="0"/>
        <w:sz w:val="22"/>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5C01C19"/>
    <w:multiLevelType w:val="hybridMultilevel"/>
    <w:tmpl w:val="3140C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2"/>
  </w:num>
  <w:num w:numId="17">
    <w:abstractNumId w:val="6"/>
  </w:num>
  <w:num w:numId="18">
    <w:abstractNumId w:val="19"/>
  </w:num>
  <w:num w:numId="19">
    <w:abstractNumId w:val="12"/>
  </w:num>
  <w:num w:numId="20">
    <w:abstractNumId w:val="12"/>
  </w:num>
  <w:num w:numId="21">
    <w:abstractNumId w:val="12"/>
  </w:num>
  <w:num w:numId="22">
    <w:abstractNumId w:val="12"/>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3"/>
  <w:displayBackgroundShape/>
  <w:attachedTemplate r:id="rId1"/>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760DF9"/>
    <w:rsid w:val="000005D3"/>
    <w:rsid w:val="00013F5D"/>
    <w:rsid w:val="00023301"/>
    <w:rsid w:val="0004700E"/>
    <w:rsid w:val="00070C13"/>
    <w:rsid w:val="00084F33"/>
    <w:rsid w:val="0008729A"/>
    <w:rsid w:val="000A77A7"/>
    <w:rsid w:val="000C1B3E"/>
    <w:rsid w:val="0016322E"/>
    <w:rsid w:val="00177F4D"/>
    <w:rsid w:val="00180DDA"/>
    <w:rsid w:val="00191EC4"/>
    <w:rsid w:val="001A76F5"/>
    <w:rsid w:val="001B2A2D"/>
    <w:rsid w:val="001B737D"/>
    <w:rsid w:val="001C44A3"/>
    <w:rsid w:val="001F528A"/>
    <w:rsid w:val="001F704E"/>
    <w:rsid w:val="002125B0"/>
    <w:rsid w:val="002275E9"/>
    <w:rsid w:val="00227D6E"/>
    <w:rsid w:val="00243228"/>
    <w:rsid w:val="00251483"/>
    <w:rsid w:val="00255CAA"/>
    <w:rsid w:val="00264305"/>
    <w:rsid w:val="002A0346"/>
    <w:rsid w:val="002A4487"/>
    <w:rsid w:val="002D3E8B"/>
    <w:rsid w:val="002D4575"/>
    <w:rsid w:val="002D5C0C"/>
    <w:rsid w:val="002D6313"/>
    <w:rsid w:val="002E6B74"/>
    <w:rsid w:val="002E7B13"/>
    <w:rsid w:val="00356C78"/>
    <w:rsid w:val="00356CD0"/>
    <w:rsid w:val="00362CD9"/>
    <w:rsid w:val="003761CA"/>
    <w:rsid w:val="00380DAF"/>
    <w:rsid w:val="00397FE4"/>
    <w:rsid w:val="003B28F5"/>
    <w:rsid w:val="003B7B7D"/>
    <w:rsid w:val="003C7A2A"/>
    <w:rsid w:val="003D69D0"/>
    <w:rsid w:val="003F2918"/>
    <w:rsid w:val="003F430E"/>
    <w:rsid w:val="00461C60"/>
    <w:rsid w:val="004661AD"/>
    <w:rsid w:val="00473E01"/>
    <w:rsid w:val="004D1D85"/>
    <w:rsid w:val="004D3C3A"/>
    <w:rsid w:val="005107EB"/>
    <w:rsid w:val="00521345"/>
    <w:rsid w:val="00526DF0"/>
    <w:rsid w:val="00545CC4"/>
    <w:rsid w:val="00551FFF"/>
    <w:rsid w:val="005607A2"/>
    <w:rsid w:val="0056147B"/>
    <w:rsid w:val="0057198B"/>
    <w:rsid w:val="005B32A3"/>
    <w:rsid w:val="005B58A1"/>
    <w:rsid w:val="005C32E6"/>
    <w:rsid w:val="005C566C"/>
    <w:rsid w:val="005C7E69"/>
    <w:rsid w:val="005D1C6F"/>
    <w:rsid w:val="005E262D"/>
    <w:rsid w:val="005F7E20"/>
    <w:rsid w:val="006652C3"/>
    <w:rsid w:val="00691FD0"/>
    <w:rsid w:val="006A6DD6"/>
    <w:rsid w:val="006C5948"/>
    <w:rsid w:val="006F2A74"/>
    <w:rsid w:val="006F72F4"/>
    <w:rsid w:val="007020F8"/>
    <w:rsid w:val="007118F5"/>
    <w:rsid w:val="00712AA4"/>
    <w:rsid w:val="00713286"/>
    <w:rsid w:val="00721AA1"/>
    <w:rsid w:val="007451AF"/>
    <w:rsid w:val="007547F8"/>
    <w:rsid w:val="00760DF9"/>
    <w:rsid w:val="00765622"/>
    <w:rsid w:val="00770B6C"/>
    <w:rsid w:val="007726E6"/>
    <w:rsid w:val="00783FEA"/>
    <w:rsid w:val="0078656F"/>
    <w:rsid w:val="0082480E"/>
    <w:rsid w:val="00850293"/>
    <w:rsid w:val="00851373"/>
    <w:rsid w:val="00851BA6"/>
    <w:rsid w:val="00853DC5"/>
    <w:rsid w:val="0085654D"/>
    <w:rsid w:val="00861160"/>
    <w:rsid w:val="008A060F"/>
    <w:rsid w:val="008A4653"/>
    <w:rsid w:val="008A50CC"/>
    <w:rsid w:val="008B278F"/>
    <w:rsid w:val="008D1694"/>
    <w:rsid w:val="008D79CB"/>
    <w:rsid w:val="008F07BC"/>
    <w:rsid w:val="0092692B"/>
    <w:rsid w:val="00942904"/>
    <w:rsid w:val="00943E9C"/>
    <w:rsid w:val="00953F4D"/>
    <w:rsid w:val="00960BB8"/>
    <w:rsid w:val="00964F5C"/>
    <w:rsid w:val="009654D1"/>
    <w:rsid w:val="009827AC"/>
    <w:rsid w:val="009831C0"/>
    <w:rsid w:val="009A3FAF"/>
    <w:rsid w:val="009A6299"/>
    <w:rsid w:val="009E1138"/>
    <w:rsid w:val="00A0389B"/>
    <w:rsid w:val="00A200E6"/>
    <w:rsid w:val="00A3253D"/>
    <w:rsid w:val="00A446C9"/>
    <w:rsid w:val="00A635D6"/>
    <w:rsid w:val="00A75CED"/>
    <w:rsid w:val="00A8553A"/>
    <w:rsid w:val="00A93AED"/>
    <w:rsid w:val="00AA3FA1"/>
    <w:rsid w:val="00B07CC4"/>
    <w:rsid w:val="00B20031"/>
    <w:rsid w:val="00B226F2"/>
    <w:rsid w:val="00B274DF"/>
    <w:rsid w:val="00B56BDF"/>
    <w:rsid w:val="00B85CD6"/>
    <w:rsid w:val="00B90A27"/>
    <w:rsid w:val="00B9554D"/>
    <w:rsid w:val="00BB2B9F"/>
    <w:rsid w:val="00BD3CB8"/>
    <w:rsid w:val="00BD4E6F"/>
    <w:rsid w:val="00BF4DCE"/>
    <w:rsid w:val="00C05CE5"/>
    <w:rsid w:val="00C6171E"/>
    <w:rsid w:val="00CA6F2C"/>
    <w:rsid w:val="00CF1871"/>
    <w:rsid w:val="00D1133E"/>
    <w:rsid w:val="00D17A34"/>
    <w:rsid w:val="00D26628"/>
    <w:rsid w:val="00D332B3"/>
    <w:rsid w:val="00D55207"/>
    <w:rsid w:val="00D92B45"/>
    <w:rsid w:val="00D95962"/>
    <w:rsid w:val="00DB1226"/>
    <w:rsid w:val="00DC389B"/>
    <w:rsid w:val="00DE2FEE"/>
    <w:rsid w:val="00E00BE9"/>
    <w:rsid w:val="00E22A11"/>
    <w:rsid w:val="00E55927"/>
    <w:rsid w:val="00E912A6"/>
    <w:rsid w:val="00EA4844"/>
    <w:rsid w:val="00EA4D9C"/>
    <w:rsid w:val="00EB75EE"/>
    <w:rsid w:val="00EE4C1D"/>
    <w:rsid w:val="00EF3685"/>
    <w:rsid w:val="00F159EB"/>
    <w:rsid w:val="00F25BF4"/>
    <w:rsid w:val="00F267DB"/>
    <w:rsid w:val="00F46F6F"/>
    <w:rsid w:val="00F60608"/>
    <w:rsid w:val="00F62217"/>
    <w:rsid w:val="00F77B4A"/>
    <w:rsid w:val="00F80372"/>
    <w:rsid w:val="00FB17A9"/>
    <w:rsid w:val="00FB6F75"/>
    <w:rsid w:val="00FC0EB3"/>
    <w:rsid w:val="00FD1A38"/>
    <w:rsid w:val="00FE1AF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C4DB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lang w:val="en-GB" w:eastAsia="en-GB"/>
    </w:rPr>
  </w:style>
  <w:style w:type="paragraph" w:styleId="Heading1">
    <w:name w:val="heading 1"/>
    <w:basedOn w:val="Normal"/>
    <w:next w:val="BodyText"/>
    <w:link w:val="Heading1Char"/>
    <w:qFormat/>
    <w:rsid w:val="00D332B3"/>
    <w:pPr>
      <w:keepNext/>
      <w:numPr>
        <w:numId w:val="37"/>
      </w:numPr>
      <w:spacing w:before="240" w:after="240"/>
      <w:outlineLvl w:val="0"/>
    </w:pPr>
    <w:rPr>
      <w:rFonts w:cs="Times New Roman"/>
      <w:b/>
      <w:caps/>
      <w:kern w:val="28"/>
      <w:sz w:val="24"/>
      <w:szCs w:val="20"/>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rFonts w:cs="Times New Roman"/>
      <w:b/>
      <w:sz w:val="20"/>
      <w:szCs w:val="20"/>
    </w:rPr>
  </w:style>
  <w:style w:type="paragraph" w:styleId="Heading3">
    <w:name w:val="heading 3"/>
    <w:basedOn w:val="Normal"/>
    <w:next w:val="BodyText"/>
    <w:link w:val="Heading3Char"/>
    <w:qFormat/>
    <w:rsid w:val="00D332B3"/>
    <w:pPr>
      <w:keepNext/>
      <w:numPr>
        <w:ilvl w:val="2"/>
        <w:numId w:val="37"/>
      </w:numPr>
      <w:spacing w:before="120" w:after="120"/>
      <w:outlineLvl w:val="2"/>
    </w:pPr>
    <w:rPr>
      <w:rFonts w:cs="Times New Roman"/>
      <w:sz w:val="20"/>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rFonts w:cs="Times New Roman"/>
      <w:sz w:val="20"/>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 w:val="20"/>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rPr>
      <w:rFonts w:cs="Times New Roman"/>
      <w:sz w:val="20"/>
      <w:szCs w:val="24"/>
    </w:r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rPr>
      <w:rFonts w:cs="Times New Roman"/>
      <w:sz w:val="20"/>
      <w:szCs w:val="24"/>
    </w:r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rPr>
      <w:rFonts w:cs="Times New Roman"/>
      <w:sz w:val="20"/>
      <w:szCs w:val="24"/>
    </w:r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rPr>
      <w:rFonts w:cs="Times New Roman"/>
      <w:sz w:val="20"/>
      <w:szCs w:val="24"/>
    </w:r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rFonts w:cs="Times New Roman"/>
      <w:sz w:val="20"/>
      <w:szCs w:val="24"/>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rFonts w:cs="Times New Roman"/>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Times New Roman"/>
      <w:sz w:val="20"/>
      <w:szCs w:val="24"/>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Times New Roman"/>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styleId="ListParagraph">
    <w:name w:val="List Paragraph"/>
    <w:basedOn w:val="Normal"/>
    <w:uiPriority w:val="34"/>
    <w:qFormat/>
    <w:rsid w:val="008A060F"/>
    <w:pPr>
      <w:spacing w:after="200" w:line="276" w:lineRule="auto"/>
      <w:ind w:left="720"/>
      <w:contextualSpacing/>
    </w:pPr>
    <w:rPr>
      <w:rFonts w:ascii="Calibri" w:hAnsi="Calibri" w:cs="Times New Roman"/>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esktop\e-NAV%2011\e-NAV%20Committee%20input%20paper_Sep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\Desktop\e-NAV 11\e-NAV Committee input paper_Sep11.dotx</Template>
  <TotalTime>1</TotalTime>
  <Pages>2</Pages>
  <Words>929</Words>
  <Characters>5297</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6214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Ward</dc:creator>
  <cp:lastModifiedBy>Mike Hadley</cp:lastModifiedBy>
  <cp:revision>3</cp:revision>
  <cp:lastPrinted>2012-02-22T15:45:00Z</cp:lastPrinted>
  <dcterms:created xsi:type="dcterms:W3CDTF">2012-02-24T12:56:00Z</dcterms:created>
  <dcterms:modified xsi:type="dcterms:W3CDTF">2012-02-24T18:27:00Z</dcterms:modified>
</cp:coreProperties>
</file>