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F9" w:rsidRPr="00D728B4" w:rsidRDefault="000B61A3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IA</w:t>
      </w:r>
      <w:r w:rsidR="008234AA">
        <w:rPr>
          <w:b/>
          <w:sz w:val="28"/>
          <w:szCs w:val="28"/>
        </w:rPr>
        <w:t xml:space="preserve">LA </w:t>
      </w:r>
      <w:r w:rsidR="001554BA">
        <w:rPr>
          <w:b/>
          <w:sz w:val="28"/>
          <w:szCs w:val="28"/>
        </w:rPr>
        <w:t xml:space="preserve">Technical </w:t>
      </w:r>
      <w:r w:rsidR="008234AA">
        <w:rPr>
          <w:b/>
          <w:sz w:val="28"/>
          <w:szCs w:val="28"/>
        </w:rPr>
        <w:t>Committees</w:t>
      </w:r>
      <w:r w:rsidR="00A055B8">
        <w:rPr>
          <w:b/>
          <w:sz w:val="28"/>
          <w:szCs w:val="28"/>
        </w:rPr>
        <w:t xml:space="preserve">, Version </w:t>
      </w:r>
      <w:r w:rsidR="004E64D2">
        <w:rPr>
          <w:b/>
          <w:sz w:val="28"/>
          <w:szCs w:val="28"/>
        </w:rPr>
        <w:t>3</w:t>
      </w:r>
      <w:r w:rsidR="008234AA">
        <w:rPr>
          <w:b/>
          <w:sz w:val="28"/>
          <w:szCs w:val="28"/>
        </w:rPr>
        <w:t xml:space="preserve"> – Draft 2013-</w:t>
      </w:r>
      <w:r w:rsidR="003C6B5C">
        <w:rPr>
          <w:b/>
          <w:sz w:val="28"/>
          <w:szCs w:val="28"/>
        </w:rPr>
        <w:t>07-1</w:t>
      </w:r>
      <w:r w:rsidR="004E64D2">
        <w:rPr>
          <w:b/>
          <w:sz w:val="28"/>
          <w:szCs w:val="28"/>
        </w:rPr>
        <w:t>6</w:t>
      </w:r>
      <w:r w:rsidR="008234AA">
        <w:rPr>
          <w:b/>
          <w:sz w:val="28"/>
          <w:szCs w:val="28"/>
        </w:rPr>
        <w:tab/>
      </w:r>
      <w:r w:rsidR="00C2190F">
        <w:rPr>
          <w:b/>
          <w:sz w:val="28"/>
          <w:szCs w:val="28"/>
        </w:rPr>
        <w:t xml:space="preserve"> (A3)</w:t>
      </w:r>
    </w:p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1951"/>
        <w:gridCol w:w="9356"/>
        <w:gridCol w:w="2867"/>
      </w:tblGrid>
      <w:tr w:rsidR="00310166" w:rsidTr="008B41B0">
        <w:trPr>
          <w:trHeight w:val="381"/>
          <w:tblHeader/>
        </w:trPr>
        <w:tc>
          <w:tcPr>
            <w:tcW w:w="1951" w:type="dxa"/>
          </w:tcPr>
          <w:p w:rsidR="00310166" w:rsidRPr="00C2190F" w:rsidRDefault="00310166" w:rsidP="003C6B5C">
            <w:pPr>
              <w:rPr>
                <w:b/>
                <w:i/>
              </w:rPr>
            </w:pPr>
            <w:r>
              <w:rPr>
                <w:b/>
                <w:i/>
              </w:rPr>
              <w:t>Technical Domain</w:t>
            </w:r>
          </w:p>
        </w:tc>
        <w:tc>
          <w:tcPr>
            <w:tcW w:w="9356" w:type="dxa"/>
          </w:tcPr>
          <w:p w:rsidR="00310166" w:rsidRPr="00C2190F" w:rsidRDefault="00310166" w:rsidP="003C6B5C">
            <w:pPr>
              <w:rPr>
                <w:b/>
                <w:i/>
              </w:rPr>
            </w:pPr>
            <w:r>
              <w:rPr>
                <w:b/>
                <w:i/>
              </w:rPr>
              <w:t>Work description</w:t>
            </w:r>
          </w:p>
        </w:tc>
        <w:tc>
          <w:tcPr>
            <w:tcW w:w="2867" w:type="dxa"/>
          </w:tcPr>
          <w:p w:rsidR="00310166" w:rsidRPr="00C2190F" w:rsidRDefault="00310166" w:rsidP="00724C73">
            <w:pPr>
              <w:jc w:val="center"/>
              <w:rPr>
                <w:b/>
                <w:i/>
              </w:rPr>
            </w:pPr>
            <w:r w:rsidRPr="00C2190F">
              <w:rPr>
                <w:b/>
                <w:i/>
              </w:rPr>
              <w:t>Goal</w:t>
            </w:r>
            <w:r>
              <w:rPr>
                <w:b/>
                <w:i/>
              </w:rPr>
              <w:t xml:space="preserve"> &amp; </w:t>
            </w:r>
            <w:r w:rsidRPr="00C2190F">
              <w:rPr>
                <w:b/>
                <w:i/>
              </w:rPr>
              <w:t>Strategy</w:t>
            </w:r>
            <w:r>
              <w:rPr>
                <w:b/>
                <w:i/>
              </w:rPr>
              <w:t xml:space="preserve"> ex-SV2</w:t>
            </w:r>
          </w:p>
        </w:tc>
      </w:tr>
      <w:tr w:rsidR="004864EA" w:rsidTr="00310166">
        <w:tc>
          <w:tcPr>
            <w:tcW w:w="14174" w:type="dxa"/>
            <w:gridSpan w:val="3"/>
            <w:shd w:val="clear" w:color="auto" w:fill="C4BC96" w:themeFill="background2" w:themeFillShade="BF"/>
          </w:tcPr>
          <w:p w:rsidR="00442F2C" w:rsidRDefault="00442F2C">
            <w:pPr>
              <w:rPr>
                <w:b/>
                <w:sz w:val="24"/>
                <w:szCs w:val="24"/>
              </w:rPr>
            </w:pPr>
          </w:p>
          <w:p w:rsidR="004864EA" w:rsidRPr="00240132" w:rsidRDefault="004D198F" w:rsidP="003168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Technical </w:t>
            </w:r>
            <w:r w:rsidR="004864EA" w:rsidRPr="00240132">
              <w:rPr>
                <w:b/>
                <w:sz w:val="24"/>
                <w:szCs w:val="24"/>
              </w:rPr>
              <w:t xml:space="preserve">Committee #1 – AtoN </w:t>
            </w:r>
            <w:r w:rsidR="00610430">
              <w:rPr>
                <w:b/>
                <w:sz w:val="24"/>
                <w:szCs w:val="24"/>
              </w:rPr>
              <w:t xml:space="preserve">Requirements and </w:t>
            </w:r>
            <w:r w:rsidR="0031685F">
              <w:rPr>
                <w:b/>
                <w:sz w:val="24"/>
                <w:szCs w:val="24"/>
              </w:rPr>
              <w:t>Standards</w:t>
            </w:r>
            <w:r w:rsidR="00F715C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10166" w:rsidRPr="00B74B9A" w:rsidTr="008B41B0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1E55C5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</w:t>
            </w:r>
            <w:r w:rsidRPr="00B74B9A">
              <w:rPr>
                <w:sz w:val="20"/>
                <w:szCs w:val="20"/>
              </w:rPr>
              <w:t xml:space="preserve">#1 – </w:t>
            </w:r>
            <w:r>
              <w:rPr>
                <w:sz w:val="20"/>
                <w:szCs w:val="20"/>
              </w:rPr>
              <w:t>Requirements and Standards for [visual and short-range]</w:t>
            </w:r>
            <w:r w:rsidRPr="00B74B9A">
              <w:rPr>
                <w:sz w:val="20"/>
                <w:szCs w:val="20"/>
              </w:rPr>
              <w:t xml:space="preserve"> AtoN systems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12G3-S1</w:t>
            </w: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Default="00310166" w:rsidP="00274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Standards for marking, using short-range AtoN, including visual, radar, AIS</w:t>
            </w:r>
          </w:p>
          <w:p w:rsidR="00310166" w:rsidRPr="003117ED" w:rsidRDefault="00310166" w:rsidP="00EA7E0F">
            <w:pPr>
              <w:ind w:left="720"/>
              <w:rPr>
                <w:sz w:val="20"/>
                <w:szCs w:val="20"/>
              </w:rPr>
            </w:pPr>
            <w:r w:rsidRPr="003117ED">
              <w:rPr>
                <w:sz w:val="20"/>
                <w:szCs w:val="20"/>
              </w:rPr>
              <w:t>Maritime Buoyage Scheme</w:t>
            </w:r>
            <w:r>
              <w:rPr>
                <w:sz w:val="20"/>
                <w:szCs w:val="20"/>
              </w:rPr>
              <w:t xml:space="preserve">, </w:t>
            </w:r>
            <w:r w:rsidRPr="003117ED">
              <w:rPr>
                <w:sz w:val="20"/>
                <w:szCs w:val="20"/>
              </w:rPr>
              <w:t>Marking of offshore structures and energy farms</w:t>
            </w:r>
            <w:r>
              <w:rPr>
                <w:sz w:val="20"/>
                <w:szCs w:val="20"/>
              </w:rPr>
              <w:t>, Traffic signals, Leading lights and marks, Wreck marking, AtoN for high speed craft, Use of AIS and Radar AtoN, Record keeping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214C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Virtual AtoN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597F72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</w:t>
            </w:r>
            <w:r w:rsidRPr="00B74B9A">
              <w:rPr>
                <w:sz w:val="20"/>
                <w:szCs w:val="20"/>
              </w:rPr>
              <w:t xml:space="preserve">#2 – </w:t>
            </w:r>
            <w:r>
              <w:rPr>
                <w:sz w:val="20"/>
                <w:szCs w:val="20"/>
              </w:rPr>
              <w:t>Management of AtoN services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12G3-S1</w:t>
            </w: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602833" w:rsidRDefault="00310166" w:rsidP="008B41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Levels of service</w:t>
            </w:r>
          </w:p>
          <w:p w:rsidR="00602833" w:rsidRDefault="00310166" w:rsidP="006028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Availability and reliability criteria</w:t>
            </w:r>
          </w:p>
          <w:p w:rsidR="00602833" w:rsidRDefault="00310166" w:rsidP="006028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Quality management</w:t>
            </w:r>
          </w:p>
          <w:p w:rsidR="00310166" w:rsidRPr="00B74B9A" w:rsidRDefault="00310166" w:rsidP="006028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Contracting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1307" w:type="dxa"/>
            <w:gridSpan w:val="2"/>
            <w:shd w:val="clear" w:color="auto" w:fill="EEECE1" w:themeFill="background2"/>
          </w:tcPr>
          <w:p w:rsidR="00310166" w:rsidRDefault="00310166" w:rsidP="00B01AC2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</w:t>
            </w:r>
            <w:r w:rsidRPr="00B74B9A">
              <w:rPr>
                <w:sz w:val="20"/>
                <w:szCs w:val="20"/>
              </w:rPr>
              <w:t>#</w:t>
            </w:r>
            <w:r>
              <w:rPr>
                <w:sz w:val="20"/>
                <w:szCs w:val="20"/>
              </w:rPr>
              <w:t>3</w:t>
            </w:r>
            <w:r w:rsidRPr="00B74B9A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Marine Spatial Planning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12G3-S4</w:t>
            </w: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AtoN and VTS in Marine Spatial Planning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602833" w:rsidRDefault="00310166" w:rsidP="008B41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B74B9A">
              <w:rPr>
                <w:sz w:val="20"/>
                <w:szCs w:val="20"/>
              </w:rPr>
              <w:t xml:space="preserve">esign </w:t>
            </w:r>
            <w:r>
              <w:rPr>
                <w:sz w:val="20"/>
                <w:szCs w:val="20"/>
              </w:rPr>
              <w:t xml:space="preserve">of </w:t>
            </w:r>
            <w:r w:rsidRPr="00B74B9A">
              <w:rPr>
                <w:sz w:val="20"/>
                <w:szCs w:val="20"/>
              </w:rPr>
              <w:t>AtoN system</w:t>
            </w:r>
            <w:r>
              <w:rPr>
                <w:sz w:val="20"/>
                <w:szCs w:val="20"/>
              </w:rPr>
              <w:t>s</w:t>
            </w:r>
            <w:r w:rsidRPr="00B74B9A">
              <w:rPr>
                <w:sz w:val="20"/>
                <w:szCs w:val="20"/>
              </w:rPr>
              <w:t xml:space="preserve"> for channels and restricted waterways</w:t>
            </w:r>
            <w:r>
              <w:rPr>
                <w:sz w:val="20"/>
                <w:szCs w:val="20"/>
              </w:rPr>
              <w:t xml:space="preserve"> </w:t>
            </w:r>
          </w:p>
          <w:p w:rsidR="00310166" w:rsidRPr="00B74B9A" w:rsidRDefault="00310166" w:rsidP="008B41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simulation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Risk </w:t>
            </w:r>
            <w:r>
              <w:rPr>
                <w:sz w:val="20"/>
                <w:szCs w:val="20"/>
              </w:rPr>
              <w:t xml:space="preserve">management and risk </w:t>
            </w:r>
            <w:r w:rsidRPr="00B74B9A">
              <w:rPr>
                <w:sz w:val="20"/>
                <w:szCs w:val="20"/>
              </w:rPr>
              <w:t>analysis tools – creation, use, licensing</w:t>
            </w:r>
            <w:r>
              <w:rPr>
                <w:sz w:val="20"/>
                <w:szCs w:val="20"/>
              </w:rPr>
              <w:t>,</w:t>
            </w:r>
            <w:r w:rsidRPr="00B74B9A">
              <w:rPr>
                <w:sz w:val="20"/>
                <w:szCs w:val="20"/>
              </w:rPr>
              <w:t xml:space="preserve"> and legal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1307" w:type="dxa"/>
            <w:gridSpan w:val="2"/>
            <w:shd w:val="clear" w:color="auto" w:fill="EEECE1" w:themeFill="background2"/>
          </w:tcPr>
          <w:p w:rsidR="00310166" w:rsidRDefault="00310166" w:rsidP="00B01AC2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</w:t>
            </w:r>
            <w:r w:rsidRPr="00B74B9A">
              <w:rPr>
                <w:sz w:val="20"/>
                <w:szCs w:val="20"/>
              </w:rPr>
              <w:t>#</w:t>
            </w:r>
            <w:r>
              <w:rPr>
                <w:sz w:val="20"/>
                <w:szCs w:val="20"/>
              </w:rPr>
              <w:t>4</w:t>
            </w:r>
            <w:r w:rsidRPr="00B74B9A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International coordination and liaison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12G3-S1</w:t>
            </w:r>
          </w:p>
        </w:tc>
      </w:tr>
      <w:tr w:rsidR="00310166" w:rsidRPr="00B74B9A" w:rsidTr="008B41B0">
        <w:tc>
          <w:tcPr>
            <w:tcW w:w="1951" w:type="dxa"/>
            <w:shd w:val="clear" w:color="auto" w:fill="FFFFFF" w:themeFill="background1"/>
          </w:tcPr>
          <w:p w:rsidR="00310166" w:rsidRDefault="00310166" w:rsidP="00A221BA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9356" w:type="dxa"/>
            <w:shd w:val="clear" w:color="auto" w:fill="FFFFFF" w:themeFill="background1"/>
          </w:tcPr>
          <w:p w:rsidR="00310166" w:rsidRDefault="00310166" w:rsidP="006028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Interaction with IMO and other </w:t>
            </w:r>
            <w:r w:rsidR="00602833">
              <w:rPr>
                <w:sz w:val="20"/>
                <w:szCs w:val="20"/>
              </w:rPr>
              <w:t>IGOs</w:t>
            </w:r>
            <w:r>
              <w:rPr>
                <w:sz w:val="20"/>
                <w:szCs w:val="20"/>
              </w:rPr>
              <w:t>, except ITU</w:t>
            </w:r>
          </w:p>
        </w:tc>
        <w:tc>
          <w:tcPr>
            <w:tcW w:w="2867" w:type="dxa"/>
            <w:shd w:val="clear" w:color="auto" w:fill="FFFFFF" w:themeFill="background1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  <w:shd w:val="clear" w:color="auto" w:fill="FFFFFF" w:themeFill="background1"/>
          </w:tcPr>
          <w:p w:rsidR="00310166" w:rsidRDefault="00310166" w:rsidP="00A221BA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9356" w:type="dxa"/>
            <w:shd w:val="clear" w:color="auto" w:fill="FFFFFF" w:themeFill="background1"/>
          </w:tcPr>
          <w:p w:rsidR="00310166" w:rsidRDefault="00310166" w:rsidP="00A221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  <w:r w:rsidRPr="00B74B9A">
              <w:rPr>
                <w:sz w:val="20"/>
                <w:szCs w:val="20"/>
              </w:rPr>
              <w:t xml:space="preserve"> of IALA </w:t>
            </w:r>
            <w:r>
              <w:rPr>
                <w:sz w:val="20"/>
                <w:szCs w:val="20"/>
              </w:rPr>
              <w:t>products to suit</w:t>
            </w:r>
            <w:r w:rsidRPr="00B74B9A">
              <w:rPr>
                <w:sz w:val="20"/>
                <w:szCs w:val="20"/>
              </w:rPr>
              <w:t xml:space="preserve"> international instruments</w:t>
            </w:r>
            <w:r>
              <w:rPr>
                <w:sz w:val="20"/>
                <w:szCs w:val="20"/>
              </w:rPr>
              <w:t xml:space="preserve"> and national legislation</w:t>
            </w:r>
          </w:p>
        </w:tc>
        <w:tc>
          <w:tcPr>
            <w:tcW w:w="2867" w:type="dxa"/>
            <w:shd w:val="clear" w:color="auto" w:fill="FFFFFF" w:themeFill="background1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8A6568" w:rsidTr="00310166">
        <w:tc>
          <w:tcPr>
            <w:tcW w:w="14174" w:type="dxa"/>
            <w:gridSpan w:val="3"/>
            <w:shd w:val="clear" w:color="auto" w:fill="C4BC96" w:themeFill="background2" w:themeFillShade="BF"/>
          </w:tcPr>
          <w:p w:rsidR="008A6568" w:rsidRPr="00240132" w:rsidRDefault="008A6568" w:rsidP="00134A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  <w:t xml:space="preserve">Technical </w:t>
            </w:r>
            <w:r w:rsidRPr="00240132">
              <w:rPr>
                <w:b/>
                <w:sz w:val="24"/>
                <w:szCs w:val="24"/>
              </w:rPr>
              <w:t xml:space="preserve">Committee #2 – e-Navigation and </w:t>
            </w:r>
            <w:r w:rsidR="00134A7E">
              <w:rPr>
                <w:b/>
                <w:sz w:val="24"/>
                <w:szCs w:val="24"/>
              </w:rPr>
              <w:t>S</w:t>
            </w:r>
            <w:r w:rsidRPr="00240132">
              <w:rPr>
                <w:b/>
                <w:sz w:val="24"/>
                <w:szCs w:val="24"/>
              </w:rPr>
              <w:t xml:space="preserve">hore </w:t>
            </w:r>
            <w:r w:rsidR="00134A7E">
              <w:rPr>
                <w:b/>
                <w:sz w:val="24"/>
                <w:szCs w:val="24"/>
              </w:rPr>
              <w:t>I</w:t>
            </w:r>
            <w:r w:rsidRPr="00240132">
              <w:rPr>
                <w:b/>
                <w:sz w:val="24"/>
                <w:szCs w:val="24"/>
              </w:rPr>
              <w:t>nfrastructure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10166" w:rsidRPr="00B74B9A" w:rsidTr="008B41B0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3F0954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</w:t>
            </w:r>
            <w:r w:rsidRPr="00B74B9A">
              <w:rPr>
                <w:sz w:val="20"/>
                <w:szCs w:val="20"/>
              </w:rPr>
              <w:t>#1 – Data modelling and message systems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12G3-S2</w:t>
            </w: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AtoN data </w:t>
            </w:r>
            <w:r>
              <w:rPr>
                <w:sz w:val="20"/>
                <w:szCs w:val="20"/>
              </w:rPr>
              <w:t>information structure, exchange, presentation</w:t>
            </w:r>
          </w:p>
          <w:p w:rsidR="00310166" w:rsidRPr="00B74B9A" w:rsidRDefault="00310166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S-100 registry</w:t>
            </w:r>
            <w:r>
              <w:rPr>
                <w:sz w:val="20"/>
                <w:szCs w:val="20"/>
              </w:rPr>
              <w:t xml:space="preserve"> and Product Specifications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Message structure for e-Nav including VDES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6316D8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Maritime Service Portfolios, design and content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3F0954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</w:t>
            </w:r>
            <w:r w:rsidRPr="00B74B9A">
              <w:rPr>
                <w:sz w:val="20"/>
                <w:szCs w:val="20"/>
              </w:rPr>
              <w:t>#2 – e-Navigation communications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12G3-S2</w:t>
            </w: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VDES, satellite, WRCP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D728B4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AIS technology</w:t>
            </w:r>
          </w:p>
          <w:p w:rsidR="00310166" w:rsidRPr="00B74B9A" w:rsidRDefault="00310166" w:rsidP="00D728B4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ASM coordination and web hosting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ITU planning and liaison, WRC</w:t>
            </w:r>
            <w:r>
              <w:rPr>
                <w:sz w:val="20"/>
                <w:szCs w:val="20"/>
              </w:rPr>
              <w:t xml:space="preserve"> preparation and national coordination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212149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</w:t>
            </w:r>
            <w:r w:rsidRPr="00B74B9A">
              <w:rPr>
                <w:sz w:val="20"/>
                <w:szCs w:val="20"/>
              </w:rPr>
              <w:t>#3 – Shore technical infrastructure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12G3-S2</w:t>
            </w: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602833" w:rsidRDefault="00310166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Shore infrastructure design</w:t>
            </w:r>
          </w:p>
          <w:p w:rsidR="00310166" w:rsidRPr="00B74B9A" w:rsidRDefault="00310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e-Navigation architecture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8A65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Resilient PNT shore services - DGPS, e-Loran, other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Default="00310166" w:rsidP="008A65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Virtual AtoN technology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Sharing of shore data, IALA-NET, </w:t>
            </w:r>
            <w:r w:rsidR="00602833">
              <w:rPr>
                <w:sz w:val="20"/>
                <w:szCs w:val="20"/>
              </w:rPr>
              <w:t>etc.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B01AC2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</w:t>
            </w:r>
            <w:r w:rsidRPr="00B74B9A">
              <w:rPr>
                <w:sz w:val="20"/>
                <w:szCs w:val="20"/>
              </w:rPr>
              <w:t>#</w:t>
            </w:r>
            <w:r>
              <w:rPr>
                <w:sz w:val="20"/>
                <w:szCs w:val="20"/>
              </w:rPr>
              <w:t>4 – Future s</w:t>
            </w:r>
            <w:r w:rsidRPr="00B74B9A">
              <w:rPr>
                <w:sz w:val="20"/>
                <w:szCs w:val="20"/>
              </w:rPr>
              <w:t xml:space="preserve">ea </w:t>
            </w:r>
            <w:r>
              <w:rPr>
                <w:sz w:val="20"/>
                <w:szCs w:val="20"/>
              </w:rPr>
              <w:t>navigation services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12G3-S5</w:t>
            </w: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Default="00310166" w:rsidP="00A221B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Data gathering and analysis</w:t>
            </w:r>
          </w:p>
          <w:p w:rsidR="00310166" w:rsidRDefault="00310166" w:rsidP="00A221B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Participation in </w:t>
            </w:r>
            <w:r>
              <w:rPr>
                <w:sz w:val="20"/>
                <w:szCs w:val="20"/>
              </w:rPr>
              <w:t xml:space="preserve">and harmonisation of results of </w:t>
            </w:r>
            <w:r w:rsidRPr="00B74B9A">
              <w:rPr>
                <w:sz w:val="20"/>
                <w:szCs w:val="20"/>
              </w:rPr>
              <w:t>test beds</w:t>
            </w:r>
          </w:p>
          <w:p w:rsidR="00310166" w:rsidRPr="00B74B9A" w:rsidRDefault="00310166" w:rsidP="00A221B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Harmonisation policy and planning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8B41B0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Default="00310166" w:rsidP="00A221B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Sea traffic operations</w:t>
            </w:r>
            <w:r>
              <w:rPr>
                <w:sz w:val="20"/>
                <w:szCs w:val="20"/>
              </w:rPr>
              <w:t>, and VTS beyond territorial limits</w:t>
            </w:r>
          </w:p>
          <w:p w:rsidR="00310166" w:rsidRDefault="00310166" w:rsidP="00A221BA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Monitoring of developments  nationally and regionally, and e</w:t>
            </w:r>
            <w:r w:rsidRPr="00B74B9A">
              <w:rPr>
                <w:sz w:val="20"/>
                <w:szCs w:val="20"/>
              </w:rPr>
              <w:t>ffect on competent authorities</w:t>
            </w:r>
          </w:p>
          <w:p w:rsidR="00310166" w:rsidRDefault="00310166" w:rsidP="00A221BA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Maintaining advice to IALA membership</w:t>
            </w:r>
          </w:p>
          <w:p w:rsidR="00310166" w:rsidRPr="00B74B9A" w:rsidRDefault="00310166" w:rsidP="00A221BA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Proposing draft IALA policy and draft standards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8A6568" w:rsidTr="00310166">
        <w:tc>
          <w:tcPr>
            <w:tcW w:w="14174" w:type="dxa"/>
            <w:gridSpan w:val="3"/>
            <w:shd w:val="clear" w:color="auto" w:fill="C4BC96" w:themeFill="background2" w:themeFillShade="BF"/>
          </w:tcPr>
          <w:p w:rsidR="008A6568" w:rsidRDefault="008A6568">
            <w:pPr>
              <w:rPr>
                <w:b/>
                <w:sz w:val="24"/>
                <w:szCs w:val="24"/>
              </w:rPr>
            </w:pPr>
          </w:p>
          <w:p w:rsidR="008A6568" w:rsidRPr="005B2149" w:rsidRDefault="008A6568" w:rsidP="004E64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Technical </w:t>
            </w:r>
            <w:r w:rsidRPr="005B2149">
              <w:rPr>
                <w:b/>
                <w:sz w:val="24"/>
                <w:szCs w:val="24"/>
              </w:rPr>
              <w:t>Committee #3 –</w:t>
            </w:r>
            <w:r>
              <w:rPr>
                <w:b/>
                <w:sz w:val="24"/>
                <w:szCs w:val="24"/>
              </w:rPr>
              <w:t xml:space="preserve"> </w:t>
            </w:r>
            <w:r w:rsidR="004E64D2">
              <w:rPr>
                <w:b/>
                <w:sz w:val="24"/>
                <w:szCs w:val="24"/>
              </w:rPr>
              <w:t>AtoN Engineering</w:t>
            </w:r>
            <w:r w:rsidRPr="005B214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10166" w:rsidRPr="00B16632" w:rsidTr="008B41B0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B01AC2">
            <w:pPr>
              <w:ind w:left="720"/>
              <w:rPr>
                <w:sz w:val="20"/>
                <w:szCs w:val="20"/>
              </w:rPr>
            </w:pPr>
            <w:r w:rsidRPr="0031685F">
              <w:rPr>
                <w:sz w:val="20"/>
                <w:szCs w:val="20"/>
              </w:rPr>
              <w:t>TD#</w:t>
            </w:r>
            <w:r>
              <w:rPr>
                <w:sz w:val="20"/>
                <w:szCs w:val="20"/>
              </w:rPr>
              <w:t>1</w:t>
            </w:r>
            <w:r w:rsidRPr="0031685F">
              <w:rPr>
                <w:sz w:val="20"/>
                <w:szCs w:val="20"/>
              </w:rPr>
              <w:t xml:space="preserve"> – Light and vision physics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12G3-S1</w:t>
            </w:r>
          </w:p>
        </w:tc>
      </w:tr>
      <w:tr w:rsidR="00310166" w:rsidRPr="00B16632" w:rsidTr="008B41B0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Default="00310166" w:rsidP="0031685F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Visual perception</w:t>
            </w:r>
            <w:r>
              <w:rPr>
                <w:sz w:val="20"/>
                <w:szCs w:val="20"/>
              </w:rPr>
              <w:t>, day and night</w:t>
            </w:r>
          </w:p>
          <w:p w:rsidR="00310166" w:rsidRDefault="00310166" w:rsidP="00316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Conspicuity</w:t>
            </w:r>
          </w:p>
          <w:p w:rsidR="00310166" w:rsidRDefault="00310166" w:rsidP="00316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Colours in visual signalling</w:t>
            </w:r>
          </w:p>
          <w:p w:rsidR="00310166" w:rsidRPr="00B74B9A" w:rsidRDefault="00310166" w:rsidP="00316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Technical standards for colour and colour measurement</w:t>
            </w:r>
          </w:p>
          <w:p w:rsidR="00310166" w:rsidRPr="00B74B9A" w:rsidRDefault="00310166" w:rsidP="00316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Range and performance computation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16632" w:rsidTr="008B41B0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B01AC2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TD#2</w:t>
            </w:r>
            <w:r w:rsidRPr="00B74B9A">
              <w:rPr>
                <w:sz w:val="20"/>
                <w:szCs w:val="20"/>
              </w:rPr>
              <w:t xml:space="preserve"> – Short range AtoN </w:t>
            </w:r>
            <w:r>
              <w:rPr>
                <w:sz w:val="20"/>
                <w:szCs w:val="20"/>
              </w:rPr>
              <w:t>engineering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12G3-S1</w:t>
            </w:r>
          </w:p>
        </w:tc>
      </w:tr>
      <w:tr w:rsidR="00310166" w:rsidRPr="00B16632" w:rsidTr="008B41B0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Default="00310166" w:rsidP="00316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B74B9A">
              <w:rPr>
                <w:sz w:val="20"/>
                <w:szCs w:val="20"/>
              </w:rPr>
              <w:t xml:space="preserve">uoy and beacon </w:t>
            </w:r>
            <w:r>
              <w:rPr>
                <w:sz w:val="20"/>
                <w:szCs w:val="20"/>
              </w:rPr>
              <w:t xml:space="preserve">engineering and performance </w:t>
            </w:r>
          </w:p>
          <w:p w:rsidR="00310166" w:rsidRPr="00B74B9A" w:rsidRDefault="00310166" w:rsidP="00602833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Lights, Beacons, Buoys, Daymarks, Sector lights, R</w:t>
            </w:r>
            <w:r w:rsidRPr="00B74B9A">
              <w:rPr>
                <w:sz w:val="20"/>
                <w:szCs w:val="20"/>
              </w:rPr>
              <w:t>adar</w:t>
            </w:r>
            <w:r>
              <w:rPr>
                <w:sz w:val="20"/>
                <w:szCs w:val="20"/>
              </w:rPr>
              <w:t xml:space="preserve"> beacons, Power systems, Maintenance, Protection, Safety of personnel, AtoN engineering in polar regions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16632" w:rsidTr="008B41B0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091671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Background lighting</w:t>
            </w:r>
            <w:r>
              <w:rPr>
                <w:sz w:val="20"/>
                <w:szCs w:val="20"/>
              </w:rPr>
              <w:t xml:space="preserve"> effects and mitigation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16632" w:rsidTr="008B41B0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091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Polar AtoN engineering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16632" w:rsidTr="008B41B0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B01AC2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TD#3 – Global capacity building and training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12G2-S2</w:t>
            </w:r>
            <w:r w:rsidR="00602833">
              <w:rPr>
                <w:sz w:val="20"/>
                <w:szCs w:val="20"/>
              </w:rPr>
              <w:t>, -</w:t>
            </w:r>
            <w:r>
              <w:rPr>
                <w:sz w:val="20"/>
                <w:szCs w:val="20"/>
              </w:rPr>
              <w:t>S3</w:t>
            </w:r>
          </w:p>
        </w:tc>
      </w:tr>
      <w:tr w:rsidR="00310166" w:rsidRPr="00B16632" w:rsidTr="008B41B0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896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Standards for training and certification of AtoN personnel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16632" w:rsidTr="008B41B0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896CE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WWA model courses</w:t>
            </w:r>
            <w:r>
              <w:rPr>
                <w:sz w:val="20"/>
                <w:szCs w:val="20"/>
              </w:rPr>
              <w:t xml:space="preserve"> for AtoN and e-Navigation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C4050D" w:rsidTr="006316D8">
        <w:tc>
          <w:tcPr>
            <w:tcW w:w="14174" w:type="dxa"/>
            <w:gridSpan w:val="3"/>
            <w:shd w:val="clear" w:color="auto" w:fill="C4BC96" w:themeFill="background2" w:themeFillShade="BF"/>
          </w:tcPr>
          <w:p w:rsidR="00C4050D" w:rsidRPr="00B16632" w:rsidRDefault="00C4050D">
            <w:pPr>
              <w:rPr>
                <w:sz w:val="24"/>
                <w:szCs w:val="24"/>
              </w:rPr>
            </w:pPr>
          </w:p>
          <w:p w:rsidR="00C4050D" w:rsidRPr="00602833" w:rsidRDefault="00C4050D" w:rsidP="00134A7E">
            <w:pPr>
              <w:rPr>
                <w:b/>
                <w:sz w:val="24"/>
                <w:szCs w:val="24"/>
              </w:rPr>
            </w:pPr>
            <w:r w:rsidRPr="00602833">
              <w:rPr>
                <w:b/>
                <w:sz w:val="24"/>
                <w:szCs w:val="24"/>
              </w:rPr>
              <w:t xml:space="preserve">Technical Committee #4 – Vessel </w:t>
            </w:r>
            <w:r w:rsidR="00134A7E">
              <w:rPr>
                <w:b/>
                <w:sz w:val="24"/>
                <w:szCs w:val="24"/>
              </w:rPr>
              <w:t>T</w:t>
            </w:r>
            <w:r w:rsidRPr="00602833">
              <w:rPr>
                <w:b/>
                <w:sz w:val="24"/>
                <w:szCs w:val="24"/>
              </w:rPr>
              <w:t xml:space="preserve">raffic </w:t>
            </w:r>
            <w:r w:rsidR="00134A7E">
              <w:rPr>
                <w:b/>
                <w:sz w:val="24"/>
                <w:szCs w:val="24"/>
              </w:rPr>
              <w:t>S</w:t>
            </w:r>
            <w:r w:rsidRPr="00602833">
              <w:rPr>
                <w:b/>
                <w:sz w:val="24"/>
                <w:szCs w:val="24"/>
              </w:rPr>
              <w:t xml:space="preserve">ervices </w:t>
            </w:r>
          </w:p>
        </w:tc>
      </w:tr>
      <w:tr w:rsidR="00310166" w:rsidRPr="00B74B9A" w:rsidTr="00602833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6F491B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</w:t>
            </w:r>
            <w:r w:rsidRPr="00B74B9A">
              <w:rPr>
                <w:sz w:val="20"/>
                <w:szCs w:val="20"/>
              </w:rPr>
              <w:t>#1 – Operations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12G3-S3</w:t>
            </w:r>
          </w:p>
        </w:tc>
      </w:tr>
      <w:tr w:rsidR="00310166" w:rsidRPr="00B74B9A" w:rsidTr="00602833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8B41B0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VTS operations</w:t>
            </w:r>
            <w:r w:rsidR="008B41B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Staffing standards</w:t>
            </w:r>
            <w:r w:rsidR="008B41B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Standard phrases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602833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Inter-VTS operations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602833">
        <w:tc>
          <w:tcPr>
            <w:tcW w:w="1951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A221B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World VTS Guide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602833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6F491B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</w:t>
            </w:r>
            <w:r w:rsidRPr="00B74B9A">
              <w:rPr>
                <w:sz w:val="20"/>
                <w:szCs w:val="20"/>
              </w:rPr>
              <w:t>#2 – Technology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12G3-S3</w:t>
            </w:r>
          </w:p>
        </w:tc>
      </w:tr>
      <w:tr w:rsidR="00310166" w:rsidRPr="00B74B9A" w:rsidTr="00602833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8B41B0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VTS </w:t>
            </w:r>
            <w:r>
              <w:rPr>
                <w:sz w:val="20"/>
                <w:szCs w:val="20"/>
              </w:rPr>
              <w:t xml:space="preserve">systems </w:t>
            </w:r>
            <w:r w:rsidRPr="00B74B9A">
              <w:rPr>
                <w:sz w:val="20"/>
                <w:szCs w:val="20"/>
              </w:rPr>
              <w:t>technology</w:t>
            </w:r>
            <w:r w:rsidR="008B41B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Sensors</w:t>
            </w:r>
            <w:r w:rsidR="008B41B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Presentation 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602833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Inter-VTS data exchange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602833">
        <w:tc>
          <w:tcPr>
            <w:tcW w:w="11307" w:type="dxa"/>
            <w:gridSpan w:val="2"/>
            <w:shd w:val="clear" w:color="auto" w:fill="EEECE1" w:themeFill="background2"/>
          </w:tcPr>
          <w:p w:rsidR="00310166" w:rsidRPr="00B74B9A" w:rsidRDefault="00310166" w:rsidP="009C73D1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TD#3 – VTS training   </w:t>
            </w:r>
          </w:p>
        </w:tc>
        <w:tc>
          <w:tcPr>
            <w:tcW w:w="2867" w:type="dxa"/>
            <w:shd w:val="clear" w:color="auto" w:fill="EEECE1" w:themeFill="background2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12G3-S3</w:t>
            </w:r>
          </w:p>
        </w:tc>
      </w:tr>
      <w:tr w:rsidR="00310166" w:rsidRPr="00B74B9A" w:rsidTr="00602833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Operator training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602833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 w:rsidP="00843727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VTS model courses 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602833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Simulation in VTS training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310166" w:rsidRPr="00B74B9A" w:rsidTr="00602833">
        <w:tc>
          <w:tcPr>
            <w:tcW w:w="1951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310166" w:rsidRPr="00B74B9A" w:rsidRDefault="00310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B74B9A">
              <w:rPr>
                <w:sz w:val="20"/>
                <w:szCs w:val="20"/>
              </w:rPr>
              <w:t>raining considerations</w:t>
            </w:r>
            <w:r>
              <w:rPr>
                <w:sz w:val="20"/>
                <w:szCs w:val="20"/>
              </w:rPr>
              <w:t xml:space="preserve"> for ships’ bridge officers</w:t>
            </w:r>
          </w:p>
        </w:tc>
        <w:tc>
          <w:tcPr>
            <w:tcW w:w="2867" w:type="dxa"/>
          </w:tcPr>
          <w:p w:rsidR="00310166" w:rsidRPr="00B74B9A" w:rsidRDefault="00310166" w:rsidP="00724C7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74B9A" w:rsidRDefault="00B74B9A" w:rsidP="006316D8">
      <w:pPr>
        <w:rPr>
          <w:b/>
          <w:sz w:val="28"/>
          <w:szCs w:val="28"/>
        </w:rPr>
      </w:pPr>
    </w:p>
    <w:p w:rsidR="00602833" w:rsidRDefault="0060283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8234AA" w:rsidRPr="001554BA" w:rsidRDefault="001554BA" w:rsidP="006316D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IALA Complementary Committees and Fora</w:t>
      </w:r>
    </w:p>
    <w:tbl>
      <w:tblPr>
        <w:tblStyle w:val="TableGrid"/>
        <w:tblW w:w="14175" w:type="dxa"/>
        <w:tblLook w:val="04A0" w:firstRow="1" w:lastRow="0" w:firstColumn="1" w:lastColumn="0" w:noHBand="0" w:noVBand="1"/>
      </w:tblPr>
      <w:tblGrid>
        <w:gridCol w:w="1474"/>
        <w:gridCol w:w="9833"/>
        <w:gridCol w:w="2868"/>
      </w:tblGrid>
      <w:tr w:rsidR="00602833" w:rsidRPr="00C2190F" w:rsidTr="00602833">
        <w:trPr>
          <w:trHeight w:val="381"/>
          <w:tblHeader/>
        </w:trPr>
        <w:tc>
          <w:tcPr>
            <w:tcW w:w="1474" w:type="dxa"/>
          </w:tcPr>
          <w:p w:rsidR="00602833" w:rsidRPr="00C2190F" w:rsidRDefault="00602833" w:rsidP="00176752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Committee</w:t>
            </w:r>
          </w:p>
        </w:tc>
        <w:tc>
          <w:tcPr>
            <w:tcW w:w="9833" w:type="dxa"/>
          </w:tcPr>
          <w:p w:rsidR="00602833" w:rsidRPr="00C2190F" w:rsidRDefault="00602833" w:rsidP="00176752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Focus</w:t>
            </w:r>
          </w:p>
        </w:tc>
        <w:tc>
          <w:tcPr>
            <w:tcW w:w="2868" w:type="dxa"/>
          </w:tcPr>
          <w:p w:rsidR="00602833" w:rsidRPr="00C2190F" w:rsidRDefault="00602833" w:rsidP="00724C73">
            <w:pPr>
              <w:jc w:val="center"/>
              <w:rPr>
                <w:b/>
                <w:i/>
              </w:rPr>
            </w:pPr>
            <w:r w:rsidRPr="00C2190F">
              <w:rPr>
                <w:b/>
                <w:i/>
              </w:rPr>
              <w:t>Goal</w:t>
            </w:r>
            <w:r>
              <w:rPr>
                <w:b/>
                <w:i/>
              </w:rPr>
              <w:t xml:space="preserve"> / </w:t>
            </w:r>
            <w:r w:rsidRPr="00C2190F">
              <w:rPr>
                <w:b/>
                <w:i/>
              </w:rPr>
              <w:t>Strategy</w:t>
            </w:r>
            <w:r>
              <w:rPr>
                <w:b/>
                <w:i/>
              </w:rPr>
              <w:t xml:space="preserve"> </w:t>
            </w:r>
            <w:r w:rsidR="00724C73">
              <w:rPr>
                <w:b/>
                <w:i/>
              </w:rPr>
              <w:t>ex</w:t>
            </w:r>
            <w:r>
              <w:rPr>
                <w:b/>
                <w:i/>
              </w:rPr>
              <w:t xml:space="preserve"> SV2</w:t>
            </w:r>
          </w:p>
        </w:tc>
      </w:tr>
      <w:tr w:rsidR="008B41B0" w:rsidRPr="00240132" w:rsidTr="00BF0BB5">
        <w:tc>
          <w:tcPr>
            <w:tcW w:w="14175" w:type="dxa"/>
            <w:gridSpan w:val="3"/>
            <w:shd w:val="clear" w:color="auto" w:fill="C4BC96" w:themeFill="background2" w:themeFillShade="BF"/>
          </w:tcPr>
          <w:p w:rsidR="008B41B0" w:rsidRDefault="008B41B0" w:rsidP="00176752">
            <w:pPr>
              <w:rPr>
                <w:sz w:val="24"/>
                <w:szCs w:val="24"/>
              </w:rPr>
            </w:pPr>
          </w:p>
          <w:p w:rsidR="008B41B0" w:rsidRPr="00602833" w:rsidRDefault="008B41B0" w:rsidP="00176752">
            <w:pPr>
              <w:rPr>
                <w:b/>
                <w:sz w:val="24"/>
                <w:szCs w:val="24"/>
              </w:rPr>
            </w:pPr>
            <w:r w:rsidRPr="00602833">
              <w:rPr>
                <w:b/>
                <w:sz w:val="24"/>
                <w:szCs w:val="24"/>
              </w:rPr>
              <w:t>Heritage Forum</w:t>
            </w:r>
          </w:p>
        </w:tc>
      </w:tr>
      <w:tr w:rsidR="00602833" w:rsidRPr="00B74B9A" w:rsidTr="00602833">
        <w:tc>
          <w:tcPr>
            <w:tcW w:w="11307" w:type="dxa"/>
            <w:gridSpan w:val="2"/>
            <w:shd w:val="clear" w:color="auto" w:fill="EEECE1" w:themeFill="background2"/>
          </w:tcPr>
          <w:p w:rsidR="00602833" w:rsidRPr="00B74B9A" w:rsidRDefault="00602833" w:rsidP="00176752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 – Preservation of structures and artefacts</w:t>
            </w:r>
          </w:p>
        </w:tc>
        <w:tc>
          <w:tcPr>
            <w:tcW w:w="2868" w:type="dxa"/>
            <w:shd w:val="clear" w:color="auto" w:fill="EEECE1" w:themeFill="background2"/>
          </w:tcPr>
          <w:p w:rsidR="00602833" w:rsidRPr="00F806B1" w:rsidRDefault="00724C73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2833" w:rsidRPr="00B74B9A" w:rsidTr="00602833">
        <w:tc>
          <w:tcPr>
            <w:tcW w:w="1474" w:type="dxa"/>
          </w:tcPr>
          <w:p w:rsidR="00602833" w:rsidRPr="00B74B9A" w:rsidRDefault="00602833" w:rsidP="00176752">
            <w:pPr>
              <w:rPr>
                <w:sz w:val="20"/>
                <w:szCs w:val="20"/>
              </w:rPr>
            </w:pPr>
          </w:p>
        </w:tc>
        <w:tc>
          <w:tcPr>
            <w:tcW w:w="9833" w:type="dxa"/>
          </w:tcPr>
          <w:p w:rsidR="00602833" w:rsidRDefault="00602833" w:rsidP="00176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Selection and display of artefacts</w:t>
            </w:r>
          </w:p>
          <w:p w:rsidR="00602833" w:rsidRPr="00B74B9A" w:rsidRDefault="00602833" w:rsidP="00176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 and repair of heritage structures</w:t>
            </w:r>
          </w:p>
        </w:tc>
        <w:tc>
          <w:tcPr>
            <w:tcW w:w="2868" w:type="dxa"/>
          </w:tcPr>
          <w:p w:rsidR="00602833" w:rsidRDefault="00602833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602833" w:rsidRPr="00B74B9A" w:rsidTr="00602833">
        <w:tc>
          <w:tcPr>
            <w:tcW w:w="11307" w:type="dxa"/>
            <w:gridSpan w:val="2"/>
            <w:shd w:val="clear" w:color="auto" w:fill="EEECE1" w:themeFill="background2"/>
          </w:tcPr>
          <w:p w:rsidR="00602833" w:rsidRPr="00B74B9A" w:rsidRDefault="00602833" w:rsidP="00E73A95">
            <w:pPr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 – Ownership, public access</w:t>
            </w:r>
          </w:p>
        </w:tc>
        <w:tc>
          <w:tcPr>
            <w:tcW w:w="2868" w:type="dxa"/>
            <w:shd w:val="clear" w:color="auto" w:fill="EEECE1" w:themeFill="background2"/>
          </w:tcPr>
          <w:p w:rsidR="00602833" w:rsidRPr="00B74B9A" w:rsidRDefault="00724C73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2833" w:rsidRPr="00B74B9A" w:rsidTr="00602833">
        <w:tc>
          <w:tcPr>
            <w:tcW w:w="1474" w:type="dxa"/>
          </w:tcPr>
          <w:p w:rsidR="00602833" w:rsidRPr="00B74B9A" w:rsidRDefault="00602833" w:rsidP="00176752">
            <w:pPr>
              <w:rPr>
                <w:sz w:val="20"/>
                <w:szCs w:val="20"/>
              </w:rPr>
            </w:pPr>
          </w:p>
        </w:tc>
        <w:tc>
          <w:tcPr>
            <w:tcW w:w="9833" w:type="dxa"/>
          </w:tcPr>
          <w:p w:rsidR="00602833" w:rsidRDefault="00602833" w:rsidP="00176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Complementary use of historic structures</w:t>
            </w:r>
          </w:p>
          <w:p w:rsidR="00602833" w:rsidRDefault="00602833" w:rsidP="00176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Management of surplus property</w:t>
            </w:r>
          </w:p>
          <w:p w:rsidR="00602833" w:rsidRPr="00B74B9A" w:rsidRDefault="00602833" w:rsidP="00E74E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Branding and promotion</w:t>
            </w:r>
          </w:p>
        </w:tc>
        <w:tc>
          <w:tcPr>
            <w:tcW w:w="2868" w:type="dxa"/>
          </w:tcPr>
          <w:p w:rsidR="00602833" w:rsidRDefault="00602833" w:rsidP="00724C73">
            <w:pPr>
              <w:jc w:val="center"/>
              <w:rPr>
                <w:sz w:val="20"/>
                <w:szCs w:val="20"/>
              </w:rPr>
            </w:pPr>
          </w:p>
        </w:tc>
      </w:tr>
    </w:tbl>
    <w:p w:rsidR="00134A7E" w:rsidRDefault="00134A7E"/>
    <w:tbl>
      <w:tblPr>
        <w:tblStyle w:val="TableGrid"/>
        <w:tblW w:w="14175" w:type="dxa"/>
        <w:tblLook w:val="04A0" w:firstRow="1" w:lastRow="0" w:firstColumn="1" w:lastColumn="0" w:noHBand="0" w:noVBand="1"/>
      </w:tblPr>
      <w:tblGrid>
        <w:gridCol w:w="1474"/>
        <w:gridCol w:w="9833"/>
        <w:gridCol w:w="2868"/>
      </w:tblGrid>
      <w:tr w:rsidR="008B41B0" w:rsidRPr="00240132" w:rsidTr="00B92736">
        <w:tc>
          <w:tcPr>
            <w:tcW w:w="14175" w:type="dxa"/>
            <w:gridSpan w:val="3"/>
            <w:shd w:val="clear" w:color="auto" w:fill="C4BC96" w:themeFill="background2" w:themeFillShade="BF"/>
          </w:tcPr>
          <w:p w:rsidR="008B41B0" w:rsidRDefault="008B41B0" w:rsidP="00176752">
            <w:pPr>
              <w:rPr>
                <w:sz w:val="24"/>
                <w:szCs w:val="24"/>
              </w:rPr>
            </w:pPr>
          </w:p>
          <w:p w:rsidR="008B41B0" w:rsidRPr="00602833" w:rsidRDefault="008B41B0" w:rsidP="00176752">
            <w:pPr>
              <w:rPr>
                <w:b/>
                <w:sz w:val="24"/>
                <w:szCs w:val="24"/>
              </w:rPr>
            </w:pPr>
            <w:r w:rsidRPr="00602833">
              <w:rPr>
                <w:b/>
                <w:sz w:val="24"/>
                <w:szCs w:val="24"/>
              </w:rPr>
              <w:t>Industrial Members Committee</w:t>
            </w:r>
          </w:p>
        </w:tc>
      </w:tr>
      <w:tr w:rsidR="00602833" w:rsidRPr="00B74B9A" w:rsidTr="00602833">
        <w:tc>
          <w:tcPr>
            <w:tcW w:w="11307" w:type="dxa"/>
            <w:gridSpan w:val="2"/>
            <w:shd w:val="clear" w:color="auto" w:fill="EEECE1" w:themeFill="background2"/>
          </w:tcPr>
          <w:p w:rsidR="00602833" w:rsidRPr="00B74B9A" w:rsidRDefault="00602833" w:rsidP="001554BA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 – Shore infrastructure for future systems</w:t>
            </w:r>
          </w:p>
        </w:tc>
        <w:tc>
          <w:tcPr>
            <w:tcW w:w="2868" w:type="dxa"/>
            <w:shd w:val="clear" w:color="auto" w:fill="EEECE1" w:themeFill="background2"/>
          </w:tcPr>
          <w:p w:rsidR="00602833" w:rsidRPr="00B74B9A" w:rsidRDefault="00602833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12G3-S2</w:t>
            </w:r>
          </w:p>
        </w:tc>
      </w:tr>
      <w:tr w:rsidR="00602833" w:rsidRPr="00B74B9A" w:rsidTr="00602833">
        <w:tc>
          <w:tcPr>
            <w:tcW w:w="1474" w:type="dxa"/>
          </w:tcPr>
          <w:p w:rsidR="00602833" w:rsidRPr="00B74B9A" w:rsidRDefault="00602833" w:rsidP="00176752">
            <w:pPr>
              <w:rPr>
                <w:sz w:val="20"/>
                <w:szCs w:val="20"/>
              </w:rPr>
            </w:pPr>
          </w:p>
        </w:tc>
        <w:tc>
          <w:tcPr>
            <w:tcW w:w="9833" w:type="dxa"/>
          </w:tcPr>
          <w:p w:rsidR="00602833" w:rsidRPr="00B74B9A" w:rsidRDefault="00602833" w:rsidP="008B41B0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Coordinated briefing</w:t>
            </w:r>
            <w:r>
              <w:rPr>
                <w:sz w:val="20"/>
                <w:szCs w:val="20"/>
              </w:rPr>
              <w:t>s</w:t>
            </w:r>
            <w:r w:rsidRPr="00B74B9A">
              <w:rPr>
                <w:sz w:val="20"/>
                <w:szCs w:val="20"/>
              </w:rPr>
              <w:t xml:space="preserve"> to Technical Committees </w:t>
            </w:r>
          </w:p>
          <w:p w:rsidR="00602833" w:rsidRPr="00B74B9A" w:rsidRDefault="00602833" w:rsidP="008B41B0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Views to Secretariat for IMO meetings</w:t>
            </w:r>
          </w:p>
        </w:tc>
        <w:tc>
          <w:tcPr>
            <w:tcW w:w="2868" w:type="dxa"/>
          </w:tcPr>
          <w:p w:rsidR="00602833" w:rsidRPr="00B74B9A" w:rsidRDefault="00602833" w:rsidP="00724C73">
            <w:pPr>
              <w:jc w:val="center"/>
              <w:rPr>
                <w:sz w:val="20"/>
                <w:szCs w:val="20"/>
              </w:rPr>
            </w:pPr>
          </w:p>
        </w:tc>
      </w:tr>
      <w:tr w:rsidR="00602833" w:rsidRPr="00B74B9A" w:rsidTr="00602833">
        <w:tc>
          <w:tcPr>
            <w:tcW w:w="11307" w:type="dxa"/>
            <w:gridSpan w:val="2"/>
            <w:shd w:val="clear" w:color="auto" w:fill="EEECE1" w:themeFill="background2"/>
          </w:tcPr>
          <w:p w:rsidR="00602833" w:rsidRPr="00B74B9A" w:rsidRDefault="00602833" w:rsidP="00E73A95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WG – </w:t>
            </w:r>
            <w:r>
              <w:rPr>
                <w:sz w:val="20"/>
                <w:szCs w:val="20"/>
              </w:rPr>
              <w:t>Ship b</w:t>
            </w:r>
            <w:r w:rsidRPr="00B74B9A">
              <w:rPr>
                <w:sz w:val="20"/>
                <w:szCs w:val="20"/>
              </w:rPr>
              <w:t>ridge systems</w:t>
            </w:r>
            <w:r>
              <w:rPr>
                <w:sz w:val="20"/>
                <w:szCs w:val="20"/>
              </w:rPr>
              <w:t xml:space="preserve"> and AtoN systems compatibility</w:t>
            </w:r>
          </w:p>
        </w:tc>
        <w:tc>
          <w:tcPr>
            <w:tcW w:w="2868" w:type="dxa"/>
            <w:shd w:val="clear" w:color="auto" w:fill="EEECE1" w:themeFill="background2"/>
          </w:tcPr>
          <w:p w:rsidR="00602833" w:rsidRPr="00B74B9A" w:rsidRDefault="00602833" w:rsidP="00724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12G3-S2, -S3, -S5</w:t>
            </w:r>
          </w:p>
        </w:tc>
      </w:tr>
      <w:tr w:rsidR="00602833" w:rsidRPr="00B74B9A" w:rsidTr="00602833">
        <w:tc>
          <w:tcPr>
            <w:tcW w:w="1474" w:type="dxa"/>
          </w:tcPr>
          <w:p w:rsidR="00602833" w:rsidRPr="00B74B9A" w:rsidRDefault="00602833" w:rsidP="00176752">
            <w:pPr>
              <w:rPr>
                <w:sz w:val="20"/>
                <w:szCs w:val="20"/>
              </w:rPr>
            </w:pPr>
          </w:p>
        </w:tc>
        <w:tc>
          <w:tcPr>
            <w:tcW w:w="9833" w:type="dxa"/>
          </w:tcPr>
          <w:p w:rsidR="00602833" w:rsidRPr="00B74B9A" w:rsidRDefault="00602833" w:rsidP="008B41B0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Coordinated briefing</w:t>
            </w:r>
            <w:r>
              <w:rPr>
                <w:sz w:val="20"/>
                <w:szCs w:val="20"/>
              </w:rPr>
              <w:t>s</w:t>
            </w:r>
            <w:r w:rsidRPr="00B74B9A">
              <w:rPr>
                <w:sz w:val="20"/>
                <w:szCs w:val="20"/>
              </w:rPr>
              <w:t xml:space="preserve"> to Technical Committees</w:t>
            </w:r>
          </w:p>
        </w:tc>
        <w:tc>
          <w:tcPr>
            <w:tcW w:w="2868" w:type="dxa"/>
          </w:tcPr>
          <w:p w:rsidR="00602833" w:rsidRPr="00B74B9A" w:rsidRDefault="00602833" w:rsidP="00724C73">
            <w:pPr>
              <w:jc w:val="center"/>
              <w:rPr>
                <w:sz w:val="20"/>
                <w:szCs w:val="20"/>
              </w:rPr>
            </w:pPr>
          </w:p>
        </w:tc>
      </w:tr>
    </w:tbl>
    <w:p w:rsidR="00C20E73" w:rsidRDefault="00C20E73" w:rsidP="00CB32F1"/>
    <w:sectPr w:rsidR="00C20E73" w:rsidSect="008A65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23814" w:code="8"/>
      <w:pgMar w:top="113" w:right="1440" w:bottom="3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738" w:rsidRDefault="007A2738" w:rsidP="0031698F">
      <w:pPr>
        <w:spacing w:after="0" w:line="240" w:lineRule="auto"/>
      </w:pPr>
      <w:r>
        <w:separator/>
      </w:r>
    </w:p>
  </w:endnote>
  <w:endnote w:type="continuationSeparator" w:id="0">
    <w:p w:rsidR="007A2738" w:rsidRDefault="007A2738" w:rsidP="00316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64B" w:rsidRDefault="00CC36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64B" w:rsidRDefault="00CC36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64B" w:rsidRDefault="00CC36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738" w:rsidRDefault="007A2738" w:rsidP="0031698F">
      <w:pPr>
        <w:spacing w:after="0" w:line="240" w:lineRule="auto"/>
      </w:pPr>
      <w:r>
        <w:separator/>
      </w:r>
    </w:p>
  </w:footnote>
  <w:footnote w:type="continuationSeparator" w:id="0">
    <w:p w:rsidR="007A2738" w:rsidRDefault="007A2738" w:rsidP="00316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64B" w:rsidRDefault="00CC36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4D2" w:rsidRDefault="00CC364B" w:rsidP="004E64D2">
    <w:pPr>
      <w:pStyle w:val="Header"/>
      <w:jc w:val="center"/>
    </w:pPr>
    <w:sdt>
      <w:sdtPr>
        <w:id w:val="-213116639"/>
        <w:docPartObj>
          <w:docPartGallery w:val="Watermarks"/>
          <w:docPartUnique/>
        </w:docPartObj>
      </w:sdtPr>
      <w:sdtContent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2738">
      <w:fldChar w:fldCharType="begin"/>
    </w:r>
    <w:r w:rsidR="007A2738">
      <w:instrText xml:space="preserve"> FILENAME   \* MERGEFORMAT </w:instrText>
    </w:r>
    <w:r w:rsidR="007A2738">
      <w:fldChar w:fldCharType="separate"/>
    </w:r>
    <w:r w:rsidR="008B41B0">
      <w:rPr>
        <w:noProof/>
      </w:rPr>
      <w:t>IALA Committees V3 2013-07-16 v2.docx</w:t>
    </w:r>
    <w:r w:rsidR="007A2738">
      <w:rPr>
        <w:noProof/>
      </w:rPr>
      <w:fldChar w:fldCharType="end"/>
    </w:r>
  </w:p>
  <w:p w:rsidR="0031698F" w:rsidRDefault="003169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64B" w:rsidRDefault="00CC36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A1A51"/>
    <w:multiLevelType w:val="hybridMultilevel"/>
    <w:tmpl w:val="899ED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ED"/>
    <w:rsid w:val="0000030C"/>
    <w:rsid w:val="00000B50"/>
    <w:rsid w:val="000172AC"/>
    <w:rsid w:val="00023BEA"/>
    <w:rsid w:val="00025D39"/>
    <w:rsid w:val="00032939"/>
    <w:rsid w:val="00032DE2"/>
    <w:rsid w:val="0003691A"/>
    <w:rsid w:val="0004604D"/>
    <w:rsid w:val="00050578"/>
    <w:rsid w:val="00054B33"/>
    <w:rsid w:val="000561A9"/>
    <w:rsid w:val="00056B34"/>
    <w:rsid w:val="00066601"/>
    <w:rsid w:val="00067428"/>
    <w:rsid w:val="000735EB"/>
    <w:rsid w:val="00075A9F"/>
    <w:rsid w:val="00076496"/>
    <w:rsid w:val="000841F8"/>
    <w:rsid w:val="0008499D"/>
    <w:rsid w:val="000A0327"/>
    <w:rsid w:val="000A3738"/>
    <w:rsid w:val="000A44DE"/>
    <w:rsid w:val="000A7CD0"/>
    <w:rsid w:val="000B61A3"/>
    <w:rsid w:val="000C10A5"/>
    <w:rsid w:val="000D3003"/>
    <w:rsid w:val="000E2A9D"/>
    <w:rsid w:val="000E5144"/>
    <w:rsid w:val="000E5766"/>
    <w:rsid w:val="000F22D8"/>
    <w:rsid w:val="000F499C"/>
    <w:rsid w:val="00101322"/>
    <w:rsid w:val="00106D27"/>
    <w:rsid w:val="00111C9E"/>
    <w:rsid w:val="00112CC7"/>
    <w:rsid w:val="0011692D"/>
    <w:rsid w:val="00116C0F"/>
    <w:rsid w:val="00120250"/>
    <w:rsid w:val="001235D6"/>
    <w:rsid w:val="001249E6"/>
    <w:rsid w:val="001263EF"/>
    <w:rsid w:val="00132E37"/>
    <w:rsid w:val="00134A7E"/>
    <w:rsid w:val="00137A40"/>
    <w:rsid w:val="00140976"/>
    <w:rsid w:val="00145018"/>
    <w:rsid w:val="001554BA"/>
    <w:rsid w:val="00161D72"/>
    <w:rsid w:val="00163762"/>
    <w:rsid w:val="0016456C"/>
    <w:rsid w:val="00174E93"/>
    <w:rsid w:val="00176AB0"/>
    <w:rsid w:val="00180161"/>
    <w:rsid w:val="00186702"/>
    <w:rsid w:val="001A007E"/>
    <w:rsid w:val="001A078A"/>
    <w:rsid w:val="001A411D"/>
    <w:rsid w:val="001A6A55"/>
    <w:rsid w:val="001B1CDF"/>
    <w:rsid w:val="001C240F"/>
    <w:rsid w:val="001C5C74"/>
    <w:rsid w:val="001D11E8"/>
    <w:rsid w:val="001E4450"/>
    <w:rsid w:val="001E55C5"/>
    <w:rsid w:val="001F54E4"/>
    <w:rsid w:val="001F5A09"/>
    <w:rsid w:val="0020566D"/>
    <w:rsid w:val="00211641"/>
    <w:rsid w:val="00212149"/>
    <w:rsid w:val="00213391"/>
    <w:rsid w:val="00213402"/>
    <w:rsid w:val="002139C2"/>
    <w:rsid w:val="0021763A"/>
    <w:rsid w:val="00225999"/>
    <w:rsid w:val="00240132"/>
    <w:rsid w:val="0025022B"/>
    <w:rsid w:val="002571ED"/>
    <w:rsid w:val="00257266"/>
    <w:rsid w:val="002916CA"/>
    <w:rsid w:val="002A2336"/>
    <w:rsid w:val="002A3430"/>
    <w:rsid w:val="002A723B"/>
    <w:rsid w:val="002B0E38"/>
    <w:rsid w:val="002B0FFD"/>
    <w:rsid w:val="002B1195"/>
    <w:rsid w:val="002B1AE2"/>
    <w:rsid w:val="002B23FF"/>
    <w:rsid w:val="002B3455"/>
    <w:rsid w:val="002B47AF"/>
    <w:rsid w:val="002B7EF0"/>
    <w:rsid w:val="002C0F11"/>
    <w:rsid w:val="002C3682"/>
    <w:rsid w:val="002C7419"/>
    <w:rsid w:val="002E05E3"/>
    <w:rsid w:val="002E3B4B"/>
    <w:rsid w:val="002E471F"/>
    <w:rsid w:val="002E49EA"/>
    <w:rsid w:val="002F5BC0"/>
    <w:rsid w:val="00300085"/>
    <w:rsid w:val="0030149D"/>
    <w:rsid w:val="0030389D"/>
    <w:rsid w:val="00306FB2"/>
    <w:rsid w:val="00310166"/>
    <w:rsid w:val="003117ED"/>
    <w:rsid w:val="003163A7"/>
    <w:rsid w:val="0031685F"/>
    <w:rsid w:val="0031698F"/>
    <w:rsid w:val="00323431"/>
    <w:rsid w:val="00323997"/>
    <w:rsid w:val="0032555A"/>
    <w:rsid w:val="003327E6"/>
    <w:rsid w:val="003349F6"/>
    <w:rsid w:val="00341E9B"/>
    <w:rsid w:val="003604A7"/>
    <w:rsid w:val="003615BA"/>
    <w:rsid w:val="00362D68"/>
    <w:rsid w:val="00367528"/>
    <w:rsid w:val="003727BA"/>
    <w:rsid w:val="00372CBB"/>
    <w:rsid w:val="003768B7"/>
    <w:rsid w:val="00386F3C"/>
    <w:rsid w:val="00387BE7"/>
    <w:rsid w:val="00390739"/>
    <w:rsid w:val="00395FA2"/>
    <w:rsid w:val="003A23CC"/>
    <w:rsid w:val="003A2E8D"/>
    <w:rsid w:val="003B1899"/>
    <w:rsid w:val="003B2A46"/>
    <w:rsid w:val="003B41AE"/>
    <w:rsid w:val="003B53CD"/>
    <w:rsid w:val="003B68C9"/>
    <w:rsid w:val="003B6A8C"/>
    <w:rsid w:val="003C399E"/>
    <w:rsid w:val="003C5F18"/>
    <w:rsid w:val="003C65D0"/>
    <w:rsid w:val="003C6B5C"/>
    <w:rsid w:val="003D0367"/>
    <w:rsid w:val="003D144C"/>
    <w:rsid w:val="003E2D19"/>
    <w:rsid w:val="003E2FCE"/>
    <w:rsid w:val="003E33A4"/>
    <w:rsid w:val="003E7EC1"/>
    <w:rsid w:val="003F0954"/>
    <w:rsid w:val="003F598C"/>
    <w:rsid w:val="003F6380"/>
    <w:rsid w:val="00403753"/>
    <w:rsid w:val="004056E3"/>
    <w:rsid w:val="00412B42"/>
    <w:rsid w:val="0041662F"/>
    <w:rsid w:val="004166D6"/>
    <w:rsid w:val="0042050B"/>
    <w:rsid w:val="00421578"/>
    <w:rsid w:val="0042337D"/>
    <w:rsid w:val="00424F8A"/>
    <w:rsid w:val="00426214"/>
    <w:rsid w:val="00427323"/>
    <w:rsid w:val="00427BB7"/>
    <w:rsid w:val="00433160"/>
    <w:rsid w:val="00436E31"/>
    <w:rsid w:val="0044059D"/>
    <w:rsid w:val="00440A10"/>
    <w:rsid w:val="00442F2C"/>
    <w:rsid w:val="004431D4"/>
    <w:rsid w:val="00454F90"/>
    <w:rsid w:val="00456B92"/>
    <w:rsid w:val="0045724D"/>
    <w:rsid w:val="0046347A"/>
    <w:rsid w:val="004664B5"/>
    <w:rsid w:val="004666FD"/>
    <w:rsid w:val="00467D31"/>
    <w:rsid w:val="00472227"/>
    <w:rsid w:val="0047266D"/>
    <w:rsid w:val="004864EA"/>
    <w:rsid w:val="00490552"/>
    <w:rsid w:val="0049221B"/>
    <w:rsid w:val="00493144"/>
    <w:rsid w:val="00494FC7"/>
    <w:rsid w:val="004A1078"/>
    <w:rsid w:val="004B013E"/>
    <w:rsid w:val="004B699B"/>
    <w:rsid w:val="004C735C"/>
    <w:rsid w:val="004D198F"/>
    <w:rsid w:val="004D2896"/>
    <w:rsid w:val="004D7CC3"/>
    <w:rsid w:val="004E17E1"/>
    <w:rsid w:val="004E2111"/>
    <w:rsid w:val="004E64D2"/>
    <w:rsid w:val="004E7232"/>
    <w:rsid w:val="004E73D0"/>
    <w:rsid w:val="004E7774"/>
    <w:rsid w:val="004F4FF4"/>
    <w:rsid w:val="004F6772"/>
    <w:rsid w:val="00504C62"/>
    <w:rsid w:val="00511703"/>
    <w:rsid w:val="005153E6"/>
    <w:rsid w:val="00515B56"/>
    <w:rsid w:val="005164D1"/>
    <w:rsid w:val="0051796A"/>
    <w:rsid w:val="00521C34"/>
    <w:rsid w:val="00537EE2"/>
    <w:rsid w:val="0054020C"/>
    <w:rsid w:val="00541B15"/>
    <w:rsid w:val="00547EFF"/>
    <w:rsid w:val="005502CD"/>
    <w:rsid w:val="0055258E"/>
    <w:rsid w:val="0055464E"/>
    <w:rsid w:val="00563485"/>
    <w:rsid w:val="00566AA0"/>
    <w:rsid w:val="0057057D"/>
    <w:rsid w:val="0057210E"/>
    <w:rsid w:val="0057785B"/>
    <w:rsid w:val="0057799B"/>
    <w:rsid w:val="00582706"/>
    <w:rsid w:val="00584D60"/>
    <w:rsid w:val="005953DE"/>
    <w:rsid w:val="005979AC"/>
    <w:rsid w:val="005A47C4"/>
    <w:rsid w:val="005A4CFA"/>
    <w:rsid w:val="005B2149"/>
    <w:rsid w:val="005B2766"/>
    <w:rsid w:val="005D21DA"/>
    <w:rsid w:val="005E5366"/>
    <w:rsid w:val="005F1F3A"/>
    <w:rsid w:val="00601E2A"/>
    <w:rsid w:val="006023D4"/>
    <w:rsid w:val="00602833"/>
    <w:rsid w:val="00603EFE"/>
    <w:rsid w:val="00605EE9"/>
    <w:rsid w:val="00610430"/>
    <w:rsid w:val="00611596"/>
    <w:rsid w:val="00617742"/>
    <w:rsid w:val="006207F7"/>
    <w:rsid w:val="00622A33"/>
    <w:rsid w:val="0062339B"/>
    <w:rsid w:val="006316D8"/>
    <w:rsid w:val="0063393D"/>
    <w:rsid w:val="00633DC1"/>
    <w:rsid w:val="006364A4"/>
    <w:rsid w:val="006377A8"/>
    <w:rsid w:val="006423CB"/>
    <w:rsid w:val="00645512"/>
    <w:rsid w:val="00654AC9"/>
    <w:rsid w:val="006552F3"/>
    <w:rsid w:val="0067268D"/>
    <w:rsid w:val="00672B79"/>
    <w:rsid w:val="00681854"/>
    <w:rsid w:val="006823C8"/>
    <w:rsid w:val="006909D2"/>
    <w:rsid w:val="006A2B8E"/>
    <w:rsid w:val="006A5490"/>
    <w:rsid w:val="006A60AA"/>
    <w:rsid w:val="006B1595"/>
    <w:rsid w:val="006B3420"/>
    <w:rsid w:val="006C2D5D"/>
    <w:rsid w:val="006D3E61"/>
    <w:rsid w:val="006D4B19"/>
    <w:rsid w:val="006D6452"/>
    <w:rsid w:val="006E567B"/>
    <w:rsid w:val="006E6B09"/>
    <w:rsid w:val="006E6D24"/>
    <w:rsid w:val="006F3080"/>
    <w:rsid w:val="006F491B"/>
    <w:rsid w:val="006F5573"/>
    <w:rsid w:val="006F5A26"/>
    <w:rsid w:val="006F6C2E"/>
    <w:rsid w:val="00702B25"/>
    <w:rsid w:val="00704AEB"/>
    <w:rsid w:val="00704BAE"/>
    <w:rsid w:val="00720BB4"/>
    <w:rsid w:val="00722470"/>
    <w:rsid w:val="007244A5"/>
    <w:rsid w:val="00724C73"/>
    <w:rsid w:val="00727188"/>
    <w:rsid w:val="0073251E"/>
    <w:rsid w:val="007351BF"/>
    <w:rsid w:val="007615DC"/>
    <w:rsid w:val="007650C4"/>
    <w:rsid w:val="00770124"/>
    <w:rsid w:val="00781DCE"/>
    <w:rsid w:val="00782E9C"/>
    <w:rsid w:val="0078372C"/>
    <w:rsid w:val="007869DF"/>
    <w:rsid w:val="00791217"/>
    <w:rsid w:val="00795EDE"/>
    <w:rsid w:val="007A15D7"/>
    <w:rsid w:val="007A2738"/>
    <w:rsid w:val="007A4BD2"/>
    <w:rsid w:val="007A6D25"/>
    <w:rsid w:val="007B11AD"/>
    <w:rsid w:val="007B6950"/>
    <w:rsid w:val="007C24EA"/>
    <w:rsid w:val="007C2C4E"/>
    <w:rsid w:val="007C5438"/>
    <w:rsid w:val="007C7BC0"/>
    <w:rsid w:val="007D2807"/>
    <w:rsid w:val="007E0EEB"/>
    <w:rsid w:val="007E2424"/>
    <w:rsid w:val="007F3484"/>
    <w:rsid w:val="007F6534"/>
    <w:rsid w:val="008007BD"/>
    <w:rsid w:val="008017F4"/>
    <w:rsid w:val="0080450F"/>
    <w:rsid w:val="008072ED"/>
    <w:rsid w:val="008126EA"/>
    <w:rsid w:val="00816BBD"/>
    <w:rsid w:val="00820466"/>
    <w:rsid w:val="00821B0A"/>
    <w:rsid w:val="008234AA"/>
    <w:rsid w:val="008266CA"/>
    <w:rsid w:val="008332EE"/>
    <w:rsid w:val="008408E1"/>
    <w:rsid w:val="00843727"/>
    <w:rsid w:val="0084429C"/>
    <w:rsid w:val="008457F2"/>
    <w:rsid w:val="0084598A"/>
    <w:rsid w:val="00847148"/>
    <w:rsid w:val="0085485C"/>
    <w:rsid w:val="00863395"/>
    <w:rsid w:val="008643A1"/>
    <w:rsid w:val="00873E8A"/>
    <w:rsid w:val="008759CF"/>
    <w:rsid w:val="008768C5"/>
    <w:rsid w:val="00877641"/>
    <w:rsid w:val="0087788D"/>
    <w:rsid w:val="00880269"/>
    <w:rsid w:val="00882C1A"/>
    <w:rsid w:val="0089531F"/>
    <w:rsid w:val="008A321A"/>
    <w:rsid w:val="008A6568"/>
    <w:rsid w:val="008B1D36"/>
    <w:rsid w:val="008B28DE"/>
    <w:rsid w:val="008B41B0"/>
    <w:rsid w:val="008C0787"/>
    <w:rsid w:val="008C2A9C"/>
    <w:rsid w:val="008D0319"/>
    <w:rsid w:val="008D4485"/>
    <w:rsid w:val="008D7B0C"/>
    <w:rsid w:val="008E42C4"/>
    <w:rsid w:val="008F27AA"/>
    <w:rsid w:val="008F30B3"/>
    <w:rsid w:val="008F7D64"/>
    <w:rsid w:val="00900337"/>
    <w:rsid w:val="00901E35"/>
    <w:rsid w:val="009025B2"/>
    <w:rsid w:val="009112A6"/>
    <w:rsid w:val="0091338A"/>
    <w:rsid w:val="009176ED"/>
    <w:rsid w:val="0092097A"/>
    <w:rsid w:val="0092262C"/>
    <w:rsid w:val="00923881"/>
    <w:rsid w:val="00930CBD"/>
    <w:rsid w:val="009325CB"/>
    <w:rsid w:val="00933A92"/>
    <w:rsid w:val="00936217"/>
    <w:rsid w:val="00937D28"/>
    <w:rsid w:val="0094708C"/>
    <w:rsid w:val="00947C38"/>
    <w:rsid w:val="00947DDE"/>
    <w:rsid w:val="00953C0D"/>
    <w:rsid w:val="00954461"/>
    <w:rsid w:val="00957A33"/>
    <w:rsid w:val="0096003A"/>
    <w:rsid w:val="009617CC"/>
    <w:rsid w:val="00962EE7"/>
    <w:rsid w:val="00965920"/>
    <w:rsid w:val="009664B8"/>
    <w:rsid w:val="00966729"/>
    <w:rsid w:val="00966B46"/>
    <w:rsid w:val="00970278"/>
    <w:rsid w:val="00976266"/>
    <w:rsid w:val="00976C0C"/>
    <w:rsid w:val="00982508"/>
    <w:rsid w:val="009853E9"/>
    <w:rsid w:val="0098541E"/>
    <w:rsid w:val="009B0227"/>
    <w:rsid w:val="009B1BFE"/>
    <w:rsid w:val="009B605D"/>
    <w:rsid w:val="009B6729"/>
    <w:rsid w:val="009B6876"/>
    <w:rsid w:val="009C3193"/>
    <w:rsid w:val="009C477E"/>
    <w:rsid w:val="009C4FAC"/>
    <w:rsid w:val="009C73D1"/>
    <w:rsid w:val="009C7B4D"/>
    <w:rsid w:val="009E3FE3"/>
    <w:rsid w:val="00A055B8"/>
    <w:rsid w:val="00A110D6"/>
    <w:rsid w:val="00A22476"/>
    <w:rsid w:val="00A31282"/>
    <w:rsid w:val="00A32463"/>
    <w:rsid w:val="00A36EBF"/>
    <w:rsid w:val="00A4481A"/>
    <w:rsid w:val="00A467DD"/>
    <w:rsid w:val="00A471AA"/>
    <w:rsid w:val="00A56561"/>
    <w:rsid w:val="00A71F66"/>
    <w:rsid w:val="00A72609"/>
    <w:rsid w:val="00A80687"/>
    <w:rsid w:val="00A8567B"/>
    <w:rsid w:val="00A85B84"/>
    <w:rsid w:val="00A87CF8"/>
    <w:rsid w:val="00AA0904"/>
    <w:rsid w:val="00AA3F10"/>
    <w:rsid w:val="00AB74B0"/>
    <w:rsid w:val="00AD08C0"/>
    <w:rsid w:val="00AD0B9C"/>
    <w:rsid w:val="00AD0C90"/>
    <w:rsid w:val="00AD4127"/>
    <w:rsid w:val="00AD4F3A"/>
    <w:rsid w:val="00AD76BD"/>
    <w:rsid w:val="00AE3CAA"/>
    <w:rsid w:val="00AE62EF"/>
    <w:rsid w:val="00AE6A91"/>
    <w:rsid w:val="00AF068F"/>
    <w:rsid w:val="00AF5495"/>
    <w:rsid w:val="00AF714A"/>
    <w:rsid w:val="00B000B3"/>
    <w:rsid w:val="00B01AC2"/>
    <w:rsid w:val="00B03CB1"/>
    <w:rsid w:val="00B066EF"/>
    <w:rsid w:val="00B11A26"/>
    <w:rsid w:val="00B12616"/>
    <w:rsid w:val="00B1295D"/>
    <w:rsid w:val="00B13DCE"/>
    <w:rsid w:val="00B16017"/>
    <w:rsid w:val="00B16632"/>
    <w:rsid w:val="00B167BE"/>
    <w:rsid w:val="00B205DD"/>
    <w:rsid w:val="00B21A8F"/>
    <w:rsid w:val="00B22119"/>
    <w:rsid w:val="00B23F3A"/>
    <w:rsid w:val="00B31A58"/>
    <w:rsid w:val="00B32307"/>
    <w:rsid w:val="00B34478"/>
    <w:rsid w:val="00B34E4C"/>
    <w:rsid w:val="00B41662"/>
    <w:rsid w:val="00B462C6"/>
    <w:rsid w:val="00B55E23"/>
    <w:rsid w:val="00B6689F"/>
    <w:rsid w:val="00B70F2E"/>
    <w:rsid w:val="00B74B9A"/>
    <w:rsid w:val="00B76D6C"/>
    <w:rsid w:val="00B815A2"/>
    <w:rsid w:val="00B95CDA"/>
    <w:rsid w:val="00BA0C0F"/>
    <w:rsid w:val="00BA1351"/>
    <w:rsid w:val="00BA594C"/>
    <w:rsid w:val="00BB622C"/>
    <w:rsid w:val="00BD03BC"/>
    <w:rsid w:val="00BD3088"/>
    <w:rsid w:val="00BD3CBF"/>
    <w:rsid w:val="00BE0663"/>
    <w:rsid w:val="00BE161C"/>
    <w:rsid w:val="00BE1826"/>
    <w:rsid w:val="00BE1CDD"/>
    <w:rsid w:val="00BE2398"/>
    <w:rsid w:val="00BE26C4"/>
    <w:rsid w:val="00BE66A3"/>
    <w:rsid w:val="00BF0643"/>
    <w:rsid w:val="00C038DA"/>
    <w:rsid w:val="00C042AE"/>
    <w:rsid w:val="00C0577F"/>
    <w:rsid w:val="00C06909"/>
    <w:rsid w:val="00C16E05"/>
    <w:rsid w:val="00C2063A"/>
    <w:rsid w:val="00C20E73"/>
    <w:rsid w:val="00C2190F"/>
    <w:rsid w:val="00C22A0F"/>
    <w:rsid w:val="00C2308E"/>
    <w:rsid w:val="00C26C55"/>
    <w:rsid w:val="00C3088F"/>
    <w:rsid w:val="00C34F84"/>
    <w:rsid w:val="00C35BEA"/>
    <w:rsid w:val="00C4050D"/>
    <w:rsid w:val="00C50540"/>
    <w:rsid w:val="00C52BF9"/>
    <w:rsid w:val="00C5784E"/>
    <w:rsid w:val="00C616E6"/>
    <w:rsid w:val="00C61BDE"/>
    <w:rsid w:val="00C62AC1"/>
    <w:rsid w:val="00C66668"/>
    <w:rsid w:val="00C7656C"/>
    <w:rsid w:val="00C86AC9"/>
    <w:rsid w:val="00C87C2B"/>
    <w:rsid w:val="00C9008E"/>
    <w:rsid w:val="00C9677E"/>
    <w:rsid w:val="00CA061D"/>
    <w:rsid w:val="00CA62BB"/>
    <w:rsid w:val="00CA71C4"/>
    <w:rsid w:val="00CB0DD4"/>
    <w:rsid w:val="00CB32F1"/>
    <w:rsid w:val="00CB4699"/>
    <w:rsid w:val="00CC2098"/>
    <w:rsid w:val="00CC2120"/>
    <w:rsid w:val="00CC364B"/>
    <w:rsid w:val="00CC430A"/>
    <w:rsid w:val="00CC48DF"/>
    <w:rsid w:val="00CD1310"/>
    <w:rsid w:val="00CD19AE"/>
    <w:rsid w:val="00CD48CF"/>
    <w:rsid w:val="00CE4F23"/>
    <w:rsid w:val="00D02031"/>
    <w:rsid w:val="00D02B15"/>
    <w:rsid w:val="00D0362C"/>
    <w:rsid w:val="00D06CA6"/>
    <w:rsid w:val="00D112F6"/>
    <w:rsid w:val="00D22CFD"/>
    <w:rsid w:val="00D2533F"/>
    <w:rsid w:val="00D36C67"/>
    <w:rsid w:val="00D4268C"/>
    <w:rsid w:val="00D47801"/>
    <w:rsid w:val="00D53EF9"/>
    <w:rsid w:val="00D55858"/>
    <w:rsid w:val="00D65CF7"/>
    <w:rsid w:val="00D65FD5"/>
    <w:rsid w:val="00D675DF"/>
    <w:rsid w:val="00D70D5E"/>
    <w:rsid w:val="00D728B4"/>
    <w:rsid w:val="00D72BDC"/>
    <w:rsid w:val="00D7652C"/>
    <w:rsid w:val="00D77052"/>
    <w:rsid w:val="00D7792C"/>
    <w:rsid w:val="00D81339"/>
    <w:rsid w:val="00D90FAC"/>
    <w:rsid w:val="00D9309B"/>
    <w:rsid w:val="00D94EE5"/>
    <w:rsid w:val="00D95F69"/>
    <w:rsid w:val="00D964DC"/>
    <w:rsid w:val="00DA24EC"/>
    <w:rsid w:val="00DA7856"/>
    <w:rsid w:val="00DB24A7"/>
    <w:rsid w:val="00DB6206"/>
    <w:rsid w:val="00DB7A97"/>
    <w:rsid w:val="00DC0497"/>
    <w:rsid w:val="00DC11F6"/>
    <w:rsid w:val="00DD0267"/>
    <w:rsid w:val="00DE0262"/>
    <w:rsid w:val="00DE11BE"/>
    <w:rsid w:val="00DE4FF1"/>
    <w:rsid w:val="00DE7FE0"/>
    <w:rsid w:val="00DF4E5E"/>
    <w:rsid w:val="00DF6224"/>
    <w:rsid w:val="00E0435E"/>
    <w:rsid w:val="00E1025E"/>
    <w:rsid w:val="00E160A2"/>
    <w:rsid w:val="00E207BE"/>
    <w:rsid w:val="00E216DF"/>
    <w:rsid w:val="00E23D99"/>
    <w:rsid w:val="00E33FE8"/>
    <w:rsid w:val="00E34CF5"/>
    <w:rsid w:val="00E37AC0"/>
    <w:rsid w:val="00E41332"/>
    <w:rsid w:val="00E421A0"/>
    <w:rsid w:val="00E4566C"/>
    <w:rsid w:val="00E54362"/>
    <w:rsid w:val="00E55503"/>
    <w:rsid w:val="00E6218D"/>
    <w:rsid w:val="00E643BC"/>
    <w:rsid w:val="00E72174"/>
    <w:rsid w:val="00E72BF9"/>
    <w:rsid w:val="00E73A95"/>
    <w:rsid w:val="00E73FC4"/>
    <w:rsid w:val="00E74CDC"/>
    <w:rsid w:val="00E74EE9"/>
    <w:rsid w:val="00E76AFA"/>
    <w:rsid w:val="00E771F3"/>
    <w:rsid w:val="00E82181"/>
    <w:rsid w:val="00E85076"/>
    <w:rsid w:val="00E86E25"/>
    <w:rsid w:val="00E900AC"/>
    <w:rsid w:val="00E90588"/>
    <w:rsid w:val="00E905EC"/>
    <w:rsid w:val="00E956D5"/>
    <w:rsid w:val="00EA0337"/>
    <w:rsid w:val="00EA20F3"/>
    <w:rsid w:val="00EA7E0F"/>
    <w:rsid w:val="00EB5EB2"/>
    <w:rsid w:val="00EB67F0"/>
    <w:rsid w:val="00EC428F"/>
    <w:rsid w:val="00EC46A9"/>
    <w:rsid w:val="00EC4D64"/>
    <w:rsid w:val="00EC50BD"/>
    <w:rsid w:val="00EC5BE2"/>
    <w:rsid w:val="00ED07CD"/>
    <w:rsid w:val="00ED6755"/>
    <w:rsid w:val="00EE0B5F"/>
    <w:rsid w:val="00EF0408"/>
    <w:rsid w:val="00EF258B"/>
    <w:rsid w:val="00EF654F"/>
    <w:rsid w:val="00EF65FF"/>
    <w:rsid w:val="00F00533"/>
    <w:rsid w:val="00F07AF2"/>
    <w:rsid w:val="00F12B6D"/>
    <w:rsid w:val="00F13207"/>
    <w:rsid w:val="00F14D3B"/>
    <w:rsid w:val="00F2069A"/>
    <w:rsid w:val="00F312ED"/>
    <w:rsid w:val="00F46E4C"/>
    <w:rsid w:val="00F5301D"/>
    <w:rsid w:val="00F64A2B"/>
    <w:rsid w:val="00F65C30"/>
    <w:rsid w:val="00F65E90"/>
    <w:rsid w:val="00F7054D"/>
    <w:rsid w:val="00F706DE"/>
    <w:rsid w:val="00F70FA8"/>
    <w:rsid w:val="00F71054"/>
    <w:rsid w:val="00F715C6"/>
    <w:rsid w:val="00F76B7E"/>
    <w:rsid w:val="00F806B1"/>
    <w:rsid w:val="00F91CA9"/>
    <w:rsid w:val="00F9714E"/>
    <w:rsid w:val="00F97C4E"/>
    <w:rsid w:val="00FA345E"/>
    <w:rsid w:val="00FA52D7"/>
    <w:rsid w:val="00FA7368"/>
    <w:rsid w:val="00FB2D93"/>
    <w:rsid w:val="00FB3B85"/>
    <w:rsid w:val="00FC1D5A"/>
    <w:rsid w:val="00FD3085"/>
    <w:rsid w:val="00FD4AFA"/>
    <w:rsid w:val="00FD5A5E"/>
    <w:rsid w:val="00FE09C5"/>
    <w:rsid w:val="00FE26C6"/>
    <w:rsid w:val="00FE391A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E0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6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13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C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D7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13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C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98F"/>
  </w:style>
  <w:style w:type="paragraph" w:styleId="Footer">
    <w:name w:val="footer"/>
    <w:basedOn w:val="Normal"/>
    <w:link w:val="Foot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98F"/>
  </w:style>
  <w:style w:type="paragraph" w:styleId="BalloonText">
    <w:name w:val="Balloon Text"/>
    <w:basedOn w:val="Normal"/>
    <w:link w:val="BalloonTextChar"/>
    <w:uiPriority w:val="99"/>
    <w:semiHidden/>
    <w:unhideWhenUsed/>
    <w:rsid w:val="0031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9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0C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C36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E0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6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13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C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D7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13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C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98F"/>
  </w:style>
  <w:style w:type="paragraph" w:styleId="Footer">
    <w:name w:val="footer"/>
    <w:basedOn w:val="Normal"/>
    <w:link w:val="Foot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98F"/>
  </w:style>
  <w:style w:type="paragraph" w:styleId="BalloonText">
    <w:name w:val="Balloon Text"/>
    <w:basedOn w:val="Normal"/>
    <w:link w:val="BalloonTextChar"/>
    <w:uiPriority w:val="99"/>
    <w:semiHidden/>
    <w:unhideWhenUsed/>
    <w:rsid w:val="0031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9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0C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C36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BD3"/>
    <w:rsid w:val="0027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BD3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BD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BBBF-5FF8-4732-8713-BBDB1908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 Card</dc:creator>
  <cp:lastModifiedBy>Michael D Card</cp:lastModifiedBy>
  <cp:revision>3</cp:revision>
  <cp:lastPrinted>2013-07-16T08:41:00Z</cp:lastPrinted>
  <dcterms:created xsi:type="dcterms:W3CDTF">2013-08-06T07:33:00Z</dcterms:created>
  <dcterms:modified xsi:type="dcterms:W3CDTF">2013-09-27T15:10:00Z</dcterms:modified>
</cp:coreProperties>
</file>