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E6E" w:rsidRDefault="00466616" w:rsidP="00FC4162">
      <w:pPr>
        <w:pStyle w:val="Header"/>
        <w:tabs>
          <w:tab w:val="clear" w:pos="9639"/>
          <w:tab w:val="right" w:pos="5954"/>
        </w:tabs>
        <w:jc w:val="right"/>
        <w:rPr>
          <w:rFonts w:ascii="Calibri" w:hAnsi="Calibri" w:cs="Calibri"/>
          <w:lang w:val="en-GB"/>
        </w:rPr>
      </w:pPr>
      <w:r>
        <w:rPr>
          <w:rFonts w:ascii="Calibri" w:hAnsi="Calibri" w:cs="Calibri"/>
          <w:lang w:val="en-GB"/>
        </w:rPr>
        <w:t>VTS44-4.2.4 (</w:t>
      </w:r>
      <w:r w:rsidR="007A6E6E">
        <w:rPr>
          <w:rFonts w:ascii="Calibri" w:hAnsi="Calibri" w:cs="Calibri"/>
          <w:lang w:val="en-GB"/>
        </w:rPr>
        <w:t>LAP18-22.3</w:t>
      </w:r>
      <w:r>
        <w:rPr>
          <w:rFonts w:ascii="Calibri" w:hAnsi="Calibri" w:cs="Calibri"/>
          <w:lang w:val="en-GB"/>
        </w:rPr>
        <w:t>)</w:t>
      </w:r>
      <w:bookmarkStart w:id="0" w:name="_GoBack"/>
      <w:bookmarkEnd w:id="0"/>
    </w:p>
    <w:p w:rsidR="00FC4162" w:rsidRPr="007A6E6E" w:rsidRDefault="00A27AE7" w:rsidP="00FC4162">
      <w:pPr>
        <w:pStyle w:val="Header"/>
        <w:tabs>
          <w:tab w:val="clear" w:pos="9639"/>
          <w:tab w:val="right" w:pos="5954"/>
        </w:tabs>
        <w:jc w:val="right"/>
        <w:rPr>
          <w:rFonts w:ascii="Calibri" w:hAnsi="Calibri" w:cs="Calibri"/>
          <w:sz w:val="16"/>
          <w:szCs w:val="16"/>
          <w:lang w:val="en-GB"/>
        </w:rPr>
      </w:pPr>
      <w:r w:rsidRPr="007A6E6E">
        <w:rPr>
          <w:rFonts w:ascii="Calibri" w:hAnsi="Calibri" w:cs="Calibri"/>
          <w:noProof/>
          <w:sz w:val="16"/>
          <w:szCs w:val="16"/>
          <w:lang w:val="nl-NL" w:eastAsia="nl-NL"/>
        </w:rPr>
        <w:drawing>
          <wp:anchor distT="0" distB="0" distL="114300" distR="114300" simplePos="0" relativeHeight="251658240" behindDoc="0" locked="0" layoutInCell="1" allowOverlap="1" wp14:anchorId="655114DD" wp14:editId="729A3F45">
            <wp:simplePos x="0" y="0"/>
            <wp:positionH relativeFrom="column">
              <wp:posOffset>2743200</wp:posOffset>
            </wp:positionH>
            <wp:positionV relativeFrom="paragraph">
              <wp:posOffset>-226695</wp:posOffset>
            </wp:positionV>
            <wp:extent cx="630936" cy="658368"/>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 2.jpg"/>
                    <pic:cNvPicPr/>
                  </pic:nvPicPr>
                  <pic:blipFill>
                    <a:blip r:embed="rId9">
                      <a:extLst>
                        <a:ext uri="{28A0092B-C50C-407E-A947-70E740481C1C}">
                          <a14:useLocalDpi xmlns:a14="http://schemas.microsoft.com/office/drawing/2010/main" val="0"/>
                        </a:ext>
                      </a:extLst>
                    </a:blip>
                    <a:stretch>
                      <a:fillRect/>
                    </a:stretch>
                  </pic:blipFill>
                  <pic:spPr>
                    <a:xfrm>
                      <a:off x="0" y="0"/>
                      <a:ext cx="630936" cy="658368"/>
                    </a:xfrm>
                    <a:prstGeom prst="rect">
                      <a:avLst/>
                    </a:prstGeom>
                  </pic:spPr>
                </pic:pic>
              </a:graphicData>
            </a:graphic>
            <wp14:sizeRelH relativeFrom="margin">
              <wp14:pctWidth>0</wp14:pctWidth>
            </wp14:sizeRelH>
            <wp14:sizeRelV relativeFrom="margin">
              <wp14:pctHeight>0</wp14:pctHeight>
            </wp14:sizeRelV>
          </wp:anchor>
        </w:drawing>
      </w:r>
      <w:r w:rsidR="007A6E6E" w:rsidRPr="007A6E6E">
        <w:rPr>
          <w:rFonts w:ascii="Calibri" w:hAnsi="Calibri" w:cs="Calibri"/>
          <w:sz w:val="16"/>
          <w:szCs w:val="16"/>
          <w:lang w:val="en-GB"/>
        </w:rPr>
        <w:t>(</w:t>
      </w:r>
      <w:r w:rsidR="00FE35BC" w:rsidRPr="007A6E6E">
        <w:rPr>
          <w:rFonts w:ascii="Calibri" w:hAnsi="Calibri" w:cs="Calibri"/>
          <w:sz w:val="16"/>
          <w:szCs w:val="16"/>
          <w:lang w:val="en-GB"/>
        </w:rPr>
        <w:t xml:space="preserve">Input paper:  </w:t>
      </w:r>
      <w:r w:rsidR="007332DC" w:rsidRPr="007A6E6E">
        <w:rPr>
          <w:rFonts w:ascii="Calibri" w:hAnsi="Calibri" w:cs="Calibri"/>
          <w:sz w:val="16"/>
          <w:szCs w:val="16"/>
          <w:lang w:val="en-GB"/>
        </w:rPr>
        <w:t>LAP18-9.1</w:t>
      </w:r>
      <w:r w:rsidR="007A6E6E" w:rsidRPr="007A6E6E">
        <w:rPr>
          <w:rFonts w:ascii="Calibri" w:hAnsi="Calibri" w:cs="Calibri"/>
          <w:sz w:val="16"/>
          <w:szCs w:val="16"/>
          <w:lang w:val="en-GB"/>
        </w:rPr>
        <w:t>)</w:t>
      </w:r>
    </w:p>
    <w:p w:rsidR="00FE35BC" w:rsidRPr="00FC4162" w:rsidRDefault="00FE35BC" w:rsidP="000049D8">
      <w:pPr>
        <w:pStyle w:val="Header"/>
        <w:tabs>
          <w:tab w:val="clear" w:pos="9639"/>
          <w:tab w:val="right" w:pos="5954"/>
        </w:tabs>
        <w:spacing w:after="240"/>
        <w:jc w:val="right"/>
        <w:rPr>
          <w:rFonts w:ascii="Calibri" w:hAnsi="Calibri" w:cs="Calibri"/>
          <w:sz w:val="16"/>
          <w:szCs w:val="16"/>
          <w:lang w:val="en-GB"/>
        </w:rPr>
      </w:pPr>
    </w:p>
    <w:p w:rsidR="00FE35BC" w:rsidRPr="004800A2" w:rsidRDefault="00FE35BC" w:rsidP="00FE5674">
      <w:pPr>
        <w:pStyle w:val="BodyText"/>
        <w:tabs>
          <w:tab w:val="left" w:pos="2835"/>
        </w:tabs>
        <w:rPr>
          <w:rFonts w:ascii="Calibri" w:hAnsi="Calibri" w:cs="Calibri"/>
          <w:lang w:val="en-GB"/>
        </w:rPr>
      </w:pPr>
    </w:p>
    <w:p w:rsidR="00FE35BC" w:rsidRPr="004800A2" w:rsidRDefault="00FE35BC" w:rsidP="00FE5674">
      <w:pPr>
        <w:pStyle w:val="BodyText"/>
        <w:tabs>
          <w:tab w:val="left" w:pos="2835"/>
        </w:tabs>
        <w:rPr>
          <w:rFonts w:ascii="Calibri" w:hAnsi="Calibri" w:cs="Calibri"/>
          <w:lang w:val="en-GB"/>
        </w:rPr>
      </w:pPr>
      <w:r w:rsidRPr="004800A2">
        <w:rPr>
          <w:rFonts w:ascii="Calibri" w:hAnsi="Calibri" w:cs="Calibri"/>
          <w:lang w:val="en-GB"/>
        </w:rPr>
        <w:t>Input pape</w:t>
      </w:r>
      <w:r w:rsidR="00327038">
        <w:rPr>
          <w:rFonts w:ascii="Calibri" w:hAnsi="Calibri" w:cs="Calibri"/>
          <w:lang w:val="en-GB"/>
        </w:rPr>
        <w:t>r for the following body</w:t>
      </w:r>
      <w:r w:rsidRPr="004800A2">
        <w:rPr>
          <w:rFonts w:ascii="Calibri" w:hAnsi="Calibri" w:cs="Calibri"/>
          <w:lang w:val="en-GB"/>
        </w:rPr>
        <w:t xml:space="preserve">: </w:t>
      </w:r>
      <w:r w:rsidR="00327038">
        <w:rPr>
          <w:rFonts w:ascii="Calibri" w:hAnsi="Calibri" w:cs="Calibri"/>
          <w:lang w:val="en-GB"/>
        </w:rPr>
        <w:tab/>
      </w:r>
      <w:r w:rsidRPr="004800A2">
        <w:rPr>
          <w:rFonts w:ascii="Calibri" w:hAnsi="Calibri" w:cs="Calibri"/>
          <w:lang w:val="en-GB"/>
        </w:rPr>
        <w:tab/>
      </w:r>
      <w:r w:rsidRPr="004800A2">
        <w:rPr>
          <w:rFonts w:ascii="Calibri" w:hAnsi="Calibri" w:cs="Calibri"/>
          <w:sz w:val="18"/>
          <w:szCs w:val="18"/>
          <w:lang w:val="en-GB"/>
        </w:rPr>
        <w:tab/>
      </w:r>
      <w:r w:rsidRPr="004800A2">
        <w:rPr>
          <w:rFonts w:ascii="Calibri" w:hAnsi="Calibri" w:cs="Calibri"/>
          <w:lang w:val="en-GB"/>
        </w:rPr>
        <w:tab/>
      </w:r>
      <w:r w:rsidR="00FC4162">
        <w:rPr>
          <w:rFonts w:ascii="Calibri" w:hAnsi="Calibri" w:cs="Calibri"/>
          <w:lang w:val="en-GB"/>
        </w:rPr>
        <w:tab/>
      </w:r>
      <w:r w:rsidR="00FC4162">
        <w:rPr>
          <w:rFonts w:ascii="Calibri" w:hAnsi="Calibri" w:cs="Calibri"/>
          <w:lang w:val="en-GB"/>
        </w:rPr>
        <w:tab/>
      </w:r>
      <w:r w:rsidRPr="004800A2">
        <w:rPr>
          <w:rFonts w:ascii="Calibri" w:hAnsi="Calibri" w:cs="Calibri"/>
          <w:lang w:val="en-GB"/>
        </w:rPr>
        <w:t>Purpose of paper:</w:t>
      </w:r>
    </w:p>
    <w:p w:rsidR="00FE35BC" w:rsidRPr="004800A2" w:rsidRDefault="00FB30FE" w:rsidP="00037DF4">
      <w:pPr>
        <w:pStyle w:val="BodyText"/>
        <w:tabs>
          <w:tab w:val="left" w:pos="1843"/>
        </w:tabs>
        <w:rPr>
          <w:rFonts w:ascii="Calibri" w:hAnsi="Calibri" w:cs="Calibri"/>
          <w:b/>
          <w:bCs/>
          <w:sz w:val="24"/>
          <w:szCs w:val="24"/>
          <w:lang w:val="en-GB"/>
        </w:rPr>
      </w:pPr>
      <w:r w:rsidRPr="004800A2">
        <w:rPr>
          <w:rFonts w:ascii="Calibri" w:hAnsi="Calibri" w:cs="Calibri"/>
          <w:b/>
          <w:bCs/>
          <w:sz w:val="24"/>
          <w:szCs w:val="24"/>
          <w:lang w:val="en-GB"/>
        </w:rPr>
        <w:t>□</w:t>
      </w:r>
      <w:r>
        <w:rPr>
          <w:rFonts w:ascii="Calibri" w:hAnsi="Calibri" w:cs="Calibri"/>
          <w:b/>
          <w:bCs/>
          <w:sz w:val="24"/>
          <w:szCs w:val="24"/>
          <w:lang w:val="en-GB"/>
        </w:rPr>
        <w:t xml:space="preserve"> </w:t>
      </w:r>
      <w:r w:rsidR="00FE35BC" w:rsidRPr="004800A2">
        <w:rPr>
          <w:rFonts w:ascii="Calibri" w:hAnsi="Calibri" w:cs="Calibri"/>
          <w:lang w:val="en-GB"/>
        </w:rPr>
        <w:t>ARM</w:t>
      </w:r>
      <w:r w:rsidR="00FE35BC" w:rsidRPr="004800A2">
        <w:rPr>
          <w:rFonts w:ascii="Calibri" w:hAnsi="Calibri" w:cs="Calibri"/>
          <w:lang w:val="en-GB"/>
        </w:rPr>
        <w:tab/>
      </w:r>
      <w:proofErr w:type="gramStart"/>
      <w:r w:rsidR="00FE35BC"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ENG</w:t>
      </w:r>
      <w:proofErr w:type="gramEnd"/>
      <w:r w:rsidR="00FE35BC" w:rsidRPr="004800A2">
        <w:rPr>
          <w:rFonts w:ascii="Calibri" w:hAnsi="Calibri" w:cs="Calibri"/>
          <w:lang w:val="en-GB"/>
        </w:rPr>
        <w:tab/>
      </w:r>
      <w:r w:rsidR="00FE35BC" w:rsidRPr="004800A2">
        <w:rPr>
          <w:rFonts w:ascii="Calibri" w:hAnsi="Calibri" w:cs="Calibri"/>
          <w:lang w:val="en-GB"/>
        </w:rPr>
        <w:tab/>
      </w:r>
      <w:r w:rsidR="00327038"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PAP</w:t>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C4162">
        <w:rPr>
          <w:rFonts w:ascii="Calibri" w:hAnsi="Calibri" w:cs="Calibri"/>
          <w:sz w:val="24"/>
          <w:szCs w:val="24"/>
          <w:lang w:val="en-GB"/>
        </w:rPr>
        <w:sym w:font="Wingdings 2" w:char="F052"/>
      </w:r>
      <w:r w:rsidR="00FE35BC" w:rsidRPr="004800A2">
        <w:rPr>
          <w:rFonts w:ascii="Calibri" w:hAnsi="Calibri" w:cs="Calibri"/>
          <w:sz w:val="24"/>
          <w:szCs w:val="24"/>
          <w:lang w:val="en-GB"/>
        </w:rPr>
        <w:t xml:space="preserve">  Input</w:t>
      </w:r>
    </w:p>
    <w:p w:rsidR="00FE35BC" w:rsidRPr="004800A2" w:rsidRDefault="00FE35BC" w:rsidP="00037DF4">
      <w:pPr>
        <w:pStyle w:val="BodyText"/>
        <w:tabs>
          <w:tab w:val="left" w:pos="1843"/>
        </w:tabs>
        <w:rPr>
          <w:rFonts w:ascii="Calibri" w:hAnsi="Calibri" w:cs="Calibri"/>
          <w:lang w:val="en-GB"/>
        </w:rPr>
      </w:pPr>
      <w:proofErr w:type="gramStart"/>
      <w:r w:rsidRPr="004800A2">
        <w:rPr>
          <w:rFonts w:ascii="Calibri" w:hAnsi="Calibri" w:cs="Calibri"/>
          <w:b/>
          <w:bCs/>
          <w:sz w:val="24"/>
          <w:szCs w:val="24"/>
          <w:lang w:val="en-GB"/>
        </w:rPr>
        <w:t>□</w:t>
      </w:r>
      <w:r w:rsidRPr="004800A2">
        <w:rPr>
          <w:rFonts w:ascii="Calibri" w:hAnsi="Calibri" w:cs="Calibri"/>
          <w:sz w:val="24"/>
          <w:szCs w:val="24"/>
          <w:lang w:val="en-GB"/>
        </w:rPr>
        <w:t xml:space="preserve">  </w:t>
      </w:r>
      <w:r w:rsidRPr="004800A2">
        <w:rPr>
          <w:rFonts w:ascii="Calibri" w:hAnsi="Calibri" w:cs="Calibri"/>
          <w:lang w:val="en-GB"/>
        </w:rPr>
        <w:t>ENAV</w:t>
      </w:r>
      <w:proofErr w:type="gramEnd"/>
      <w:r w:rsidRPr="004800A2">
        <w:rPr>
          <w:rFonts w:ascii="Calibri" w:hAnsi="Calibri" w:cs="Calibri"/>
          <w:b/>
          <w:bCs/>
          <w:sz w:val="24"/>
          <w:szCs w:val="24"/>
          <w:lang w:val="en-GB"/>
        </w:rPr>
        <w:tab/>
        <w:t>□</w:t>
      </w:r>
      <w:r w:rsidRPr="004800A2">
        <w:rPr>
          <w:rFonts w:ascii="Calibri" w:hAnsi="Calibri" w:cs="Calibri"/>
          <w:sz w:val="24"/>
          <w:szCs w:val="24"/>
          <w:lang w:val="en-GB"/>
        </w:rPr>
        <w:t xml:space="preserve">  </w:t>
      </w:r>
      <w:r w:rsidRPr="004800A2">
        <w:rPr>
          <w:rFonts w:ascii="Calibri" w:hAnsi="Calibri" w:cs="Calibri"/>
          <w:lang w:val="en-GB"/>
        </w:rPr>
        <w:t>VTS</w:t>
      </w:r>
      <w:r w:rsidRPr="004800A2">
        <w:rPr>
          <w:rFonts w:ascii="Calibri" w:hAnsi="Calibri" w:cs="Calibri"/>
          <w:sz w:val="24"/>
          <w:szCs w:val="24"/>
          <w:lang w:val="en-GB"/>
        </w:rPr>
        <w:tab/>
      </w:r>
      <w:r w:rsidRPr="004800A2">
        <w:rPr>
          <w:rFonts w:ascii="Calibri" w:hAnsi="Calibri" w:cs="Calibri"/>
          <w:sz w:val="24"/>
          <w:szCs w:val="24"/>
          <w:lang w:val="en-GB"/>
        </w:rPr>
        <w:tab/>
      </w:r>
      <w:r w:rsidR="00327038">
        <w:rPr>
          <w:rFonts w:ascii="Calibri" w:hAnsi="Calibri" w:cs="Calibri"/>
          <w:sz w:val="24"/>
          <w:szCs w:val="24"/>
          <w:lang w:val="en-GB"/>
        </w:rPr>
        <w:sym w:font="Wingdings 2" w:char="F052"/>
      </w:r>
      <w:r w:rsidR="00327038" w:rsidRPr="004800A2">
        <w:rPr>
          <w:rFonts w:ascii="Calibri" w:hAnsi="Calibri" w:cs="Calibri"/>
          <w:sz w:val="24"/>
          <w:szCs w:val="24"/>
          <w:lang w:val="en-GB"/>
        </w:rPr>
        <w:t xml:space="preserve">  </w:t>
      </w:r>
      <w:r w:rsidR="00327038">
        <w:rPr>
          <w:rFonts w:ascii="Calibri" w:hAnsi="Calibri" w:cs="Calibri"/>
          <w:lang w:val="en-GB"/>
        </w:rPr>
        <w:t>LA</w:t>
      </w:r>
      <w:r w:rsidR="00327038" w:rsidRPr="004800A2">
        <w:rPr>
          <w:rFonts w:ascii="Calibri" w:hAnsi="Calibri" w:cs="Calibri"/>
          <w:lang w:val="en-GB"/>
        </w:rPr>
        <w:t>P</w:t>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00FC4162" w:rsidRPr="004800A2">
        <w:rPr>
          <w:rFonts w:ascii="Calibri" w:hAnsi="Calibri" w:cs="Calibri"/>
          <w:b/>
          <w:bCs/>
          <w:sz w:val="24"/>
          <w:szCs w:val="24"/>
          <w:lang w:val="en-GB"/>
        </w:rPr>
        <w:t>□</w:t>
      </w:r>
      <w:r w:rsidRPr="004800A2">
        <w:rPr>
          <w:rFonts w:ascii="Calibri" w:hAnsi="Calibri" w:cs="Calibri"/>
          <w:sz w:val="24"/>
          <w:szCs w:val="24"/>
          <w:lang w:val="en-GB"/>
        </w:rPr>
        <w:t xml:space="preserve">  Information</w:t>
      </w:r>
    </w:p>
    <w:p w:rsidR="00FE35BC" w:rsidRPr="004800A2" w:rsidRDefault="00FE35BC" w:rsidP="00FE5674">
      <w:pPr>
        <w:pStyle w:val="BodyText"/>
        <w:tabs>
          <w:tab w:val="left" w:pos="2835"/>
        </w:tabs>
        <w:rPr>
          <w:rFonts w:ascii="Calibri" w:hAnsi="Calibri" w:cs="Calibri"/>
          <w:lang w:val="en-GB"/>
        </w:rPr>
      </w:pPr>
      <w:r w:rsidRPr="004800A2">
        <w:rPr>
          <w:rFonts w:ascii="Calibri" w:hAnsi="Calibri" w:cs="Calibri"/>
          <w:lang w:val="en-GB"/>
        </w:rPr>
        <w:t>Agenda item</w:t>
      </w:r>
      <w:r>
        <w:rPr>
          <w:rFonts w:ascii="Calibri" w:hAnsi="Calibri" w:cs="Calibri"/>
          <w:lang w:val="en-GB"/>
        </w:rPr>
        <w:tab/>
      </w:r>
      <w:r>
        <w:rPr>
          <w:rFonts w:ascii="Calibri" w:hAnsi="Calibri" w:cs="Calibri"/>
          <w:lang w:val="en-GB"/>
        </w:rPr>
        <w:tab/>
      </w:r>
      <w:r>
        <w:rPr>
          <w:rFonts w:ascii="Calibri" w:hAnsi="Calibri" w:cs="Calibri"/>
          <w:lang w:val="en-GB"/>
        </w:rPr>
        <w:tab/>
      </w:r>
      <w:r w:rsidR="000C4D4B">
        <w:rPr>
          <w:rFonts w:ascii="Calibri" w:hAnsi="Calibri" w:cs="Calibri"/>
          <w:lang w:val="en-GB"/>
        </w:rPr>
        <w:t>9</w:t>
      </w:r>
    </w:p>
    <w:p w:rsidR="00FE35BC" w:rsidRPr="004800A2" w:rsidRDefault="00FE35BC" w:rsidP="00FE5674">
      <w:pPr>
        <w:pStyle w:val="BodyText"/>
        <w:tabs>
          <w:tab w:val="left" w:pos="2835"/>
        </w:tabs>
        <w:rPr>
          <w:rFonts w:ascii="Calibri" w:hAnsi="Calibri" w:cs="Calibri"/>
          <w:color w:val="FF0000"/>
          <w:lang w:val="en-GB"/>
        </w:rPr>
      </w:pPr>
      <w:r w:rsidRPr="004800A2">
        <w:rPr>
          <w:rFonts w:ascii="Calibri" w:hAnsi="Calibri" w:cs="Calibri"/>
          <w:lang w:val="en-GB"/>
        </w:rPr>
        <w:t>Author(s) / Submitter(s)</w:t>
      </w:r>
      <w:r w:rsidRPr="004800A2">
        <w:rPr>
          <w:rFonts w:ascii="Calibri" w:hAnsi="Calibri" w:cs="Calibri"/>
          <w:lang w:val="en-GB"/>
        </w:rPr>
        <w:tab/>
      </w:r>
      <w:r w:rsidRPr="004800A2">
        <w:rPr>
          <w:rFonts w:ascii="Calibri" w:hAnsi="Calibri" w:cs="Calibri"/>
          <w:lang w:val="en-GB"/>
        </w:rPr>
        <w:tab/>
      </w:r>
      <w:r w:rsidRPr="004800A2">
        <w:rPr>
          <w:rFonts w:ascii="Calibri" w:hAnsi="Calibri" w:cs="Calibri"/>
          <w:lang w:val="en-GB"/>
        </w:rPr>
        <w:tab/>
      </w:r>
      <w:r w:rsidR="000C4D4B">
        <w:rPr>
          <w:rFonts w:ascii="Calibri" w:hAnsi="Calibri" w:cs="Calibri"/>
          <w:lang w:val="en-GB"/>
        </w:rPr>
        <w:t>Lynn Pauwels</w:t>
      </w:r>
      <w:r>
        <w:rPr>
          <w:rFonts w:ascii="Calibri" w:hAnsi="Calibri" w:cs="Calibri"/>
          <w:lang w:val="en-GB"/>
        </w:rPr>
        <w:t xml:space="preserve"> </w:t>
      </w:r>
    </w:p>
    <w:p w:rsidR="00FE35BC" w:rsidRPr="004800A2" w:rsidRDefault="00FE35BC" w:rsidP="00FE5674">
      <w:pPr>
        <w:pStyle w:val="BodyText"/>
        <w:tabs>
          <w:tab w:val="left" w:pos="2835"/>
        </w:tabs>
        <w:rPr>
          <w:rFonts w:ascii="Calibri" w:hAnsi="Calibri" w:cs="Calibri"/>
          <w:lang w:val="en-GB"/>
        </w:rPr>
      </w:pPr>
    </w:p>
    <w:p w:rsidR="000C4D4B" w:rsidRPr="000C4D4B" w:rsidRDefault="000C4D4B" w:rsidP="00327038">
      <w:pPr>
        <w:pStyle w:val="Title"/>
        <w:spacing w:before="0"/>
        <w:rPr>
          <w:rFonts w:ascii="Calibri" w:hAnsi="Calibri" w:cs="Calibri"/>
          <w:color w:val="00558C"/>
          <w:lang w:val="en-US"/>
        </w:rPr>
      </w:pPr>
      <w:r w:rsidRPr="000C4D4B">
        <w:rPr>
          <w:rFonts w:ascii="Calibri" w:hAnsi="Calibri" w:cs="Calibri"/>
          <w:color w:val="00558C"/>
          <w:lang w:val="en-GB"/>
        </w:rPr>
        <w:t>Practical and legal overview of the current patent landscape anno 2017</w:t>
      </w:r>
    </w:p>
    <w:p w:rsidR="00FE35BC" w:rsidRPr="00FC4162" w:rsidRDefault="000C4D4B" w:rsidP="009826EE">
      <w:pPr>
        <w:pStyle w:val="Heading1"/>
        <w:spacing w:after="120"/>
        <w:rPr>
          <w:color w:val="00558C"/>
          <w:lang w:val="en-GB"/>
        </w:rPr>
      </w:pPr>
      <w:r>
        <w:rPr>
          <w:color w:val="00558C"/>
          <w:lang w:val="en-GB"/>
        </w:rPr>
        <w:t>Introduction</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The major objective of this analysis is to provide a legal and practical overview of the curr</w:t>
      </w:r>
      <w:r>
        <w:rPr>
          <w:rFonts w:asciiTheme="minorHAnsi" w:hAnsiTheme="minorHAnsi" w:cstheme="minorHAnsi"/>
          <w:sz w:val="22"/>
          <w:szCs w:val="22"/>
          <w:lang w:val="en-GB"/>
        </w:rPr>
        <w:t>ent patent landscape anno 2017.</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 patent is a legal title granting its holder the exclusive rights to prevent third parties, from exploiting (i.e. making, using, offering for sale, selling or importing) infringing products without authorisation in a defined country and for a limited period.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This definition contains four main characteristics:</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exclusive right</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without authorisation</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defined country </w:t>
      </w:r>
    </w:p>
    <w:p w:rsidR="000C4D4B" w:rsidRPr="000C4D4B" w:rsidRDefault="000C4D4B" w:rsidP="000C4D4B">
      <w:pPr>
        <w:pStyle w:val="BodyText"/>
        <w:numPr>
          <w:ilvl w:val="0"/>
          <w:numId w:val="26"/>
        </w:numPr>
        <w:rPr>
          <w:rFonts w:asciiTheme="minorHAnsi" w:hAnsiTheme="minorHAnsi" w:cstheme="minorHAnsi"/>
          <w:sz w:val="22"/>
          <w:szCs w:val="22"/>
          <w:lang w:val="en-GB"/>
        </w:rPr>
      </w:pPr>
      <w:r w:rsidRPr="000C4D4B">
        <w:rPr>
          <w:rFonts w:asciiTheme="minorHAnsi" w:hAnsiTheme="minorHAnsi" w:cstheme="minorHAnsi"/>
          <w:sz w:val="22"/>
          <w:szCs w:val="22"/>
          <w:lang w:val="en-GB"/>
        </w:rPr>
        <w:t>limited period of time</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In return for this legal protection, the patent holder has to disclose the invention to the public.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At this point, there is an arsenal of international and European instruments dealing with patent law.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For example at international level, the Agreement on Trade Related Aspects of Intellectual Property Rights (TRIPS), the Paris Convention and the Patent Cooperation Treaty (PCT) should be taken into account.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At European level, the European Patent Convention (EPC) is the leading instrument.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Additionally, there is the Agreement on Unified Patent Cooperation which significantly contributes to the integration process in Europe, in particular to the establishment of an internal market within the European Union characterised by the free movement of goods and services and the creation of a system ensuring that competition in the internal market is not distorted. On top of that, it should be noticed that by virtue of Regulation (EU) No 1257/20121, patent proprietors can request unitary effect of their European patents so as to obtain unitary patent protection in the Member States of the European Union participating in the enhanced cooperation.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The legal instruments at national level fall beyond the scope of this research because they vary from country to country. </w:t>
      </w:r>
    </w:p>
    <w:p w:rsidR="000C4D4B" w:rsidRPr="000C4D4B" w:rsidRDefault="000C4D4B" w:rsidP="000C4D4B">
      <w:pPr>
        <w:pStyle w:val="BodyText"/>
        <w:rPr>
          <w:rFonts w:asciiTheme="minorHAnsi" w:hAnsiTheme="minorHAnsi" w:cstheme="minorHAnsi"/>
          <w:sz w:val="22"/>
          <w:szCs w:val="22"/>
          <w:lang w:val="en-GB"/>
        </w:rPr>
      </w:pPr>
      <w:r w:rsidRPr="000C4D4B">
        <w:rPr>
          <w:rFonts w:asciiTheme="minorHAnsi" w:hAnsiTheme="minorHAnsi" w:cstheme="minorHAnsi"/>
          <w:sz w:val="22"/>
          <w:szCs w:val="22"/>
          <w:lang w:val="en-GB"/>
        </w:rPr>
        <w:t xml:space="preserve">This analysis has been divided into three parts and begins by the practical steps for obtaining a patent. It will then go on to the examination of the validity of a patent. The last part is concerned with the granting procedure. </w:t>
      </w:r>
    </w:p>
    <w:p w:rsidR="00FE35BC" w:rsidRPr="000C4D4B" w:rsidRDefault="000C4D4B" w:rsidP="009826EE">
      <w:pPr>
        <w:pStyle w:val="Heading1"/>
        <w:spacing w:after="120"/>
        <w:rPr>
          <w:color w:val="00558C"/>
          <w:lang w:val="en-GB"/>
        </w:rPr>
      </w:pPr>
      <w:r w:rsidRPr="000C4D4B">
        <w:rPr>
          <w:color w:val="00558C"/>
          <w:lang w:val="en-GB"/>
        </w:rPr>
        <w:t>The practical steps for obtaining a patent</w:t>
      </w:r>
    </w:p>
    <w:p w:rsidR="000C4D4B" w:rsidRPr="00064A01" w:rsidRDefault="000C4D4B" w:rsidP="000C4D4B">
      <w:pPr>
        <w:spacing w:line="276" w:lineRule="auto"/>
        <w:jc w:val="both"/>
        <w:rPr>
          <w:rFonts w:ascii="Calibri" w:hAnsi="Calibri"/>
          <w:lang w:val="en-US"/>
        </w:rPr>
      </w:pPr>
      <w:r w:rsidRPr="00064A01">
        <w:rPr>
          <w:rFonts w:ascii="Calibri" w:hAnsi="Calibri"/>
          <w:lang w:val="en-US"/>
        </w:rPr>
        <w:t>Currently there are four routes for obtaining a patent which might be combined:</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lastRenderedPageBreak/>
        <w:t>the ‘international’ route which results in an international patent;</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t xml:space="preserve">the ‘traditional’ European route which results in an European patent: the entire patent grant procedure is governed by the EPC alone; </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r w:rsidRPr="000C4D4B">
        <w:rPr>
          <w:rFonts w:ascii="Calibri" w:hAnsi="Calibri"/>
          <w:lang w:val="en-US"/>
        </w:rPr>
        <w:t>the ‘unitary’ European or Euro-PCT route which results in an European patent with unitary effects;</w:t>
      </w:r>
    </w:p>
    <w:p w:rsidR="000C4D4B" w:rsidRPr="000C4D4B" w:rsidRDefault="000C4D4B" w:rsidP="000C4D4B">
      <w:pPr>
        <w:pStyle w:val="ListParagraph"/>
        <w:numPr>
          <w:ilvl w:val="0"/>
          <w:numId w:val="28"/>
        </w:numPr>
        <w:spacing w:line="276" w:lineRule="auto"/>
        <w:ind w:left="709"/>
        <w:contextualSpacing/>
        <w:jc w:val="both"/>
        <w:rPr>
          <w:rFonts w:ascii="Calibri" w:hAnsi="Calibri"/>
          <w:lang w:val="en-US"/>
        </w:rPr>
      </w:pPr>
      <w:proofErr w:type="gramStart"/>
      <w:r w:rsidRPr="000C4D4B">
        <w:rPr>
          <w:rFonts w:ascii="Calibri" w:hAnsi="Calibri"/>
          <w:lang w:val="en-US"/>
        </w:rPr>
        <w:t>the</w:t>
      </w:r>
      <w:proofErr w:type="gramEnd"/>
      <w:r w:rsidRPr="000C4D4B">
        <w:rPr>
          <w:rFonts w:ascii="Calibri" w:hAnsi="Calibri"/>
          <w:lang w:val="en-US"/>
        </w:rPr>
        <w:t xml:space="preserve"> “national route” which results in a national patent.</w:t>
      </w:r>
    </w:p>
    <w:p w:rsidR="000C4D4B" w:rsidRPr="00EE66C1" w:rsidRDefault="000C4D4B" w:rsidP="000C4D4B">
      <w:pPr>
        <w:spacing w:line="276" w:lineRule="auto"/>
        <w:jc w:val="both"/>
        <w:rPr>
          <w:rFonts w:ascii="Calibri" w:hAnsi="Calibri"/>
          <w:sz w:val="20"/>
          <w:szCs w:val="20"/>
          <w:lang w:val="en-US"/>
        </w:rPr>
      </w:pPr>
    </w:p>
    <w:p w:rsidR="000C4D4B" w:rsidRDefault="000C4D4B" w:rsidP="000C4D4B">
      <w:pPr>
        <w:spacing w:line="276" w:lineRule="auto"/>
        <w:jc w:val="both"/>
        <w:rPr>
          <w:rFonts w:ascii="Calibri" w:hAnsi="Calibri"/>
          <w:color w:val="0070C0"/>
          <w:lang w:val="en-US"/>
        </w:rPr>
      </w:pPr>
      <w:r>
        <w:rPr>
          <w:noProof/>
          <w:lang w:val="nl-NL" w:eastAsia="nl-NL"/>
        </w:rPr>
        <w:drawing>
          <wp:inline distT="0" distB="0" distL="0" distR="0" wp14:anchorId="71510150" wp14:editId="4BAC461C">
            <wp:extent cx="3982595" cy="2559050"/>
            <wp:effectExtent l="0" t="0" r="0" b="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9585" cy="2576393"/>
                    </a:xfrm>
                    <a:prstGeom prst="rect">
                      <a:avLst/>
                    </a:prstGeom>
                    <a:noFill/>
                    <a:ln>
                      <a:noFill/>
                    </a:ln>
                  </pic:spPr>
                </pic:pic>
              </a:graphicData>
            </a:graphic>
          </wp:inline>
        </w:drawing>
      </w:r>
    </w:p>
    <w:p w:rsidR="000C4D4B" w:rsidRDefault="000C4D4B" w:rsidP="000C4D4B">
      <w:pPr>
        <w:spacing w:line="276" w:lineRule="auto"/>
        <w:jc w:val="both"/>
        <w:rPr>
          <w:rFonts w:ascii="Calibri" w:hAnsi="Calibri"/>
          <w:color w:val="0070C0"/>
          <w:lang w:val="en-US"/>
        </w:rPr>
      </w:pPr>
    </w:p>
    <w:p w:rsidR="000C4D4B" w:rsidRDefault="000C4D4B" w:rsidP="000C4D4B">
      <w:pPr>
        <w:spacing w:line="276" w:lineRule="auto"/>
        <w:jc w:val="both"/>
        <w:rPr>
          <w:rFonts w:ascii="Calibri" w:hAnsi="Calibri"/>
          <w:color w:val="0070C0"/>
          <w:lang w:val="en-US"/>
        </w:rPr>
      </w:pPr>
    </w:p>
    <w:p w:rsidR="000C4D4B" w:rsidRPr="00336D23" w:rsidRDefault="000C4D4B" w:rsidP="000C4D4B">
      <w:pPr>
        <w:spacing w:line="276" w:lineRule="auto"/>
        <w:ind w:firstLine="708"/>
        <w:rPr>
          <w:rFonts w:ascii="Calibri" w:hAnsi="Calibri"/>
          <w:sz w:val="18"/>
          <w:szCs w:val="18"/>
        </w:rPr>
      </w:pPr>
      <w:r w:rsidRPr="00336D23">
        <w:rPr>
          <w:rFonts w:ascii="Calibri" w:hAnsi="Calibri"/>
          <w:sz w:val="18"/>
          <w:szCs w:val="18"/>
        </w:rPr>
        <w:t xml:space="preserve">© Source </w:t>
      </w:r>
      <w:hyperlink r:id="rId11" w:history="1">
        <w:r w:rsidRPr="00336D23">
          <w:rPr>
            <w:rStyle w:val="Hyperlink"/>
            <w:rFonts w:ascii="Calibri" w:hAnsi="Calibri"/>
            <w:sz w:val="18"/>
            <w:szCs w:val="18"/>
          </w:rPr>
          <w:t>https://eupatentsmatter.com/unitary-patents-brief/</w:t>
        </w:r>
      </w:hyperlink>
    </w:p>
    <w:p w:rsidR="00FE35BC" w:rsidRPr="00C172F4" w:rsidRDefault="00C172F4" w:rsidP="00C172F4">
      <w:pPr>
        <w:pStyle w:val="Heading1"/>
        <w:spacing w:after="120"/>
        <w:rPr>
          <w:color w:val="00558C"/>
          <w:lang w:val="en-GB"/>
        </w:rPr>
      </w:pPr>
      <w:r w:rsidRPr="00C172F4">
        <w:rPr>
          <w:color w:val="00558C"/>
          <w:lang w:val="en-GB"/>
        </w:rPr>
        <w:t>Examination of the validity of a patent</w:t>
      </w:r>
    </w:p>
    <w:p w:rsidR="00C172F4" w:rsidRPr="00C172F4" w:rsidRDefault="00C172F4" w:rsidP="00C172F4">
      <w:pPr>
        <w:spacing w:after="120" w:line="276" w:lineRule="auto"/>
        <w:jc w:val="both"/>
        <w:rPr>
          <w:rFonts w:ascii="Calibri" w:hAnsi="Calibri"/>
          <w:b/>
          <w:color w:val="1F497D" w:themeColor="text2"/>
          <w:lang w:val="en-US"/>
        </w:rPr>
      </w:pPr>
      <w:r w:rsidRPr="00C172F4">
        <w:rPr>
          <w:rFonts w:ascii="Calibri" w:hAnsi="Calibri"/>
          <w:b/>
          <w:color w:val="1F497D" w:themeColor="text2"/>
          <w:lang w:val="en-US"/>
        </w:rPr>
        <w:t>Step 1: Is it an invention?</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In order to be qualified as an invention, it needs to be a technical solution for a technical problem.</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 xml:space="preserve">Nevertheless, there are some technical solutions which are qualified as inventions (because they are solving a technical problem) but still not patentable because they are explicitly excluded from patentability. </w:t>
      </w:r>
    </w:p>
    <w:p w:rsidR="00C172F4" w:rsidRPr="00C172F4" w:rsidRDefault="00C172F4" w:rsidP="00C172F4">
      <w:pPr>
        <w:spacing w:after="120" w:line="276" w:lineRule="auto"/>
        <w:jc w:val="both"/>
        <w:rPr>
          <w:rFonts w:ascii="Calibri" w:hAnsi="Calibri"/>
          <w:b/>
          <w:color w:val="1F497D" w:themeColor="text2"/>
          <w:lang w:val="en-US"/>
        </w:rPr>
      </w:pPr>
      <w:r w:rsidRPr="00C172F4">
        <w:rPr>
          <w:rFonts w:ascii="Calibri" w:hAnsi="Calibri"/>
          <w:b/>
          <w:color w:val="1F497D" w:themeColor="text2"/>
          <w:lang w:val="en-US"/>
        </w:rPr>
        <w:t>Step 2: Fulfillment of the patentability requirements?</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There are three substantive requirements: the invention needs to be novel, have an inventive step and be industrial applicable.</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 xml:space="preserve">Finally, there is one procedural requirement, namely the invention needs enabling disclosure to the public. </w:t>
      </w:r>
    </w:p>
    <w:p w:rsidR="005745C4" w:rsidRPr="00FC4162" w:rsidRDefault="00C172F4" w:rsidP="009826EE">
      <w:pPr>
        <w:pStyle w:val="Heading1"/>
        <w:spacing w:after="120"/>
        <w:rPr>
          <w:color w:val="00558C"/>
        </w:rPr>
      </w:pPr>
      <w:r>
        <w:rPr>
          <w:color w:val="00558C"/>
        </w:rPr>
        <w:t>Granting procedures: application and examination</w:t>
      </w:r>
    </w:p>
    <w:p w:rsidR="00C172F4" w:rsidRPr="00C172F4" w:rsidRDefault="00C172F4" w:rsidP="00C172F4">
      <w:pPr>
        <w:pStyle w:val="BodyText"/>
        <w:rPr>
          <w:rFonts w:asciiTheme="minorHAnsi" w:hAnsiTheme="minorHAnsi" w:cstheme="minorHAnsi"/>
          <w:sz w:val="22"/>
          <w:szCs w:val="22"/>
          <w:lang w:val="en-GB"/>
        </w:rPr>
      </w:pPr>
      <w:r w:rsidRPr="00C172F4">
        <w:rPr>
          <w:rFonts w:asciiTheme="minorHAnsi" w:hAnsiTheme="minorHAnsi" w:cstheme="minorHAnsi"/>
          <w:sz w:val="22"/>
          <w:szCs w:val="22"/>
          <w:lang w:val="en-GB"/>
        </w:rPr>
        <w:t>The granting procedure consists in an application and examination stage. The procedural steps depend on the chosen route:</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National granting procedure</w:t>
      </w:r>
    </w:p>
    <w:p w:rsidR="00C172F4" w:rsidRDefault="00C172F4" w:rsidP="00C172F4">
      <w:pPr>
        <w:pStyle w:val="ListParagraph"/>
        <w:spacing w:after="120"/>
        <w:ind w:left="709"/>
        <w:jc w:val="both"/>
        <w:rPr>
          <w:rFonts w:ascii="Calibri" w:hAnsi="Calibri"/>
          <w:lang w:val="en-US"/>
        </w:rPr>
      </w:pPr>
      <w:r>
        <w:rPr>
          <w:rFonts w:ascii="Calibri" w:hAnsi="Calibri"/>
          <w:lang w:val="en-US"/>
        </w:rPr>
        <w:t>The patent application is governed by national patent legislation and is filed with the national patent office.</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European granting procedure</w:t>
      </w:r>
    </w:p>
    <w:p w:rsidR="00C172F4" w:rsidRDefault="00C172F4" w:rsidP="00C172F4">
      <w:pPr>
        <w:pStyle w:val="ListParagraph"/>
        <w:spacing w:after="120"/>
        <w:ind w:left="709"/>
        <w:jc w:val="both"/>
        <w:rPr>
          <w:rFonts w:ascii="Calibri" w:hAnsi="Calibri"/>
          <w:lang w:val="en-US"/>
        </w:rPr>
      </w:pPr>
      <w:r>
        <w:rPr>
          <w:rFonts w:ascii="Calibri" w:hAnsi="Calibri"/>
          <w:lang w:val="en-US"/>
        </w:rPr>
        <w:t xml:space="preserve">The patent application is governed by the EPC and is characterized by one single application and examination procedure. </w:t>
      </w:r>
    </w:p>
    <w:p w:rsidR="00C172F4" w:rsidRDefault="00C172F4" w:rsidP="00C172F4">
      <w:pPr>
        <w:pStyle w:val="ListParagraph"/>
        <w:spacing w:after="120"/>
        <w:ind w:left="709"/>
        <w:jc w:val="both"/>
        <w:rPr>
          <w:rFonts w:ascii="Calibri" w:hAnsi="Calibri"/>
          <w:lang w:val="en-US"/>
        </w:rPr>
      </w:pPr>
      <w:r>
        <w:rPr>
          <w:rFonts w:ascii="Calibri" w:hAnsi="Calibri"/>
          <w:lang w:val="en-US"/>
        </w:rPr>
        <w:t>There are two main stages:</w:t>
      </w:r>
    </w:p>
    <w:p w:rsidR="00C172F4" w:rsidRDefault="00C172F4" w:rsidP="00C172F4">
      <w:pPr>
        <w:pStyle w:val="ListParagraph"/>
        <w:numPr>
          <w:ilvl w:val="0"/>
          <w:numId w:val="30"/>
        </w:numPr>
        <w:spacing w:line="276" w:lineRule="auto"/>
        <w:ind w:left="1134" w:hanging="425"/>
        <w:contextualSpacing/>
        <w:jc w:val="both"/>
        <w:rPr>
          <w:rFonts w:ascii="Calibri" w:hAnsi="Calibri"/>
          <w:lang w:val="en-US"/>
        </w:rPr>
      </w:pPr>
      <w:r>
        <w:rPr>
          <w:rFonts w:ascii="Calibri" w:hAnsi="Calibri"/>
          <w:lang w:val="en-US"/>
        </w:rPr>
        <w:t xml:space="preserve">Examination of the formalities which is limited to a novelty search. </w:t>
      </w:r>
    </w:p>
    <w:p w:rsidR="00C172F4" w:rsidRDefault="00C172F4" w:rsidP="00C172F4">
      <w:pPr>
        <w:pStyle w:val="ListParagraph"/>
        <w:spacing w:line="276" w:lineRule="auto"/>
        <w:ind w:left="1134"/>
        <w:jc w:val="both"/>
        <w:rPr>
          <w:rFonts w:ascii="Calibri" w:hAnsi="Calibri"/>
          <w:lang w:val="en-US"/>
        </w:rPr>
      </w:pPr>
      <w:r>
        <w:rPr>
          <w:rFonts w:ascii="Calibri" w:hAnsi="Calibri"/>
          <w:lang w:val="en-US"/>
        </w:rPr>
        <w:lastRenderedPageBreak/>
        <w:t>Result? A patent as filed in its unexamined form</w:t>
      </w:r>
    </w:p>
    <w:p w:rsidR="00C172F4" w:rsidRDefault="00C172F4" w:rsidP="00C172F4">
      <w:pPr>
        <w:pStyle w:val="ListParagraph"/>
        <w:numPr>
          <w:ilvl w:val="0"/>
          <w:numId w:val="30"/>
        </w:numPr>
        <w:spacing w:line="276" w:lineRule="auto"/>
        <w:ind w:left="1134" w:hanging="425"/>
        <w:contextualSpacing/>
        <w:jc w:val="both"/>
        <w:rPr>
          <w:rFonts w:ascii="Calibri" w:hAnsi="Calibri"/>
          <w:lang w:val="en-US"/>
        </w:rPr>
      </w:pPr>
      <w:r>
        <w:rPr>
          <w:rFonts w:ascii="Calibri" w:hAnsi="Calibri"/>
          <w:lang w:val="en-US"/>
        </w:rPr>
        <w:t>Substantive examination resulting in</w:t>
      </w:r>
    </w:p>
    <w:p w:rsidR="00C172F4" w:rsidRDefault="00C172F4" w:rsidP="00C172F4">
      <w:pPr>
        <w:pStyle w:val="ListParagraph"/>
        <w:spacing w:after="120" w:line="276" w:lineRule="auto"/>
        <w:ind w:left="1134"/>
        <w:jc w:val="both"/>
        <w:rPr>
          <w:rFonts w:ascii="Calibri" w:hAnsi="Calibri"/>
          <w:lang w:val="en-US"/>
        </w:rPr>
      </w:pPr>
      <w:r>
        <w:rPr>
          <w:rFonts w:ascii="Calibri" w:hAnsi="Calibri"/>
          <w:lang w:val="en-US"/>
        </w:rPr>
        <w:t xml:space="preserve">Result? A patent as filed after examination </w:t>
      </w:r>
    </w:p>
    <w:p w:rsidR="00C172F4" w:rsidRPr="003C6178" w:rsidRDefault="00C172F4" w:rsidP="00C172F4">
      <w:pPr>
        <w:spacing w:line="276" w:lineRule="auto"/>
        <w:jc w:val="both"/>
        <w:rPr>
          <w:rFonts w:ascii="Calibri" w:hAnsi="Calibri"/>
          <w:lang w:val="en-US"/>
        </w:rPr>
      </w:pPr>
      <w:r>
        <w:rPr>
          <w:rFonts w:ascii="Calibri" w:hAnsi="Calibri"/>
          <w:lang w:val="en-US"/>
        </w:rPr>
        <w:tab/>
        <w:t>The examination procedure shall result in:</w:t>
      </w:r>
    </w:p>
    <w:p w:rsidR="00C172F4" w:rsidRDefault="00C172F4" w:rsidP="00C172F4">
      <w:pPr>
        <w:pStyle w:val="ListParagraph"/>
        <w:numPr>
          <w:ilvl w:val="1"/>
          <w:numId w:val="30"/>
        </w:numPr>
        <w:spacing w:line="276" w:lineRule="auto"/>
        <w:ind w:left="1134" w:hanging="425"/>
        <w:contextualSpacing/>
        <w:jc w:val="both"/>
        <w:rPr>
          <w:rFonts w:ascii="Calibri" w:hAnsi="Calibri"/>
          <w:lang w:val="en-US"/>
        </w:rPr>
      </w:pPr>
      <w:r>
        <w:rPr>
          <w:rFonts w:ascii="Calibri" w:hAnsi="Calibri"/>
          <w:lang w:val="en-US"/>
        </w:rPr>
        <w:t>Grant of the patent</w:t>
      </w:r>
    </w:p>
    <w:p w:rsidR="00C172F4" w:rsidRDefault="00C172F4" w:rsidP="00C172F4">
      <w:pPr>
        <w:pStyle w:val="ListParagraph"/>
        <w:numPr>
          <w:ilvl w:val="1"/>
          <w:numId w:val="30"/>
        </w:numPr>
        <w:spacing w:line="276" w:lineRule="auto"/>
        <w:ind w:left="1134" w:hanging="425"/>
        <w:contextualSpacing/>
        <w:jc w:val="both"/>
        <w:rPr>
          <w:rFonts w:ascii="Calibri" w:hAnsi="Calibri"/>
          <w:lang w:val="en-US"/>
        </w:rPr>
      </w:pPr>
      <w:r>
        <w:rPr>
          <w:rFonts w:ascii="Calibri" w:hAnsi="Calibri"/>
          <w:lang w:val="en-US"/>
        </w:rPr>
        <w:t>Grant of a patent but scope limitation</w:t>
      </w:r>
    </w:p>
    <w:p w:rsidR="00C172F4" w:rsidRDefault="00C172F4" w:rsidP="00C172F4">
      <w:pPr>
        <w:pStyle w:val="ListParagraph"/>
        <w:numPr>
          <w:ilvl w:val="1"/>
          <w:numId w:val="30"/>
        </w:numPr>
        <w:spacing w:after="120" w:line="276" w:lineRule="auto"/>
        <w:ind w:left="1134" w:hanging="425"/>
        <w:jc w:val="both"/>
        <w:rPr>
          <w:rFonts w:ascii="Calibri" w:hAnsi="Calibri"/>
          <w:lang w:val="en-US"/>
        </w:rPr>
      </w:pPr>
      <w:r>
        <w:rPr>
          <w:rFonts w:ascii="Calibri" w:hAnsi="Calibri"/>
          <w:lang w:val="en-US"/>
        </w:rPr>
        <w:t>Refusal of the patent</w:t>
      </w:r>
    </w:p>
    <w:p w:rsidR="00C172F4" w:rsidRPr="00C172F4" w:rsidRDefault="00C172F4" w:rsidP="00C172F4">
      <w:pPr>
        <w:pStyle w:val="ListParagraph"/>
        <w:numPr>
          <w:ilvl w:val="0"/>
          <w:numId w:val="29"/>
        </w:numPr>
        <w:spacing w:line="276" w:lineRule="auto"/>
        <w:contextualSpacing/>
        <w:jc w:val="both"/>
        <w:rPr>
          <w:rFonts w:ascii="Calibri" w:hAnsi="Calibri"/>
          <w:color w:val="1F497D" w:themeColor="text2"/>
          <w:lang w:val="en-US"/>
        </w:rPr>
      </w:pPr>
      <w:r w:rsidRPr="00C172F4">
        <w:rPr>
          <w:rFonts w:ascii="Calibri" w:hAnsi="Calibri"/>
          <w:color w:val="1F497D" w:themeColor="text2"/>
          <w:lang w:val="en-US"/>
        </w:rPr>
        <w:t xml:space="preserve">International granting procedure </w:t>
      </w:r>
    </w:p>
    <w:p w:rsidR="00C172F4" w:rsidRDefault="00C172F4" w:rsidP="00C172F4">
      <w:pPr>
        <w:pStyle w:val="ListParagraph"/>
        <w:spacing w:after="120"/>
        <w:jc w:val="both"/>
        <w:rPr>
          <w:rFonts w:ascii="Calibri" w:hAnsi="Calibri"/>
          <w:lang w:val="en-US"/>
        </w:rPr>
      </w:pPr>
      <w:r>
        <w:rPr>
          <w:rFonts w:ascii="Calibri" w:hAnsi="Calibri"/>
          <w:lang w:val="en-US"/>
        </w:rPr>
        <w:t xml:space="preserve">A common way of pursuing patent rights outside the home country is to file an international-type patent application, also called the PCT- application. </w:t>
      </w:r>
    </w:p>
    <w:p w:rsidR="00C172F4" w:rsidRDefault="00C172F4" w:rsidP="00C172F4">
      <w:pPr>
        <w:pStyle w:val="ListParagraph"/>
        <w:spacing w:after="120"/>
        <w:jc w:val="both"/>
        <w:rPr>
          <w:rFonts w:ascii="Calibri" w:hAnsi="Calibri"/>
          <w:lang w:val="en-US"/>
        </w:rPr>
      </w:pPr>
      <w:r>
        <w:rPr>
          <w:rFonts w:ascii="Calibri" w:hAnsi="Calibri"/>
          <w:lang w:val="en-US"/>
        </w:rPr>
        <w:t>To pursue international patent protection, the candidate patent holder needs to file a priority patent application in his or her home country. The international patent application does not automatically lead to global patent protection but the patent holder needs to apply for patents in each of the countries and regions where patent protection is sought.</w:t>
      </w:r>
      <w:r w:rsidRPr="00CC720F">
        <w:rPr>
          <w:rFonts w:ascii="Calibri" w:hAnsi="Calibri"/>
          <w:lang w:val="en-US"/>
        </w:rPr>
        <w:t xml:space="preserve"> </w:t>
      </w:r>
      <w:r>
        <w:rPr>
          <w:rFonts w:ascii="Calibri" w:hAnsi="Calibri"/>
          <w:lang w:val="en-US"/>
        </w:rPr>
        <w:t>Hence, t</w:t>
      </w:r>
      <w:r w:rsidRPr="00CC720F">
        <w:rPr>
          <w:rFonts w:ascii="Calibri" w:hAnsi="Calibri"/>
          <w:lang w:val="en-US"/>
        </w:rPr>
        <w:t>here is only one application which launches the procedure in these national courts. The final decision is national.</w:t>
      </w:r>
    </w:p>
    <w:p w:rsidR="00C172F4" w:rsidRDefault="00C172F4" w:rsidP="00C172F4">
      <w:pPr>
        <w:pStyle w:val="ListParagraph"/>
        <w:spacing w:after="120"/>
        <w:jc w:val="both"/>
        <w:rPr>
          <w:rFonts w:ascii="Calibri" w:hAnsi="Calibri"/>
          <w:lang w:val="en-US"/>
        </w:rPr>
      </w:pPr>
      <w:r>
        <w:rPr>
          <w:rFonts w:ascii="Calibri" w:hAnsi="Calibri"/>
          <w:lang w:val="en-US"/>
        </w:rPr>
        <w:t>After the international stage, the candidate patent holder has the choice:</w:t>
      </w:r>
    </w:p>
    <w:p w:rsidR="00C172F4" w:rsidRDefault="00C172F4" w:rsidP="004C1837">
      <w:pPr>
        <w:pStyle w:val="ListParagraph"/>
        <w:numPr>
          <w:ilvl w:val="0"/>
          <w:numId w:val="30"/>
        </w:numPr>
        <w:spacing w:after="120"/>
        <w:ind w:left="1134" w:hanging="425"/>
        <w:jc w:val="both"/>
        <w:rPr>
          <w:rFonts w:ascii="Calibri" w:hAnsi="Calibri"/>
          <w:lang w:val="en-US"/>
        </w:rPr>
      </w:pPr>
      <w:proofErr w:type="gramStart"/>
      <w:r>
        <w:rPr>
          <w:rFonts w:ascii="Calibri" w:hAnsi="Calibri"/>
          <w:lang w:val="en-US"/>
        </w:rPr>
        <w:t>either</w:t>
      </w:r>
      <w:proofErr w:type="gramEnd"/>
      <w:r>
        <w:rPr>
          <w:rFonts w:ascii="Calibri" w:hAnsi="Calibri"/>
          <w:lang w:val="en-US"/>
        </w:rPr>
        <w:t xml:space="preserve"> he chooses the old-fashioned PCT - application route which follows the national procedure. This is the case when he wants to obtain patent protection in a few countries.</w:t>
      </w:r>
      <w:r w:rsidRPr="005E7075">
        <w:rPr>
          <w:rFonts w:ascii="Calibri" w:hAnsi="Calibri"/>
          <w:lang w:val="en-US"/>
        </w:rPr>
        <w:t xml:space="preserve"> </w:t>
      </w:r>
      <w:r>
        <w:rPr>
          <w:rFonts w:ascii="Calibri" w:hAnsi="Calibri"/>
          <w:lang w:val="en-US"/>
        </w:rPr>
        <w:t xml:space="preserve">The candidate patent holder </w:t>
      </w:r>
      <w:r w:rsidRPr="00CC720F">
        <w:rPr>
          <w:rFonts w:ascii="Calibri" w:hAnsi="Calibri"/>
          <w:lang w:val="en-US"/>
        </w:rPr>
        <w:t>push</w:t>
      </w:r>
      <w:r>
        <w:rPr>
          <w:rFonts w:ascii="Calibri" w:hAnsi="Calibri"/>
          <w:lang w:val="en-US"/>
        </w:rPr>
        <w:t>es</w:t>
      </w:r>
      <w:r w:rsidRPr="00CC720F">
        <w:rPr>
          <w:rFonts w:ascii="Calibri" w:hAnsi="Calibri"/>
          <w:lang w:val="en-US"/>
        </w:rPr>
        <w:t xml:space="preserve"> an international button and knock</w:t>
      </w:r>
      <w:r>
        <w:rPr>
          <w:rFonts w:ascii="Calibri" w:hAnsi="Calibri"/>
          <w:lang w:val="en-US"/>
        </w:rPr>
        <w:t>s</w:t>
      </w:r>
      <w:r w:rsidRPr="00CC720F">
        <w:rPr>
          <w:rFonts w:ascii="Calibri" w:hAnsi="Calibri"/>
          <w:lang w:val="en-US"/>
        </w:rPr>
        <w:t xml:space="preserve"> on the door of the PCT which then starts t</w:t>
      </w:r>
      <w:r w:rsidR="004C1837">
        <w:rPr>
          <w:rFonts w:ascii="Calibri" w:hAnsi="Calibri"/>
          <w:lang w:val="en-US"/>
        </w:rPr>
        <w:t>he procedure at national level.</w:t>
      </w:r>
    </w:p>
    <w:p w:rsidR="00C172F4" w:rsidRDefault="00C172F4" w:rsidP="004C1837">
      <w:pPr>
        <w:pStyle w:val="ListParagraph"/>
        <w:numPr>
          <w:ilvl w:val="0"/>
          <w:numId w:val="30"/>
        </w:numPr>
        <w:spacing w:after="120"/>
        <w:ind w:left="1134" w:hanging="425"/>
        <w:jc w:val="both"/>
        <w:rPr>
          <w:rFonts w:ascii="Calibri" w:hAnsi="Calibri"/>
          <w:lang w:val="en-US"/>
        </w:rPr>
      </w:pPr>
      <w:r>
        <w:rPr>
          <w:rFonts w:ascii="Calibri" w:hAnsi="Calibri"/>
          <w:lang w:val="en-US"/>
        </w:rPr>
        <w:t xml:space="preserve">- </w:t>
      </w:r>
      <w:proofErr w:type="gramStart"/>
      <w:r>
        <w:rPr>
          <w:rFonts w:ascii="Calibri" w:hAnsi="Calibri"/>
          <w:lang w:val="en-US"/>
        </w:rPr>
        <w:t>either</w:t>
      </w:r>
      <w:proofErr w:type="gramEnd"/>
      <w:r>
        <w:rPr>
          <w:rFonts w:ascii="Calibri" w:hAnsi="Calibri"/>
          <w:lang w:val="en-US"/>
        </w:rPr>
        <w:t xml:space="preserve"> he chooses the Euro-PCT route which involves an additional step known as the European validation. To pursue patent protection in Europe, the patent holder needs to file a single European patent application with the European Patent Office (EPO). In that case, the patent application generally follows the examination and granting procedure according the EPC. </w:t>
      </w:r>
    </w:p>
    <w:p w:rsidR="00FE35BC" w:rsidRPr="00FC4162" w:rsidRDefault="004D5221" w:rsidP="009826EE">
      <w:pPr>
        <w:pStyle w:val="Heading1"/>
        <w:spacing w:after="120"/>
        <w:rPr>
          <w:color w:val="00558C"/>
          <w:lang w:val="en-GB"/>
        </w:rPr>
      </w:pPr>
      <w:r w:rsidRPr="00FC4162">
        <w:rPr>
          <w:color w:val="00558C"/>
          <w:lang w:val="en-GB"/>
        </w:rPr>
        <w:t>Action requested</w:t>
      </w:r>
    </w:p>
    <w:p w:rsidR="00FE35BC" w:rsidRPr="00E34451" w:rsidRDefault="005745C4" w:rsidP="00A446C9">
      <w:pPr>
        <w:pStyle w:val="BodyText"/>
        <w:rPr>
          <w:rFonts w:ascii="Calibri" w:hAnsi="Calibri" w:cs="Calibri"/>
          <w:sz w:val="22"/>
          <w:szCs w:val="22"/>
          <w:lang w:val="en-GB"/>
        </w:rPr>
      </w:pPr>
      <w:r>
        <w:rPr>
          <w:rFonts w:asciiTheme="minorHAnsi" w:hAnsiTheme="minorHAnsi" w:cstheme="minorHAnsi"/>
          <w:sz w:val="22"/>
          <w:szCs w:val="22"/>
          <w:lang w:val="en-GB" w:eastAsia="de-DE"/>
        </w:rPr>
        <w:t xml:space="preserve">The LAP is invited to take </w:t>
      </w:r>
      <w:r w:rsidRPr="009826EE">
        <w:rPr>
          <w:rFonts w:asciiTheme="minorHAnsi" w:hAnsiTheme="minorHAnsi" w:cstheme="minorHAnsi"/>
          <w:b/>
          <w:sz w:val="22"/>
          <w:szCs w:val="22"/>
          <w:lang w:val="en-GB" w:eastAsia="de-DE"/>
        </w:rPr>
        <w:t>note</w:t>
      </w:r>
      <w:r w:rsidR="004C1837">
        <w:rPr>
          <w:rFonts w:asciiTheme="minorHAnsi" w:hAnsiTheme="minorHAnsi" w:cstheme="minorHAnsi"/>
          <w:sz w:val="22"/>
          <w:szCs w:val="22"/>
          <w:lang w:val="en-GB" w:eastAsia="de-DE"/>
        </w:rPr>
        <w:t xml:space="preserve"> of this</w:t>
      </w:r>
      <w:r>
        <w:rPr>
          <w:rFonts w:asciiTheme="minorHAnsi" w:hAnsiTheme="minorHAnsi" w:cstheme="minorHAnsi"/>
          <w:sz w:val="22"/>
          <w:szCs w:val="22"/>
          <w:lang w:val="en-GB" w:eastAsia="de-DE"/>
        </w:rPr>
        <w:t xml:space="preserve"> </w:t>
      </w:r>
      <w:r w:rsidR="004C1837">
        <w:rPr>
          <w:rFonts w:asciiTheme="minorHAnsi" w:hAnsiTheme="minorHAnsi" w:cstheme="minorHAnsi"/>
          <w:sz w:val="22"/>
          <w:szCs w:val="22"/>
          <w:lang w:val="en-GB" w:eastAsia="de-DE"/>
        </w:rPr>
        <w:t>information</w:t>
      </w:r>
      <w:r w:rsidR="004D5221" w:rsidRPr="00832FD7">
        <w:rPr>
          <w:rFonts w:asciiTheme="minorHAnsi" w:hAnsiTheme="minorHAnsi" w:cstheme="minorHAnsi"/>
          <w:sz w:val="22"/>
          <w:szCs w:val="22"/>
          <w:lang w:val="en-GB" w:eastAsia="de-DE"/>
        </w:rPr>
        <w:t>.</w:t>
      </w:r>
    </w:p>
    <w:sectPr w:rsidR="00FE35BC" w:rsidRPr="00E34451" w:rsidSect="00A27AE7">
      <w:headerReference w:type="default" r:id="rId12"/>
      <w:footerReference w:type="default" r:id="rId13"/>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ACD" w:rsidRDefault="00016ACD" w:rsidP="00362CD9">
      <w:r>
        <w:separator/>
      </w:r>
    </w:p>
  </w:endnote>
  <w:endnote w:type="continuationSeparator" w:id="0">
    <w:p w:rsidR="00016ACD" w:rsidRDefault="00016AC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5BC" w:rsidRPr="00036B9E" w:rsidRDefault="00FE35BC">
    <w:pPr>
      <w:pStyle w:val="Footer"/>
      <w:rPr>
        <w:rFonts w:ascii="Calibri" w:hAnsi="Calibri" w:cs="Calibri"/>
      </w:rPr>
    </w:pPr>
    <w:r w:rsidRPr="00036B9E">
      <w:rPr>
        <w:rFonts w:ascii="Calibri" w:hAnsi="Calibri" w:cs="Calibri"/>
      </w:rPr>
      <w:tab/>
    </w:r>
    <w:r w:rsidRPr="00036B9E">
      <w:rPr>
        <w:rFonts w:ascii="Calibri" w:hAnsi="Calibri" w:cs="Calibri"/>
      </w:rPr>
      <w:fldChar w:fldCharType="begin"/>
    </w:r>
    <w:r w:rsidRPr="00036B9E">
      <w:rPr>
        <w:rFonts w:ascii="Calibri" w:hAnsi="Calibri" w:cs="Calibri"/>
      </w:rPr>
      <w:instrText xml:space="preserve"> PAGE   \* MERGEFORMAT </w:instrText>
    </w:r>
    <w:r w:rsidRPr="00036B9E">
      <w:rPr>
        <w:rFonts w:ascii="Calibri" w:hAnsi="Calibri" w:cs="Calibri"/>
      </w:rPr>
      <w:fldChar w:fldCharType="separate"/>
    </w:r>
    <w:r w:rsidR="00466616">
      <w:rPr>
        <w:rFonts w:ascii="Calibri" w:hAnsi="Calibri" w:cs="Calibri"/>
        <w:noProof/>
      </w:rPr>
      <w:t>3</w:t>
    </w:r>
    <w:r w:rsidRPr="00036B9E">
      <w:rPr>
        <w:rFonts w:ascii="Calibri" w:hAnsi="Calibri"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ACD" w:rsidRDefault="00016ACD" w:rsidP="00362CD9">
      <w:r>
        <w:separator/>
      </w:r>
    </w:p>
  </w:footnote>
  <w:footnote w:type="continuationSeparator" w:id="0">
    <w:p w:rsidR="00016ACD" w:rsidRDefault="00016ACD"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162" w:rsidRDefault="00FC4162" w:rsidP="007A395D">
    <w:pPr>
      <w:pStyle w:val="Header"/>
      <w:jc w:val="right"/>
    </w:pPr>
    <w:r>
      <w:rPr>
        <w:noProof/>
        <w:lang w:val="nl-NL" w:eastAsia="nl-NL"/>
      </w:rPr>
      <w:drawing>
        <wp:anchor distT="0" distB="0" distL="114300" distR="114300" simplePos="0" relativeHeight="251659776" behindDoc="0" locked="0" layoutInCell="1" allowOverlap="1" wp14:anchorId="56FA1FC3" wp14:editId="54A16051">
          <wp:simplePos x="0" y="0"/>
          <wp:positionH relativeFrom="column">
            <wp:posOffset>6120130</wp:posOffset>
          </wp:positionH>
          <wp:positionV relativeFrom="paragraph">
            <wp:posOffset>-192405</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pic:spPr>
              </pic:pic>
            </a:graphicData>
          </a:graphic>
          <wp14:sizeRelH relativeFrom="page">
            <wp14:pctWidth>0</wp14:pctWidth>
          </wp14:sizeRelH>
          <wp14:sizeRelV relativeFrom="page">
            <wp14:pctHeight>0</wp14:pctHeight>
          </wp14:sizeRelV>
        </wp:anchor>
      </w:drawing>
    </w:r>
  </w:p>
  <w:p w:rsidR="00FE35BC" w:rsidRDefault="000C4D4B" w:rsidP="007A395D">
    <w:pPr>
      <w:pStyle w:val="Header"/>
      <w:jc w:val="right"/>
      <w:rPr>
        <w:rFonts w:asciiTheme="minorHAnsi" w:hAnsiTheme="minorHAnsi" w:cstheme="minorHAnsi"/>
      </w:rPr>
    </w:pPr>
    <w:r>
      <w:rPr>
        <w:rFonts w:asciiTheme="minorHAnsi" w:hAnsiTheme="minorHAnsi" w:cstheme="minorHAnsi"/>
      </w:rPr>
      <w:t>LAP18-9</w:t>
    </w:r>
    <w:r w:rsidR="005745C4">
      <w:rPr>
        <w:rFonts w:asciiTheme="minorHAnsi" w:hAnsiTheme="minorHAnsi" w:cstheme="minorHAnsi"/>
      </w:rPr>
      <w:t>.1</w:t>
    </w:r>
  </w:p>
  <w:p w:rsidR="00FC4162" w:rsidRPr="00FC4162" w:rsidRDefault="00FC4162" w:rsidP="007A395D">
    <w:pPr>
      <w:pStyle w:val="Header"/>
      <w:jc w:val="right"/>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83F1BC4"/>
    <w:multiLevelType w:val="hybridMultilevel"/>
    <w:tmpl w:val="DF660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FB3291"/>
    <w:multiLevelType w:val="hybridMultilevel"/>
    <w:tmpl w:val="F0708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D315525"/>
    <w:multiLevelType w:val="hybridMultilevel"/>
    <w:tmpl w:val="7F569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BF23678"/>
    <w:multiLevelType w:val="hybridMultilevel"/>
    <w:tmpl w:val="A41EA3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2BB1825"/>
    <w:multiLevelType w:val="hybridMultilevel"/>
    <w:tmpl w:val="451467EE"/>
    <w:lvl w:ilvl="0" w:tplc="E5A234E4">
      <w:start w:val="1"/>
      <w:numFmt w:val="bullet"/>
      <w:lvlText w:val=""/>
      <w:lvlJc w:val="left"/>
      <w:pPr>
        <w:ind w:left="2148" w:hanging="360"/>
      </w:pPr>
      <w:rPr>
        <w:rFonts w:ascii="Symbol" w:hAnsi="Symbol" w:hint="default"/>
      </w:rPr>
    </w:lvl>
    <w:lvl w:ilvl="1" w:tplc="08130003">
      <w:start w:val="1"/>
      <w:numFmt w:val="bullet"/>
      <w:lvlText w:val="o"/>
      <w:lvlJc w:val="left"/>
      <w:pPr>
        <w:ind w:left="2868" w:hanging="360"/>
      </w:pPr>
      <w:rPr>
        <w:rFonts w:ascii="Courier New" w:hAnsi="Courier New" w:cs="Courier New" w:hint="default"/>
      </w:rPr>
    </w:lvl>
    <w:lvl w:ilvl="2" w:tplc="08130005" w:tentative="1">
      <w:start w:val="1"/>
      <w:numFmt w:val="bullet"/>
      <w:lvlText w:val=""/>
      <w:lvlJc w:val="left"/>
      <w:pPr>
        <w:ind w:left="3588" w:hanging="360"/>
      </w:pPr>
      <w:rPr>
        <w:rFonts w:ascii="Wingdings" w:hAnsi="Wingdings" w:hint="default"/>
      </w:rPr>
    </w:lvl>
    <w:lvl w:ilvl="3" w:tplc="08130001" w:tentative="1">
      <w:start w:val="1"/>
      <w:numFmt w:val="bullet"/>
      <w:lvlText w:val=""/>
      <w:lvlJc w:val="left"/>
      <w:pPr>
        <w:ind w:left="4308" w:hanging="360"/>
      </w:pPr>
      <w:rPr>
        <w:rFonts w:ascii="Symbol" w:hAnsi="Symbol" w:hint="default"/>
      </w:rPr>
    </w:lvl>
    <w:lvl w:ilvl="4" w:tplc="08130003" w:tentative="1">
      <w:start w:val="1"/>
      <w:numFmt w:val="bullet"/>
      <w:lvlText w:val="o"/>
      <w:lvlJc w:val="left"/>
      <w:pPr>
        <w:ind w:left="5028" w:hanging="360"/>
      </w:pPr>
      <w:rPr>
        <w:rFonts w:ascii="Courier New" w:hAnsi="Courier New" w:cs="Courier New" w:hint="default"/>
      </w:rPr>
    </w:lvl>
    <w:lvl w:ilvl="5" w:tplc="08130005" w:tentative="1">
      <w:start w:val="1"/>
      <w:numFmt w:val="bullet"/>
      <w:lvlText w:val=""/>
      <w:lvlJc w:val="left"/>
      <w:pPr>
        <w:ind w:left="5748" w:hanging="360"/>
      </w:pPr>
      <w:rPr>
        <w:rFonts w:ascii="Wingdings" w:hAnsi="Wingdings" w:hint="default"/>
      </w:rPr>
    </w:lvl>
    <w:lvl w:ilvl="6" w:tplc="08130001" w:tentative="1">
      <w:start w:val="1"/>
      <w:numFmt w:val="bullet"/>
      <w:lvlText w:val=""/>
      <w:lvlJc w:val="left"/>
      <w:pPr>
        <w:ind w:left="6468" w:hanging="360"/>
      </w:pPr>
      <w:rPr>
        <w:rFonts w:ascii="Symbol" w:hAnsi="Symbol" w:hint="default"/>
      </w:rPr>
    </w:lvl>
    <w:lvl w:ilvl="7" w:tplc="08130003" w:tentative="1">
      <w:start w:val="1"/>
      <w:numFmt w:val="bullet"/>
      <w:lvlText w:val="o"/>
      <w:lvlJc w:val="left"/>
      <w:pPr>
        <w:ind w:left="7188" w:hanging="360"/>
      </w:pPr>
      <w:rPr>
        <w:rFonts w:ascii="Courier New" w:hAnsi="Courier New" w:cs="Courier New" w:hint="default"/>
      </w:rPr>
    </w:lvl>
    <w:lvl w:ilvl="8" w:tplc="08130005" w:tentative="1">
      <w:start w:val="1"/>
      <w:numFmt w:val="bullet"/>
      <w:lvlText w:val=""/>
      <w:lvlJc w:val="left"/>
      <w:pPr>
        <w:ind w:left="7908" w:hanging="360"/>
      </w:pPr>
      <w:rPr>
        <w:rFonts w:ascii="Wingdings" w:hAnsi="Wingdings" w:hint="default"/>
      </w:rPr>
    </w:lvl>
  </w:abstractNum>
  <w:abstractNum w:abstractNumId="9">
    <w:nsid w:val="23216000"/>
    <w:multiLevelType w:val="hybridMultilevel"/>
    <w:tmpl w:val="579C87A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4BD25AC"/>
    <w:multiLevelType w:val="hybridMultilevel"/>
    <w:tmpl w:val="BBFA0146"/>
    <w:lvl w:ilvl="0" w:tplc="BC663F96">
      <w:start w:val="8"/>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33F20AF8"/>
    <w:multiLevelType w:val="hybridMultilevel"/>
    <w:tmpl w:val="18B2D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6F30D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84A07FB"/>
    <w:multiLevelType w:val="hybridMultilevel"/>
    <w:tmpl w:val="74A69810"/>
    <w:lvl w:ilvl="0" w:tplc="D9D2073C">
      <w:start w:val="3"/>
      <w:numFmt w:val="bullet"/>
      <w:lvlText w:val="-"/>
      <w:lvlJc w:val="left"/>
      <w:pPr>
        <w:ind w:left="720" w:hanging="360"/>
      </w:pPr>
      <w:rPr>
        <w:rFonts w:ascii="Times New Roman" w:eastAsiaTheme="minorEastAsia"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C4B67C4"/>
    <w:multiLevelType w:val="hybridMultilevel"/>
    <w:tmpl w:val="1576A95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5F5212C4"/>
    <w:multiLevelType w:val="hybridMultilevel"/>
    <w:tmpl w:val="4936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01C57C8"/>
    <w:multiLevelType w:val="hybridMultilevel"/>
    <w:tmpl w:val="807C7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6"/>
  </w:num>
  <w:num w:numId="2">
    <w:abstractNumId w:val="18"/>
  </w:num>
  <w:num w:numId="3">
    <w:abstractNumId w:val="3"/>
  </w:num>
  <w:num w:numId="4">
    <w:abstractNumId w:val="28"/>
  </w:num>
  <w:num w:numId="5">
    <w:abstractNumId w:val="13"/>
  </w:num>
  <w:num w:numId="6">
    <w:abstractNumId w:val="11"/>
  </w:num>
  <w:num w:numId="7">
    <w:abstractNumId w:val="21"/>
  </w:num>
  <w:num w:numId="8">
    <w:abstractNumId w:val="20"/>
  </w:num>
  <w:num w:numId="9">
    <w:abstractNumId w:val="27"/>
  </w:num>
  <w:num w:numId="10">
    <w:abstractNumId w:val="7"/>
  </w:num>
  <w:num w:numId="11">
    <w:abstractNumId w:val="22"/>
  </w:num>
  <w:num w:numId="12">
    <w:abstractNumId w:val="15"/>
  </w:num>
  <w:num w:numId="13">
    <w:abstractNumId w:val="14"/>
  </w:num>
  <w:num w:numId="14">
    <w:abstractNumId w:val="5"/>
  </w:num>
  <w:num w:numId="15">
    <w:abstractNumId w:val="1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24"/>
  </w:num>
  <w:num w:numId="21">
    <w:abstractNumId w:val="6"/>
  </w:num>
  <w:num w:numId="22">
    <w:abstractNumId w:val="4"/>
  </w:num>
  <w:num w:numId="23">
    <w:abstractNumId w:val="25"/>
  </w:num>
  <w:num w:numId="24">
    <w:abstractNumId w:val="2"/>
  </w:num>
  <w:num w:numId="25">
    <w:abstractNumId w:val="12"/>
  </w:num>
  <w:num w:numId="26">
    <w:abstractNumId w:val="1"/>
  </w:num>
  <w:num w:numId="27">
    <w:abstractNumId w:val="19"/>
  </w:num>
  <w:num w:numId="28">
    <w:abstractNumId w:val="9"/>
  </w:num>
  <w:num w:numId="29">
    <w:abstractNumId w:val="23"/>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displayBackgroundShape/>
  <w:embedSystemFonts/>
  <w:proofState w:spelling="clean" w:grammar="clean"/>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1563D"/>
    <w:rsid w:val="00016ACD"/>
    <w:rsid w:val="00036B9E"/>
    <w:rsid w:val="00037DF4"/>
    <w:rsid w:val="0004700E"/>
    <w:rsid w:val="00070C13"/>
    <w:rsid w:val="000715C9"/>
    <w:rsid w:val="00084F33"/>
    <w:rsid w:val="000A77A7"/>
    <w:rsid w:val="000B1707"/>
    <w:rsid w:val="000B3622"/>
    <w:rsid w:val="000C1B3E"/>
    <w:rsid w:val="000C349E"/>
    <w:rsid w:val="000C4D4B"/>
    <w:rsid w:val="00110AE7"/>
    <w:rsid w:val="00154A76"/>
    <w:rsid w:val="00176CDE"/>
    <w:rsid w:val="00177F4D"/>
    <w:rsid w:val="00180DDA"/>
    <w:rsid w:val="00197F97"/>
    <w:rsid w:val="001B2A2D"/>
    <w:rsid w:val="001B737D"/>
    <w:rsid w:val="001C44A3"/>
    <w:rsid w:val="001C7068"/>
    <w:rsid w:val="001E0E15"/>
    <w:rsid w:val="001F528A"/>
    <w:rsid w:val="001F704E"/>
    <w:rsid w:val="001F7B3E"/>
    <w:rsid w:val="00201722"/>
    <w:rsid w:val="002125B0"/>
    <w:rsid w:val="00221FCB"/>
    <w:rsid w:val="00243228"/>
    <w:rsid w:val="00251483"/>
    <w:rsid w:val="00254641"/>
    <w:rsid w:val="00255CAA"/>
    <w:rsid w:val="00264305"/>
    <w:rsid w:val="002A0346"/>
    <w:rsid w:val="002A4487"/>
    <w:rsid w:val="002B49E9"/>
    <w:rsid w:val="002C5258"/>
    <w:rsid w:val="002C632E"/>
    <w:rsid w:val="002D3E8B"/>
    <w:rsid w:val="002D4575"/>
    <w:rsid w:val="002D5C0C"/>
    <w:rsid w:val="002E03D1"/>
    <w:rsid w:val="002E6B74"/>
    <w:rsid w:val="002E6FCA"/>
    <w:rsid w:val="002F7110"/>
    <w:rsid w:val="0030208E"/>
    <w:rsid w:val="00313D9F"/>
    <w:rsid w:val="00316D84"/>
    <w:rsid w:val="00327038"/>
    <w:rsid w:val="00342EF2"/>
    <w:rsid w:val="00353CF6"/>
    <w:rsid w:val="00356CD0"/>
    <w:rsid w:val="00362CD9"/>
    <w:rsid w:val="003761CA"/>
    <w:rsid w:val="00380DAF"/>
    <w:rsid w:val="003972CE"/>
    <w:rsid w:val="003B28F5"/>
    <w:rsid w:val="003B35A3"/>
    <w:rsid w:val="003B7B7D"/>
    <w:rsid w:val="003C54CB"/>
    <w:rsid w:val="003C7A2A"/>
    <w:rsid w:val="003D2DC1"/>
    <w:rsid w:val="003D69D0"/>
    <w:rsid w:val="003F2918"/>
    <w:rsid w:val="003F430E"/>
    <w:rsid w:val="0041088C"/>
    <w:rsid w:val="00420A38"/>
    <w:rsid w:val="00431B19"/>
    <w:rsid w:val="004661AD"/>
    <w:rsid w:val="00466616"/>
    <w:rsid w:val="004800A2"/>
    <w:rsid w:val="004A6DCB"/>
    <w:rsid w:val="004C1837"/>
    <w:rsid w:val="004C2C12"/>
    <w:rsid w:val="004D1D85"/>
    <w:rsid w:val="004D3C3A"/>
    <w:rsid w:val="004D5030"/>
    <w:rsid w:val="004D5221"/>
    <w:rsid w:val="004E1CD1"/>
    <w:rsid w:val="004E1ED6"/>
    <w:rsid w:val="005107EB"/>
    <w:rsid w:val="00521345"/>
    <w:rsid w:val="00526DF0"/>
    <w:rsid w:val="00545CC4"/>
    <w:rsid w:val="00551FFF"/>
    <w:rsid w:val="005607A2"/>
    <w:rsid w:val="00560B70"/>
    <w:rsid w:val="0057198B"/>
    <w:rsid w:val="00573CFE"/>
    <w:rsid w:val="005745C4"/>
    <w:rsid w:val="005750DB"/>
    <w:rsid w:val="0059191B"/>
    <w:rsid w:val="005969F2"/>
    <w:rsid w:val="00597FAE"/>
    <w:rsid w:val="005B2D78"/>
    <w:rsid w:val="005B32A3"/>
    <w:rsid w:val="005C0D44"/>
    <w:rsid w:val="005C3C18"/>
    <w:rsid w:val="005C566C"/>
    <w:rsid w:val="005C7E69"/>
    <w:rsid w:val="005E262D"/>
    <w:rsid w:val="005F23D3"/>
    <w:rsid w:val="005F3E2D"/>
    <w:rsid w:val="005F7E20"/>
    <w:rsid w:val="00605E43"/>
    <w:rsid w:val="00606A31"/>
    <w:rsid w:val="006153BB"/>
    <w:rsid w:val="006652C3"/>
    <w:rsid w:val="00676F6A"/>
    <w:rsid w:val="00691FD0"/>
    <w:rsid w:val="00692148"/>
    <w:rsid w:val="006A1A1E"/>
    <w:rsid w:val="006C5948"/>
    <w:rsid w:val="006F2A74"/>
    <w:rsid w:val="007118F5"/>
    <w:rsid w:val="00712AA4"/>
    <w:rsid w:val="007146C4"/>
    <w:rsid w:val="00721AA1"/>
    <w:rsid w:val="00724B67"/>
    <w:rsid w:val="00732AED"/>
    <w:rsid w:val="007332DC"/>
    <w:rsid w:val="007547F8"/>
    <w:rsid w:val="00765622"/>
    <w:rsid w:val="00770B6C"/>
    <w:rsid w:val="00783FEA"/>
    <w:rsid w:val="0078663A"/>
    <w:rsid w:val="007A395D"/>
    <w:rsid w:val="007A6E6E"/>
    <w:rsid w:val="007B0218"/>
    <w:rsid w:val="007B4474"/>
    <w:rsid w:val="007B6BD5"/>
    <w:rsid w:val="007C346C"/>
    <w:rsid w:val="007D0309"/>
    <w:rsid w:val="007E6479"/>
    <w:rsid w:val="0080294B"/>
    <w:rsid w:val="00813FEC"/>
    <w:rsid w:val="00820181"/>
    <w:rsid w:val="00822CCC"/>
    <w:rsid w:val="0082480E"/>
    <w:rsid w:val="00832FD7"/>
    <w:rsid w:val="0083607C"/>
    <w:rsid w:val="00850293"/>
    <w:rsid w:val="00851373"/>
    <w:rsid w:val="00851BA6"/>
    <w:rsid w:val="0085654D"/>
    <w:rsid w:val="00861160"/>
    <w:rsid w:val="0086654F"/>
    <w:rsid w:val="0087301C"/>
    <w:rsid w:val="00874C39"/>
    <w:rsid w:val="00880158"/>
    <w:rsid w:val="008A356F"/>
    <w:rsid w:val="008A3D16"/>
    <w:rsid w:val="008A4653"/>
    <w:rsid w:val="008A4717"/>
    <w:rsid w:val="008A50CC"/>
    <w:rsid w:val="008B17D6"/>
    <w:rsid w:val="008D1694"/>
    <w:rsid w:val="008D79CB"/>
    <w:rsid w:val="008E7BE5"/>
    <w:rsid w:val="008F07BC"/>
    <w:rsid w:val="00902CE6"/>
    <w:rsid w:val="00906BCA"/>
    <w:rsid w:val="0092692B"/>
    <w:rsid w:val="00943E9C"/>
    <w:rsid w:val="00953F4D"/>
    <w:rsid w:val="00960BB8"/>
    <w:rsid w:val="00964F5C"/>
    <w:rsid w:val="00973B57"/>
    <w:rsid w:val="009826EE"/>
    <w:rsid w:val="009831C0"/>
    <w:rsid w:val="0099161D"/>
    <w:rsid w:val="009D1B73"/>
    <w:rsid w:val="009D7DCB"/>
    <w:rsid w:val="00A0389B"/>
    <w:rsid w:val="00A0486B"/>
    <w:rsid w:val="00A24C44"/>
    <w:rsid w:val="00A27AE7"/>
    <w:rsid w:val="00A33A3C"/>
    <w:rsid w:val="00A446C9"/>
    <w:rsid w:val="00A60D9A"/>
    <w:rsid w:val="00A635D6"/>
    <w:rsid w:val="00A6451D"/>
    <w:rsid w:val="00A65542"/>
    <w:rsid w:val="00A8553A"/>
    <w:rsid w:val="00A93AED"/>
    <w:rsid w:val="00AC1A4A"/>
    <w:rsid w:val="00AC6F67"/>
    <w:rsid w:val="00AE1319"/>
    <w:rsid w:val="00AE2B85"/>
    <w:rsid w:val="00AE34BB"/>
    <w:rsid w:val="00B226F2"/>
    <w:rsid w:val="00B274DF"/>
    <w:rsid w:val="00B56BDF"/>
    <w:rsid w:val="00B65812"/>
    <w:rsid w:val="00B85CD6"/>
    <w:rsid w:val="00B90A27"/>
    <w:rsid w:val="00B9554D"/>
    <w:rsid w:val="00BB2B9F"/>
    <w:rsid w:val="00BB60D2"/>
    <w:rsid w:val="00BB7D9E"/>
    <w:rsid w:val="00BC2334"/>
    <w:rsid w:val="00BD3CB8"/>
    <w:rsid w:val="00BD4E6F"/>
    <w:rsid w:val="00BE0308"/>
    <w:rsid w:val="00BE199C"/>
    <w:rsid w:val="00BF32F0"/>
    <w:rsid w:val="00BF4DCE"/>
    <w:rsid w:val="00C05CE5"/>
    <w:rsid w:val="00C172F4"/>
    <w:rsid w:val="00C6171E"/>
    <w:rsid w:val="00C638C0"/>
    <w:rsid w:val="00CA6F2C"/>
    <w:rsid w:val="00CF1871"/>
    <w:rsid w:val="00D019CE"/>
    <w:rsid w:val="00D0267E"/>
    <w:rsid w:val="00D1133E"/>
    <w:rsid w:val="00D17A34"/>
    <w:rsid w:val="00D26628"/>
    <w:rsid w:val="00D332B3"/>
    <w:rsid w:val="00D55207"/>
    <w:rsid w:val="00D61EB8"/>
    <w:rsid w:val="00D64FC1"/>
    <w:rsid w:val="00D81801"/>
    <w:rsid w:val="00D92B45"/>
    <w:rsid w:val="00D95962"/>
    <w:rsid w:val="00DC389B"/>
    <w:rsid w:val="00DC4803"/>
    <w:rsid w:val="00DE2FEE"/>
    <w:rsid w:val="00E00BE9"/>
    <w:rsid w:val="00E22A11"/>
    <w:rsid w:val="00E30233"/>
    <w:rsid w:val="00E31E5C"/>
    <w:rsid w:val="00E34451"/>
    <w:rsid w:val="00E44DD2"/>
    <w:rsid w:val="00E558C3"/>
    <w:rsid w:val="00E55927"/>
    <w:rsid w:val="00E6561D"/>
    <w:rsid w:val="00E839ED"/>
    <w:rsid w:val="00E912A6"/>
    <w:rsid w:val="00EA4844"/>
    <w:rsid w:val="00EA4D9C"/>
    <w:rsid w:val="00EA5A97"/>
    <w:rsid w:val="00EB75EE"/>
    <w:rsid w:val="00EE4C1D"/>
    <w:rsid w:val="00EF3685"/>
    <w:rsid w:val="00F04350"/>
    <w:rsid w:val="00F133DB"/>
    <w:rsid w:val="00F159EB"/>
    <w:rsid w:val="00F25BF4"/>
    <w:rsid w:val="00F267DB"/>
    <w:rsid w:val="00F36C56"/>
    <w:rsid w:val="00F46F6F"/>
    <w:rsid w:val="00F60608"/>
    <w:rsid w:val="00F62217"/>
    <w:rsid w:val="00F77608"/>
    <w:rsid w:val="00FB17A9"/>
    <w:rsid w:val="00FB1ACA"/>
    <w:rsid w:val="00FB30FE"/>
    <w:rsid w:val="00FB527C"/>
    <w:rsid w:val="00FB6F75"/>
    <w:rsid w:val="00FC0EB3"/>
    <w:rsid w:val="00FC4162"/>
    <w:rsid w:val="00FD675E"/>
    <w:rsid w:val="00FE35BC"/>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Arial"/>
      <w:sz w:val="22"/>
      <w:szCs w:val="22"/>
      <w:lang w:val="fr-FR"/>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ascii="Calibri" w:hAnsi="Calibri" w:cs="Calibri"/>
      <w:b/>
      <w:bCs/>
      <w:caps/>
      <w:color w:val="0070C0"/>
      <w:kern w:val="28"/>
      <w:sz w:val="24"/>
      <w:szCs w:val="24"/>
      <w:lang w:val="fr-FR" w:eastAsia="de-DE"/>
    </w:rPr>
  </w:style>
  <w:style w:type="character" w:customStyle="1" w:styleId="Heading2Char">
    <w:name w:val="Heading 2 Char"/>
    <w:link w:val="Heading2"/>
    <w:uiPriority w:val="99"/>
    <w:locked/>
    <w:rsid w:val="00605E43"/>
    <w:rPr>
      <w:rFonts w:ascii="Calibri" w:hAnsi="Calibri" w:cs="Calibri"/>
      <w:b/>
      <w:bCs/>
      <w:color w:val="0070C0"/>
      <w:sz w:val="24"/>
      <w:szCs w:val="24"/>
      <w:lang w:val="fr-FR" w:eastAsia="fr-FR"/>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eastAsia="Times New Roman"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eastAsia="fr-FR"/>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34"/>
    <w:qFormat/>
    <w:rsid w:val="00420A38"/>
    <w:pPr>
      <w:ind w:left="720"/>
    </w:pPr>
  </w:style>
  <w:style w:type="character" w:styleId="CommentReference">
    <w:name w:val="annotation reference"/>
    <w:uiPriority w:val="99"/>
    <w:semiHidden/>
    <w:rsid w:val="00EA5A97"/>
    <w:rPr>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NoList"/>
    <w:uiPriority w:val="99"/>
    <w:semiHidden/>
    <w:unhideWhenUsed/>
    <w:locked/>
    <w:rsid w:val="00752EFC"/>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Arial"/>
      <w:sz w:val="22"/>
      <w:szCs w:val="22"/>
      <w:lang w:val="fr-FR"/>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ascii="Calibri" w:hAnsi="Calibri" w:cs="Calibri"/>
      <w:b/>
      <w:bCs/>
      <w:caps/>
      <w:color w:val="0070C0"/>
      <w:kern w:val="28"/>
      <w:sz w:val="24"/>
      <w:szCs w:val="24"/>
      <w:lang w:val="fr-FR" w:eastAsia="de-DE"/>
    </w:rPr>
  </w:style>
  <w:style w:type="character" w:customStyle="1" w:styleId="Heading2Char">
    <w:name w:val="Heading 2 Char"/>
    <w:link w:val="Heading2"/>
    <w:uiPriority w:val="99"/>
    <w:locked/>
    <w:rsid w:val="00605E43"/>
    <w:rPr>
      <w:rFonts w:ascii="Calibri" w:hAnsi="Calibri" w:cs="Calibri"/>
      <w:b/>
      <w:bCs/>
      <w:color w:val="0070C0"/>
      <w:sz w:val="24"/>
      <w:szCs w:val="24"/>
      <w:lang w:val="fr-FR" w:eastAsia="fr-FR"/>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eastAsia="Times New Roman"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eastAsia="fr-FR"/>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34"/>
    <w:qFormat/>
    <w:rsid w:val="00420A38"/>
    <w:pPr>
      <w:ind w:left="720"/>
    </w:pPr>
  </w:style>
  <w:style w:type="character" w:styleId="CommentReference">
    <w:name w:val="annotation reference"/>
    <w:uiPriority w:val="99"/>
    <w:semiHidden/>
    <w:rsid w:val="00EA5A97"/>
    <w:rPr>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NoList"/>
    <w:uiPriority w:val="99"/>
    <w:semiHidden/>
    <w:unhideWhenUsed/>
    <w:locked/>
    <w:rsid w:val="00752EFC"/>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patentsmatter.com/unitary-patents-brie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0CA25-FB97-406B-9DF8-4C05E2E44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909</Words>
  <Characters>5052</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cp:lastPrinted>2017-05-10T10:17:00Z</cp:lastPrinted>
  <dcterms:created xsi:type="dcterms:W3CDTF">2017-04-03T12:25:00Z</dcterms:created>
  <dcterms:modified xsi:type="dcterms:W3CDTF">2017-08-25T11:27:00Z</dcterms:modified>
</cp:coreProperties>
</file>